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746BA8">
      <w:pPr>
        <w:spacing w:line="360" w:lineRule="auto"/>
        <w:jc w:val="left"/>
        <w:rPr>
          <w:rFonts w:hint="eastAsia" w:eastAsia="仿宋_GB2312"/>
          <w:bCs/>
          <w:color w:val="000000"/>
          <w:sz w:val="28"/>
          <w:szCs w:val="28"/>
          <w:highlight w:val="none"/>
          <w:u w:val="single"/>
        </w:rPr>
      </w:pPr>
      <w:bookmarkStart w:id="0" w:name="_Hlk126831517"/>
      <w:r>
        <w:rPr>
          <w:rFonts w:hint="eastAsia" w:eastAsia="仿宋_GB2312"/>
          <w:bCs/>
          <w:color w:val="000000"/>
          <w:sz w:val="28"/>
          <w:szCs w:val="28"/>
          <w:highlight w:val="none"/>
        </w:rPr>
        <w:t>合同编号：</w:t>
      </w:r>
      <w:permStart w:id="0" w:edGrp="everyone"/>
      <w:r>
        <w:rPr>
          <w:rFonts w:hint="eastAsia" w:eastAsia="仿宋_GB2312"/>
          <w:bCs/>
          <w:color w:val="000000"/>
          <w:sz w:val="28"/>
          <w:szCs w:val="28"/>
          <w:highlight w:val="none"/>
          <w:u w:val="single"/>
        </w:rPr>
        <w:t xml:space="preserve"> </w:t>
      </w:r>
      <w:r>
        <w:rPr>
          <w:rFonts w:hint="eastAsia" w:ascii="宋体" w:hAnsi="宋体" w:eastAsia="宋体"/>
          <w:highlight w:val="none"/>
          <w:u w:val="single"/>
        </w:rPr>
        <w:t>ZJLQ-FG-堆巴村公路改建项目-00</w:t>
      </w:r>
      <w:r>
        <w:rPr>
          <w:rFonts w:hint="eastAsia" w:ascii="宋体" w:hAnsi="宋体" w:eastAsia="宋体"/>
          <w:highlight w:val="none"/>
          <w:u w:val="single"/>
          <w:lang w:val="en-US" w:eastAsia="zh-CN"/>
        </w:rPr>
        <w:t>6</w:t>
      </w:r>
      <w:r>
        <w:rPr>
          <w:rFonts w:hint="eastAsia" w:eastAsia="仿宋_GB2312"/>
          <w:bCs/>
          <w:color w:val="000000"/>
          <w:sz w:val="28"/>
          <w:szCs w:val="28"/>
          <w:highlight w:val="none"/>
          <w:u w:val="single"/>
        </w:rPr>
        <w:t xml:space="preserve"> </w:t>
      </w:r>
      <w:permEnd w:id="0"/>
    </w:p>
    <w:p w14:paraId="7028E310">
      <w:pPr>
        <w:wordWrap w:val="0"/>
        <w:spacing w:line="640" w:lineRule="exact"/>
        <w:jc w:val="both"/>
        <w:rPr>
          <w:rFonts w:ascii="仿宋_GB2312" w:hAnsi="仿宋" w:eastAsia="仿宋_GB2312" w:cs="仿宋"/>
          <w:color w:val="000000" w:themeColor="text1"/>
          <w:sz w:val="24"/>
          <w:szCs w:val="24"/>
          <w:highlight w:val="none"/>
          <w14:textFill>
            <w14:solidFill>
              <w14:schemeClr w14:val="tx1"/>
            </w14:solidFill>
          </w14:textFill>
        </w:rPr>
      </w:pPr>
      <w:r>
        <w:rPr>
          <w:rFonts w:hint="eastAsia" w:eastAsia="仿宋_GB2312"/>
          <w:bCs/>
          <w:color w:val="000000"/>
          <w:sz w:val="28"/>
          <w:szCs w:val="28"/>
          <w:highlight w:val="none"/>
        </w:rPr>
        <w:t>框架协议：</w:t>
      </w:r>
      <w:permStart w:id="1" w:edGrp="everyone"/>
      <w:r>
        <w:rPr>
          <w:rFonts w:hint="eastAsia" w:eastAsia="仿宋_GB2312"/>
          <w:bCs/>
          <w:color w:val="000000"/>
          <w:sz w:val="28"/>
          <w:szCs w:val="28"/>
          <w:highlight w:val="none"/>
          <w:u w:val="single"/>
        </w:rPr>
        <w:t xml:space="preserve">          </w:t>
      </w:r>
      <w:r>
        <w:rPr>
          <w:rFonts w:hint="eastAsia" w:eastAsia="仿宋_GB2312"/>
          <w:bCs/>
          <w:color w:val="000000"/>
          <w:sz w:val="28"/>
          <w:szCs w:val="28"/>
          <w:highlight w:val="none"/>
          <w:u w:val="single"/>
          <w:lang w:val="en-US" w:eastAsia="zh-CN"/>
        </w:rPr>
        <w:t>/</w:t>
      </w:r>
      <w:r>
        <w:rPr>
          <w:rFonts w:hint="eastAsia" w:eastAsia="仿宋_GB2312"/>
          <w:bCs/>
          <w:color w:val="000000"/>
          <w:sz w:val="28"/>
          <w:szCs w:val="28"/>
          <w:highlight w:val="none"/>
          <w:u w:val="single"/>
        </w:rPr>
        <w:t xml:space="preserve">          </w:t>
      </w:r>
      <w:permEnd w:id="1"/>
    </w:p>
    <w:p w14:paraId="741C9448">
      <w:pPr>
        <w:spacing w:line="360" w:lineRule="auto"/>
        <w:jc w:val="left"/>
        <w:rPr>
          <w:rFonts w:hint="eastAsia" w:ascii="仿宋_GB2312" w:hAnsi="仿宋_GB2312" w:eastAsia="仿宋_GB2312" w:cs="仿宋_GB2312"/>
          <w:sz w:val="28"/>
          <w:szCs w:val="28"/>
          <w:highlight w:val="none"/>
        </w:rPr>
      </w:pPr>
      <w:r>
        <w:rPr>
          <w:highlight w:val="none"/>
        </w:rPr>
        <w:pict>
          <v:shape id="_x0000_s1026" o:spid="_x0000_s1026" o:spt="136" type="#_x0000_t136" style="position:absolute;left:0pt;margin-left:100pt;margin-top:100pt;height:100pt;width:200pt;z-index:251663360;mso-width-relative:page;mso-height-relative:page;" coordsize="21600,21600">
            <v:path/>
            <v:fill opacity="32768f" focussize="0,0"/>
            <v:stroke/>
            <v:imagedata o:title=""/>
            <o:lock v:ext="edit"/>
            <v:textpath on="t" fitshape="t" fitpath="t" trim="t" xscale="f" string="" style="font-size:36pt;v-text-align:center;"/>
          </v:shape>
        </w:pict>
      </w:r>
    </w:p>
    <w:p w14:paraId="573ED83B">
      <w:pPr>
        <w:pStyle w:val="2"/>
        <w:rPr>
          <w:rFonts w:hint="eastAsia"/>
          <w:highlight w:val="none"/>
        </w:rPr>
      </w:pPr>
    </w:p>
    <w:p w14:paraId="5FE9DEF8">
      <w:pPr>
        <w:pStyle w:val="2"/>
        <w:rPr>
          <w:rFonts w:hint="eastAsia"/>
          <w:highlight w:val="none"/>
        </w:rPr>
      </w:pPr>
    </w:p>
    <w:p w14:paraId="0032B077">
      <w:pPr>
        <w:pStyle w:val="2"/>
        <w:rPr>
          <w:rFonts w:hint="eastAsia"/>
          <w:highlight w:val="none"/>
        </w:rPr>
      </w:pPr>
    </w:p>
    <w:p w14:paraId="7918AD79">
      <w:pPr>
        <w:spacing w:line="360" w:lineRule="auto"/>
        <w:jc w:val="center"/>
        <w:rPr>
          <w:rFonts w:hint="eastAsia" w:ascii="华文中宋" w:hAnsi="华文中宋" w:eastAsia="华文中宋" w:cs="华文中宋"/>
          <w:b/>
          <w:sz w:val="52"/>
          <w:szCs w:val="52"/>
          <w:highlight w:val="none"/>
        </w:rPr>
      </w:pPr>
      <w:permStart w:id="2" w:edGrp="everyone"/>
      <w:r>
        <w:rPr>
          <w:rFonts w:hint="eastAsia" w:ascii="华文中宋" w:hAnsi="华文中宋" w:eastAsia="华文中宋" w:cs="华文中宋"/>
          <w:b/>
          <w:sz w:val="52"/>
          <w:szCs w:val="52"/>
          <w:highlight w:val="none"/>
        </w:rPr>
        <w:t>【</w:t>
      </w:r>
      <w:r>
        <w:rPr>
          <w:rFonts w:hint="eastAsia" w:ascii="华文中宋" w:hAnsi="华文中宋" w:eastAsia="华文中宋" w:cs="华文中宋"/>
          <w:b/>
          <w:sz w:val="52"/>
          <w:szCs w:val="52"/>
          <w:highlight w:val="none"/>
          <w:lang w:val="en-US" w:eastAsia="zh-CN"/>
        </w:rPr>
        <w:t>CI</w:t>
      </w:r>
      <w:r>
        <w:rPr>
          <w:rFonts w:hint="eastAsia" w:ascii="华文中宋" w:hAnsi="华文中宋" w:eastAsia="华文中宋" w:cs="华文中宋"/>
          <w:b/>
          <w:sz w:val="52"/>
          <w:szCs w:val="52"/>
          <w:highlight w:val="none"/>
        </w:rPr>
        <w:t>】</w:t>
      </w:r>
      <w:permEnd w:id="2"/>
      <w:r>
        <w:rPr>
          <w:rFonts w:hint="eastAsia" w:ascii="华文中宋" w:hAnsi="华文中宋" w:eastAsia="华文中宋" w:cs="华文中宋"/>
          <w:b/>
          <w:sz w:val="52"/>
          <w:szCs w:val="52"/>
          <w:highlight w:val="none"/>
        </w:rPr>
        <w:t>采购与供应合同</w:t>
      </w:r>
    </w:p>
    <w:p w14:paraId="03D84E81">
      <w:pPr>
        <w:spacing w:line="360" w:lineRule="auto"/>
        <w:jc w:val="center"/>
        <w:rPr>
          <w:rFonts w:hint="eastAsia" w:ascii="宋体" w:hAnsi="宋体" w:cs="宋体"/>
          <w:b/>
          <w:sz w:val="28"/>
          <w:szCs w:val="28"/>
          <w:highlight w:val="none"/>
        </w:rPr>
      </w:pPr>
      <w:r>
        <w:rPr>
          <w:highlight w:val="none"/>
        </w:rPr>
        <w:drawing>
          <wp:anchor distT="0" distB="0" distL="114300" distR="114300" simplePos="0" relativeHeight="251662336" behindDoc="1" locked="0" layoutInCell="1" allowOverlap="1">
            <wp:simplePos x="0" y="0"/>
            <wp:positionH relativeFrom="column">
              <wp:posOffset>1829435</wp:posOffset>
            </wp:positionH>
            <wp:positionV relativeFrom="paragraph">
              <wp:posOffset>245745</wp:posOffset>
            </wp:positionV>
            <wp:extent cx="1685925" cy="2352675"/>
            <wp:effectExtent l="0" t="0" r="9525" b="9525"/>
            <wp:wrapNone/>
            <wp:docPr id="13" name="图片 3" descr="说明: 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 descr="说明: 图片1"/>
                    <pic:cNvPicPr>
                      <a:picLocks noChangeAspect="1"/>
                    </pic:cNvPicPr>
                  </pic:nvPicPr>
                  <pic:blipFill>
                    <a:blip r:embed="rId14">
                      <a:clrChange>
                        <a:clrFrom>
                          <a:srgbClr val="FEFEFC"/>
                        </a:clrFrom>
                        <a:clrTo>
                          <a:srgbClr val="FEFEFC">
                            <a:alpha val="0"/>
                          </a:srgbClr>
                        </a:clrTo>
                      </a:clrChange>
                    </a:blip>
                    <a:stretch>
                      <a:fillRect/>
                    </a:stretch>
                  </pic:blipFill>
                  <pic:spPr>
                    <a:xfrm>
                      <a:off x="0" y="0"/>
                      <a:ext cx="1685925" cy="2352675"/>
                    </a:xfrm>
                    <a:prstGeom prst="rect">
                      <a:avLst/>
                    </a:prstGeom>
                    <a:noFill/>
                    <a:ln>
                      <a:noFill/>
                    </a:ln>
                  </pic:spPr>
                </pic:pic>
              </a:graphicData>
            </a:graphic>
          </wp:anchor>
        </w:drawing>
      </w:r>
    </w:p>
    <w:p w14:paraId="0A573421">
      <w:pPr>
        <w:spacing w:line="360" w:lineRule="auto"/>
        <w:jc w:val="center"/>
        <w:rPr>
          <w:rFonts w:hint="eastAsia" w:ascii="宋体" w:hAnsi="宋体" w:cs="宋体"/>
          <w:b/>
          <w:sz w:val="28"/>
          <w:szCs w:val="28"/>
          <w:highlight w:val="none"/>
        </w:rPr>
      </w:pPr>
    </w:p>
    <w:p w14:paraId="2F6CBB18">
      <w:pPr>
        <w:spacing w:line="360" w:lineRule="auto"/>
        <w:jc w:val="center"/>
        <w:rPr>
          <w:rFonts w:hint="eastAsia" w:ascii="宋体" w:hAnsi="宋体" w:cs="宋体"/>
          <w:b/>
          <w:sz w:val="28"/>
          <w:szCs w:val="28"/>
          <w:highlight w:val="none"/>
        </w:rPr>
      </w:pPr>
    </w:p>
    <w:p w14:paraId="5DB9B7DA">
      <w:pPr>
        <w:spacing w:line="360" w:lineRule="auto"/>
        <w:jc w:val="center"/>
        <w:rPr>
          <w:rFonts w:hint="eastAsia" w:ascii="宋体" w:hAnsi="宋体" w:cs="宋体"/>
          <w:b/>
          <w:sz w:val="28"/>
          <w:szCs w:val="28"/>
          <w:highlight w:val="none"/>
        </w:rPr>
      </w:pPr>
    </w:p>
    <w:p w14:paraId="6A9A5699">
      <w:pPr>
        <w:spacing w:line="360" w:lineRule="auto"/>
        <w:jc w:val="center"/>
        <w:rPr>
          <w:rFonts w:hint="eastAsia" w:ascii="宋体" w:hAnsi="宋体" w:cs="宋体"/>
          <w:b/>
          <w:sz w:val="28"/>
          <w:szCs w:val="28"/>
          <w:highlight w:val="none"/>
        </w:rPr>
      </w:pPr>
    </w:p>
    <w:p w14:paraId="7DDEE88A">
      <w:pPr>
        <w:spacing w:line="360" w:lineRule="auto"/>
        <w:rPr>
          <w:rFonts w:hint="eastAsia" w:ascii="宋体" w:hAnsi="宋体" w:cs="宋体"/>
          <w:b/>
          <w:sz w:val="28"/>
          <w:szCs w:val="28"/>
          <w:highlight w:val="none"/>
        </w:rPr>
      </w:pPr>
    </w:p>
    <w:p w14:paraId="2491A3A2">
      <w:pPr>
        <w:pStyle w:val="4"/>
        <w:spacing w:after="120"/>
        <w:ind w:firstLine="560"/>
        <w:rPr>
          <w:rFonts w:hint="eastAsia" w:ascii="宋体" w:hAnsi="宋体" w:cs="宋体"/>
          <w:b/>
          <w:sz w:val="28"/>
          <w:szCs w:val="28"/>
          <w:highlight w:val="none"/>
        </w:rPr>
      </w:pPr>
    </w:p>
    <w:p w14:paraId="3C3CC732">
      <w:pPr>
        <w:pStyle w:val="4"/>
        <w:spacing w:after="120"/>
        <w:ind w:firstLine="560"/>
        <w:rPr>
          <w:rFonts w:hint="eastAsia" w:ascii="宋体" w:hAnsi="宋体" w:cs="宋体"/>
          <w:b/>
          <w:sz w:val="28"/>
          <w:szCs w:val="28"/>
          <w:highlight w:val="none"/>
        </w:rPr>
      </w:pPr>
    </w:p>
    <w:p w14:paraId="46389760">
      <w:pPr>
        <w:spacing w:line="360" w:lineRule="auto"/>
        <w:rPr>
          <w:rFonts w:hint="eastAsia" w:ascii="仿宋_GB2312" w:hAnsi="仿宋_GB2312" w:eastAsia="仿宋_GB2312" w:cs="仿宋_GB2312"/>
          <w:b/>
          <w:bCs/>
          <w:sz w:val="28"/>
          <w:szCs w:val="28"/>
          <w:highlight w:val="none"/>
        </w:rPr>
      </w:pPr>
    </w:p>
    <w:p w14:paraId="3CD1102E">
      <w:pPr>
        <w:spacing w:line="360" w:lineRule="auto"/>
        <w:ind w:firstLine="562" w:firstLineChars="200"/>
        <w:rPr>
          <w:rFonts w:hint="eastAsia" w:ascii="仿宋_GB2312" w:hAnsi="仿宋_GB2312" w:eastAsia="仿宋_GB2312" w:cs="仿宋_GB2312"/>
          <w:sz w:val="28"/>
          <w:szCs w:val="28"/>
          <w:highlight w:val="none"/>
        </w:rPr>
      </w:pPr>
      <w:permStart w:id="3" w:edGrp="everyone"/>
      <w:r>
        <w:rPr>
          <w:rFonts w:hint="eastAsia" w:ascii="仿宋_GB2312" w:hAnsi="仿宋_GB2312" w:eastAsia="仿宋_GB2312" w:cs="仿宋_GB2312"/>
          <w:b/>
          <w:bCs/>
          <w:sz w:val="28"/>
          <w:szCs w:val="28"/>
          <w:highlight w:val="none"/>
        </w:rPr>
        <w:t>项目名称：</w:t>
      </w:r>
      <w:r>
        <w:rPr>
          <w:rFonts w:hint="eastAsia" w:ascii="仿宋_GB2312" w:hAnsi="仿宋_GB2312" w:eastAsia="仿宋_GB2312" w:cs="仿宋_GB2312"/>
          <w:b/>
          <w:color w:val="000000"/>
          <w:sz w:val="28"/>
          <w:szCs w:val="28"/>
          <w:highlight w:val="none"/>
        </w:rPr>
        <w:t xml:space="preserve">【    </w:t>
      </w:r>
      <w:r>
        <w:rPr>
          <w:rFonts w:hint="eastAsia" w:ascii="仿宋_GB2312" w:hAnsi="仿宋_GB2312" w:eastAsia="仿宋_GB2312" w:cs="仿宋_GB2312"/>
          <w:b/>
          <w:color w:val="000000"/>
          <w:sz w:val="28"/>
          <w:szCs w:val="28"/>
          <w:highlight w:val="none"/>
          <w:lang w:val="en-US" w:eastAsia="zh-CN"/>
        </w:rPr>
        <w:t xml:space="preserve">   </w:t>
      </w:r>
      <w:r>
        <w:rPr>
          <w:rFonts w:hint="eastAsia" w:ascii="仿宋_GB2312" w:hAnsi="仿宋_GB2312" w:eastAsia="仿宋_GB2312" w:cs="仿宋_GB2312"/>
          <w:b/>
          <w:color w:val="000000"/>
          <w:sz w:val="28"/>
          <w:szCs w:val="28"/>
          <w:highlight w:val="none"/>
        </w:rPr>
        <w:t xml:space="preserve"> 堆巴村公路改建</w:t>
      </w:r>
      <w:r>
        <w:rPr>
          <w:rFonts w:hint="eastAsia" w:ascii="仿宋_GB2312" w:hAnsi="仿宋_GB2312" w:eastAsia="仿宋_GB2312" w:cs="仿宋_GB2312"/>
          <w:b/>
          <w:color w:val="000000"/>
          <w:sz w:val="28"/>
          <w:szCs w:val="28"/>
          <w:highlight w:val="none"/>
          <w:lang w:val="en-US" w:eastAsia="zh-CN"/>
        </w:rPr>
        <w:t xml:space="preserve">工程 </w:t>
      </w:r>
      <w:r>
        <w:rPr>
          <w:rFonts w:hint="eastAsia" w:ascii="仿宋_GB2312" w:hAnsi="仿宋_GB2312" w:eastAsia="仿宋_GB2312" w:cs="仿宋_GB2312"/>
          <w:b/>
          <w:color w:val="000000"/>
          <w:sz w:val="28"/>
          <w:szCs w:val="28"/>
          <w:highlight w:val="none"/>
        </w:rPr>
        <w:t xml:space="preserve">  </w:t>
      </w:r>
      <w:r>
        <w:rPr>
          <w:rFonts w:hint="eastAsia" w:ascii="仿宋_GB2312" w:hAnsi="仿宋_GB2312" w:eastAsia="仿宋_GB2312" w:cs="仿宋_GB2312"/>
          <w:b/>
          <w:color w:val="000000"/>
          <w:sz w:val="28"/>
          <w:szCs w:val="28"/>
          <w:highlight w:val="none"/>
          <w:lang w:val="en-US" w:eastAsia="zh-CN"/>
        </w:rPr>
        <w:t xml:space="preserve"> </w:t>
      </w:r>
      <w:r>
        <w:rPr>
          <w:rFonts w:hint="eastAsia" w:ascii="仿宋_GB2312" w:hAnsi="仿宋_GB2312" w:eastAsia="仿宋_GB2312" w:cs="仿宋_GB2312"/>
          <w:b/>
          <w:color w:val="000000"/>
          <w:sz w:val="28"/>
          <w:szCs w:val="28"/>
          <w:highlight w:val="none"/>
        </w:rPr>
        <w:t xml:space="preserve">    】</w:t>
      </w:r>
    </w:p>
    <w:p w14:paraId="3B453B7D">
      <w:pPr>
        <w:spacing w:line="360" w:lineRule="auto"/>
        <w:ind w:firstLine="562" w:firstLineChars="200"/>
        <w:jc w:val="both"/>
        <w:rPr>
          <w:rFonts w:hint="eastAsia" w:ascii="仿宋_GB2312" w:hAnsi="仿宋_GB2312" w:eastAsia="仿宋_GB2312" w:cs="仿宋_GB2312"/>
          <w:b/>
          <w:color w:val="000000"/>
          <w:sz w:val="28"/>
          <w:szCs w:val="28"/>
          <w:highlight w:val="none"/>
        </w:rPr>
      </w:pPr>
      <w:r>
        <w:rPr>
          <w:rFonts w:hint="eastAsia" w:ascii="仿宋_GB2312" w:hAnsi="仿宋_GB2312" w:eastAsia="仿宋_GB2312" w:cs="仿宋_GB2312"/>
          <w:b/>
          <w:bCs/>
          <w:sz w:val="28"/>
          <w:szCs w:val="28"/>
          <w:highlight w:val="none"/>
        </w:rPr>
        <w:t>甲    方：</w:t>
      </w:r>
      <w:r>
        <w:rPr>
          <w:rFonts w:hint="eastAsia" w:ascii="仿宋_GB2312" w:hAnsi="仿宋_GB2312" w:eastAsia="仿宋_GB2312" w:cs="仿宋_GB2312"/>
          <w:b/>
          <w:color w:val="000000"/>
          <w:sz w:val="28"/>
          <w:szCs w:val="28"/>
          <w:highlight w:val="none"/>
        </w:rPr>
        <w:t xml:space="preserve">【  </w:t>
      </w:r>
      <w:r>
        <w:rPr>
          <w:rFonts w:hint="eastAsia" w:ascii="仿宋_GB2312" w:hAnsi="仿宋_GB2312" w:eastAsia="仿宋_GB2312" w:cs="仿宋_GB2312"/>
          <w:b/>
          <w:color w:val="000000"/>
          <w:sz w:val="28"/>
          <w:szCs w:val="28"/>
          <w:highlight w:val="none"/>
          <w:lang w:val="en-US" w:eastAsia="zh-CN"/>
        </w:rPr>
        <w:t xml:space="preserve">   </w:t>
      </w:r>
      <w:r>
        <w:rPr>
          <w:rFonts w:hint="eastAsia" w:ascii="仿宋_GB2312" w:hAnsi="仿宋_GB2312" w:eastAsia="仿宋_GB2312" w:cs="仿宋_GB2312"/>
          <w:b/>
          <w:bCs/>
          <w:sz w:val="28"/>
          <w:szCs w:val="28"/>
          <w:highlight w:val="none"/>
          <w:lang w:eastAsia="zh-CN"/>
        </w:rPr>
        <w:t>西藏中建建设有限责任公司</w:t>
      </w:r>
      <w:r>
        <w:rPr>
          <w:rFonts w:hint="eastAsia" w:ascii="仿宋_GB2312" w:hAnsi="仿宋_GB2312" w:eastAsia="仿宋_GB2312" w:cs="仿宋_GB2312"/>
          <w:b/>
          <w:bCs/>
          <w:sz w:val="28"/>
          <w:szCs w:val="28"/>
          <w:highlight w:val="none"/>
        </w:rPr>
        <w:t xml:space="preserve"> </w:t>
      </w:r>
      <w:r>
        <w:rPr>
          <w:rFonts w:hint="eastAsia" w:ascii="仿宋_GB2312" w:hAnsi="仿宋_GB2312" w:eastAsia="仿宋_GB2312" w:cs="仿宋_GB2312"/>
          <w:b/>
          <w:color w:val="000000"/>
          <w:sz w:val="28"/>
          <w:szCs w:val="28"/>
          <w:highlight w:val="none"/>
          <w:u w:val="none"/>
        </w:rPr>
        <w:t xml:space="preserve"> </w:t>
      </w:r>
      <w:r>
        <w:rPr>
          <w:rFonts w:hint="eastAsia" w:ascii="仿宋_GB2312" w:hAnsi="仿宋_GB2312" w:eastAsia="仿宋_GB2312" w:cs="仿宋_GB2312"/>
          <w:b/>
          <w:color w:val="000000"/>
          <w:sz w:val="28"/>
          <w:szCs w:val="28"/>
          <w:highlight w:val="none"/>
        </w:rPr>
        <w:t xml:space="preserve">   】</w:t>
      </w:r>
    </w:p>
    <w:p w14:paraId="451AF158">
      <w:pPr>
        <w:spacing w:line="360" w:lineRule="auto"/>
        <w:ind w:firstLine="562" w:firstLineChars="200"/>
        <w:rPr>
          <w:rFonts w:hint="eastAsia" w:ascii="仿宋_GB2312" w:hAnsi="仿宋_GB2312" w:eastAsia="仿宋_GB2312" w:cs="仿宋_GB2312"/>
          <w:b/>
          <w:color w:val="000000"/>
          <w:sz w:val="28"/>
          <w:szCs w:val="28"/>
          <w:highlight w:val="none"/>
        </w:rPr>
      </w:pPr>
      <w:r>
        <w:rPr>
          <w:rFonts w:hint="eastAsia" w:ascii="仿宋_GB2312" w:hAnsi="仿宋_GB2312" w:eastAsia="仿宋_GB2312" w:cs="仿宋_GB2312"/>
          <w:b/>
          <w:bCs/>
          <w:sz w:val="28"/>
          <w:szCs w:val="28"/>
          <w:highlight w:val="none"/>
        </w:rPr>
        <w:t>乙    方：</w:t>
      </w:r>
      <w:r>
        <w:rPr>
          <w:rFonts w:hint="eastAsia" w:ascii="仿宋_GB2312" w:hAnsi="仿宋_GB2312" w:eastAsia="仿宋_GB2312" w:cs="仿宋_GB2312"/>
          <w:b/>
          <w:color w:val="000000"/>
          <w:sz w:val="28"/>
          <w:szCs w:val="28"/>
          <w:highlight w:val="none"/>
        </w:rPr>
        <w:t>【                                  】</w:t>
      </w:r>
    </w:p>
    <w:p w14:paraId="5CED8AF2">
      <w:pPr>
        <w:spacing w:line="360" w:lineRule="auto"/>
        <w:ind w:firstLine="562" w:firstLineChars="200"/>
        <w:rPr>
          <w:rFonts w:hint="eastAsia" w:ascii="仿宋_GB2312" w:hAnsi="仿宋_GB2312" w:eastAsia="仿宋_GB2312" w:cs="仿宋_GB2312"/>
          <w:sz w:val="28"/>
          <w:szCs w:val="28"/>
          <w:highlight w:val="none"/>
        </w:rPr>
      </w:pPr>
      <w:r>
        <w:rPr>
          <w:rFonts w:hint="eastAsia" w:ascii="仿宋_GB2312" w:hAnsi="仿宋_GB2312" w:eastAsia="仿宋_GB2312" w:cs="仿宋_GB2312"/>
          <w:b/>
          <w:bCs/>
          <w:sz w:val="28"/>
          <w:szCs w:val="28"/>
          <w:highlight w:val="none"/>
        </w:rPr>
        <w:t>签订时间：</w:t>
      </w:r>
      <w:r>
        <w:rPr>
          <w:rFonts w:hint="eastAsia" w:ascii="仿宋_GB2312" w:hAnsi="仿宋_GB2312" w:eastAsia="仿宋_GB2312" w:cs="仿宋_GB2312"/>
          <w:b/>
          <w:color w:val="000000"/>
          <w:sz w:val="28"/>
          <w:szCs w:val="28"/>
          <w:highlight w:val="none"/>
        </w:rPr>
        <w:t xml:space="preserve">【            </w:t>
      </w:r>
      <w:r>
        <w:rPr>
          <w:rFonts w:hint="eastAsia" w:ascii="仿宋_GB2312" w:hAnsi="仿宋_GB2312" w:eastAsia="仿宋_GB2312" w:cs="仿宋_GB2312"/>
          <w:b/>
          <w:bCs/>
          <w:sz w:val="28"/>
          <w:szCs w:val="28"/>
          <w:highlight w:val="none"/>
        </w:rPr>
        <w:t xml:space="preserve"> </w:t>
      </w:r>
      <w:r>
        <w:rPr>
          <w:rFonts w:hint="eastAsia" w:ascii="仿宋_GB2312" w:hAnsi="仿宋_GB2312" w:eastAsia="仿宋_GB2312" w:cs="仿宋_GB2312"/>
          <w:b/>
          <w:color w:val="000000"/>
          <w:sz w:val="28"/>
          <w:szCs w:val="28"/>
          <w:highlight w:val="none"/>
        </w:rPr>
        <w:t xml:space="preserve"> </w:t>
      </w:r>
      <w:r>
        <w:rPr>
          <w:rFonts w:hint="eastAsia" w:ascii="仿宋_GB2312" w:hAnsi="仿宋_GB2312" w:eastAsia="仿宋_GB2312" w:cs="仿宋_GB2312"/>
          <w:b/>
          <w:color w:val="000000"/>
          <w:sz w:val="28"/>
          <w:szCs w:val="28"/>
          <w:highlight w:val="none"/>
          <w:lang w:val="en-US" w:eastAsia="zh-CN"/>
        </w:rPr>
        <w:t xml:space="preserve">              </w:t>
      </w:r>
      <w:r>
        <w:rPr>
          <w:rFonts w:hint="eastAsia" w:ascii="仿宋_GB2312" w:hAnsi="仿宋_GB2312" w:eastAsia="仿宋_GB2312" w:cs="仿宋_GB2312"/>
          <w:b/>
          <w:color w:val="000000"/>
          <w:sz w:val="28"/>
          <w:szCs w:val="28"/>
          <w:highlight w:val="none"/>
        </w:rPr>
        <w:t xml:space="preserve">      】</w:t>
      </w:r>
    </w:p>
    <w:p w14:paraId="06B47A95">
      <w:pPr>
        <w:spacing w:line="360" w:lineRule="auto"/>
        <w:ind w:firstLine="562" w:firstLineChars="200"/>
        <w:rPr>
          <w:rFonts w:hint="eastAsia" w:ascii="仿宋_GB2312" w:hAnsi="仿宋_GB2312" w:eastAsia="仿宋_GB2312" w:cs="仿宋_GB2312"/>
          <w:b/>
          <w:color w:val="000000"/>
          <w:sz w:val="28"/>
          <w:szCs w:val="28"/>
          <w:highlight w:val="none"/>
        </w:rPr>
      </w:pPr>
      <w:r>
        <w:rPr>
          <w:rFonts w:hint="eastAsia" w:ascii="仿宋_GB2312" w:hAnsi="仿宋_GB2312" w:eastAsia="仿宋_GB2312" w:cs="仿宋_GB2312"/>
          <w:b/>
          <w:bCs/>
          <w:sz w:val="28"/>
          <w:szCs w:val="28"/>
          <w:highlight w:val="none"/>
        </w:rPr>
        <w:t>签订地点：</w:t>
      </w:r>
      <w:r>
        <w:rPr>
          <w:rFonts w:hint="eastAsia" w:ascii="仿宋_GB2312" w:hAnsi="仿宋_GB2312" w:eastAsia="仿宋_GB2312" w:cs="仿宋_GB2312"/>
          <w:b/>
          <w:color w:val="000000"/>
          <w:sz w:val="28"/>
          <w:szCs w:val="28"/>
          <w:highlight w:val="none"/>
        </w:rPr>
        <w:t>【</w:t>
      </w:r>
      <w:r>
        <w:rPr>
          <w:rFonts w:hint="eastAsia" w:ascii="仿宋_GB2312" w:hAnsi="仿宋_GB2312" w:eastAsia="仿宋_GB2312" w:cs="仿宋_GB2312"/>
          <w:b/>
          <w:color w:val="000000"/>
          <w:sz w:val="28"/>
          <w:szCs w:val="28"/>
          <w:highlight w:val="none"/>
          <w:lang w:val="en-US" w:eastAsia="zh-CN"/>
        </w:rPr>
        <w:t xml:space="preserve">           </w:t>
      </w:r>
      <w:r>
        <w:rPr>
          <w:rFonts w:hint="eastAsia" w:ascii="仿宋_GB2312" w:hAnsi="仿宋_GB2312" w:eastAsia="仿宋_GB2312" w:cs="仿宋_GB2312"/>
          <w:b/>
          <w:bCs/>
          <w:sz w:val="28"/>
          <w:szCs w:val="28"/>
          <w:lang w:val="en-US" w:eastAsia="zh-CN"/>
        </w:rPr>
        <w:t>西藏拉萨市</w:t>
      </w:r>
      <w:r>
        <w:rPr>
          <w:rFonts w:hint="eastAsia" w:ascii="仿宋_GB2312" w:hAnsi="仿宋_GB2312" w:eastAsia="仿宋_GB2312" w:cs="仿宋_GB2312"/>
          <w:b/>
          <w:color w:val="000000"/>
          <w:sz w:val="28"/>
          <w:szCs w:val="28"/>
          <w:highlight w:val="none"/>
          <w:lang w:val="en-US" w:eastAsia="zh-CN"/>
        </w:rPr>
        <w:t xml:space="preserve">   </w:t>
      </w:r>
      <w:r>
        <w:rPr>
          <w:rFonts w:hint="eastAsia" w:ascii="仿宋_GB2312" w:hAnsi="仿宋_GB2312" w:eastAsia="仿宋_GB2312" w:cs="仿宋_GB2312"/>
          <w:b/>
          <w:color w:val="000000"/>
          <w:sz w:val="28"/>
          <w:szCs w:val="28"/>
          <w:highlight w:val="none"/>
        </w:rPr>
        <w:t xml:space="preserve"> </w:t>
      </w:r>
      <w:r>
        <w:rPr>
          <w:rFonts w:hint="eastAsia" w:ascii="仿宋_GB2312" w:hAnsi="仿宋_GB2312" w:eastAsia="仿宋_GB2312" w:cs="仿宋_GB2312"/>
          <w:b/>
          <w:color w:val="000000"/>
          <w:sz w:val="28"/>
          <w:szCs w:val="28"/>
          <w:highlight w:val="none"/>
          <w:lang w:val="en-US" w:eastAsia="zh-CN"/>
        </w:rPr>
        <w:t xml:space="preserve">       </w:t>
      </w:r>
      <w:r>
        <w:rPr>
          <w:rFonts w:hint="eastAsia" w:ascii="仿宋_GB2312" w:hAnsi="仿宋_GB2312" w:eastAsia="仿宋_GB2312" w:cs="仿宋_GB2312"/>
          <w:b/>
          <w:color w:val="000000"/>
          <w:sz w:val="28"/>
          <w:szCs w:val="28"/>
          <w:highlight w:val="none"/>
        </w:rPr>
        <w:t xml:space="preserve">  】</w:t>
      </w:r>
    </w:p>
    <w:bookmarkEnd w:id="0"/>
    <w:p w14:paraId="0D0CAA60">
      <w:pPr>
        <w:spacing w:line="480" w:lineRule="auto"/>
        <w:ind w:firstLine="1280" w:firstLineChars="400"/>
        <w:jc w:val="left"/>
        <w:textAlignment w:val="baseline"/>
        <w:rPr>
          <w:rFonts w:ascii="仿宋_GB2312" w:hAnsi="仿宋" w:eastAsia="仿宋_GB2312" w:cs="仿宋"/>
          <w:bCs/>
          <w:color w:val="000000" w:themeColor="text1"/>
          <w:sz w:val="32"/>
          <w:szCs w:val="24"/>
          <w:highlight w:val="none"/>
          <w:u w:val="single"/>
          <w14:textFill>
            <w14:solidFill>
              <w14:schemeClr w14:val="tx1"/>
            </w14:solidFill>
          </w14:textFill>
        </w:rPr>
        <w:sectPr>
          <w:headerReference r:id="rId4" w:type="first"/>
          <w:footerReference r:id="rId6" w:type="first"/>
          <w:headerReference r:id="rId3" w:type="default"/>
          <w:footerReference r:id="rId5" w:type="default"/>
          <w:pgSz w:w="11906" w:h="16838"/>
          <w:pgMar w:top="1440" w:right="1800" w:bottom="1440" w:left="1800" w:header="850" w:footer="975" w:gutter="0"/>
          <w:pgNumType w:start="1"/>
          <w:cols w:space="0" w:num="1"/>
          <w:titlePg/>
          <w:docGrid w:linePitch="312" w:charSpace="0"/>
        </w:sectPr>
      </w:pPr>
    </w:p>
    <w:permEnd w:id="3"/>
    <w:sdt>
      <w:sdtPr>
        <w:rPr>
          <w:rFonts w:asciiTheme="minorHAnsi" w:hAnsiTheme="minorHAnsi" w:eastAsiaTheme="minorEastAsia" w:cstheme="minorBidi"/>
          <w:szCs w:val="22"/>
          <w:highlight w:val="none"/>
        </w:rPr>
        <w:id w:val="147479450"/>
        <w15:color w:val="DBDBDB"/>
        <w:docPartObj>
          <w:docPartGallery w:val="Table of Contents"/>
          <w:docPartUnique/>
        </w:docPartObj>
      </w:sdtPr>
      <w:sdtEndPr>
        <w:rPr>
          <w:rFonts w:ascii="仿宋" w:hAnsi="仿宋" w:eastAsia="仿宋" w:cs="仿宋"/>
          <w:color w:val="000000" w:themeColor="text1"/>
          <w:szCs w:val="22"/>
          <w:highlight w:val="none"/>
          <w14:textFill>
            <w14:solidFill>
              <w14:schemeClr w14:val="tx1"/>
            </w14:solidFill>
          </w14:textFill>
        </w:rPr>
      </w:sdtEndPr>
      <w:sdtContent>
        <w:p w14:paraId="03F68A4F">
          <w:pPr>
            <w:pStyle w:val="4"/>
            <w:rPr>
              <w:highlight w:val="none"/>
            </w:rPr>
          </w:pPr>
        </w:p>
        <w:p w14:paraId="48D61705">
          <w:pPr>
            <w:jc w:val="center"/>
            <w:rPr>
              <w:rFonts w:ascii="黑体" w:hAnsi="黑体" w:eastAsia="黑体" w:cs="黑体"/>
              <w:b/>
              <w:bCs/>
              <w:color w:val="000000" w:themeColor="text1"/>
              <w:sz w:val="36"/>
              <w:szCs w:val="36"/>
              <w:highlight w:val="none"/>
              <w14:textFill>
                <w14:solidFill>
                  <w14:schemeClr w14:val="tx1"/>
                </w14:solidFill>
              </w14:textFill>
            </w:rPr>
          </w:pPr>
          <w:permStart w:id="4" w:edGrp="everyone"/>
          <w:r>
            <w:rPr>
              <w:rFonts w:hint="eastAsia" w:ascii="黑体" w:hAnsi="黑体" w:eastAsia="黑体" w:cs="黑体"/>
              <w:b/>
              <w:bCs/>
              <w:color w:val="000000" w:themeColor="text1"/>
              <w:sz w:val="36"/>
              <w:szCs w:val="36"/>
              <w:highlight w:val="none"/>
              <w14:textFill>
                <w14:solidFill>
                  <w14:schemeClr w14:val="tx1"/>
                </w14:solidFill>
              </w14:textFill>
            </w:rPr>
            <w:t>目</w:t>
          </w:r>
          <w:r>
            <w:rPr>
              <w:rFonts w:ascii="黑体" w:hAnsi="黑体" w:eastAsia="黑体" w:cs="黑体"/>
              <w:b/>
              <w:bCs/>
              <w:color w:val="000000" w:themeColor="text1"/>
              <w:sz w:val="36"/>
              <w:szCs w:val="36"/>
              <w:highlight w:val="none"/>
              <w14:textFill>
                <w14:solidFill>
                  <w14:schemeClr w14:val="tx1"/>
                </w14:solidFill>
              </w14:textFill>
            </w:rPr>
            <w:t xml:space="preserve">  </w:t>
          </w:r>
          <w:r>
            <w:rPr>
              <w:rFonts w:hint="eastAsia" w:ascii="黑体" w:hAnsi="黑体" w:eastAsia="黑体" w:cs="黑体"/>
              <w:b/>
              <w:bCs/>
              <w:color w:val="000000" w:themeColor="text1"/>
              <w:sz w:val="36"/>
              <w:szCs w:val="36"/>
              <w:highlight w:val="none"/>
              <w14:textFill>
                <w14:solidFill>
                  <w14:schemeClr w14:val="tx1"/>
                </w14:solidFill>
              </w14:textFill>
            </w:rPr>
            <w:t>录</w:t>
          </w:r>
        </w:p>
        <w:p w14:paraId="7052BA17">
          <w:pPr>
            <w:pStyle w:val="4"/>
            <w:rPr>
              <w:highlight w:val="none"/>
            </w:rPr>
          </w:pPr>
        </w:p>
        <w:p w14:paraId="28E2A186">
          <w:pPr>
            <w:pStyle w:val="8"/>
            <w:tabs>
              <w:tab w:val="right" w:leader="dot" w:pos="8306"/>
            </w:tabs>
            <w:spacing w:line="312" w:lineRule="auto"/>
            <w:rPr>
              <w:highlight w:val="none"/>
            </w:rPr>
          </w:pPr>
          <w:r>
            <w:rPr>
              <w:rFonts w:hint="eastAsia" w:ascii="仿宋" w:hAnsi="仿宋" w:eastAsia="仿宋" w:cs="仿宋"/>
              <w:color w:val="000000" w:themeColor="text1"/>
              <w:highlight w:val="none"/>
              <w14:textFill>
                <w14:solidFill>
                  <w14:schemeClr w14:val="tx1"/>
                </w14:solidFill>
              </w14:textFill>
            </w:rPr>
            <w:fldChar w:fldCharType="begin"/>
          </w:r>
          <w:r>
            <w:rPr>
              <w:rFonts w:hint="eastAsia" w:ascii="仿宋" w:hAnsi="仿宋" w:eastAsia="仿宋" w:cs="仿宋"/>
              <w:color w:val="000000" w:themeColor="text1"/>
              <w:highlight w:val="none"/>
              <w14:textFill>
                <w14:solidFill>
                  <w14:schemeClr w14:val="tx1"/>
                </w14:solidFill>
              </w14:textFill>
            </w:rPr>
            <w:instrText xml:space="preserve">TOC \o "1-1" \h \u </w:instrText>
          </w:r>
          <w:r>
            <w:rPr>
              <w:rFonts w:hint="eastAsia" w:ascii="仿宋" w:hAnsi="仿宋" w:eastAsia="仿宋" w:cs="仿宋"/>
              <w:color w:val="000000" w:themeColor="text1"/>
              <w:highlight w:val="none"/>
              <w14:textFill>
                <w14:solidFill>
                  <w14:schemeClr w14:val="tx1"/>
                </w14:solidFill>
              </w14:textFill>
            </w:rPr>
            <w:fldChar w:fldCharType="separate"/>
          </w:r>
          <w:r>
            <w:rPr>
              <w:highlight w:val="none"/>
            </w:rPr>
            <w:fldChar w:fldCharType="begin"/>
          </w:r>
          <w:r>
            <w:rPr>
              <w:highlight w:val="none"/>
            </w:rPr>
            <w:instrText xml:space="preserve"> HYPERLINK \l "_Toc5953" </w:instrText>
          </w:r>
          <w:r>
            <w:rPr>
              <w:highlight w:val="none"/>
            </w:rPr>
            <w:fldChar w:fldCharType="separate"/>
          </w:r>
          <w:r>
            <w:rPr>
              <w:rFonts w:hint="eastAsia" w:ascii="黑体" w:hAnsi="黑体" w:eastAsia="黑体" w:cs="黑体"/>
              <w:bCs/>
              <w:sz w:val="30"/>
              <w:szCs w:val="30"/>
              <w:highlight w:val="none"/>
            </w:rPr>
            <w:t>第一部分 专用条款</w:t>
          </w:r>
          <w:r>
            <w:rPr>
              <w:highlight w:val="none"/>
            </w:rPr>
            <w:tab/>
          </w:r>
          <w:r>
            <w:rPr>
              <w:highlight w:val="none"/>
            </w:rPr>
            <w:fldChar w:fldCharType="begin"/>
          </w:r>
          <w:r>
            <w:rPr>
              <w:highlight w:val="none"/>
            </w:rPr>
            <w:instrText xml:space="preserve"> PAGEREF _Toc5953 \h </w:instrText>
          </w:r>
          <w:r>
            <w:rPr>
              <w:highlight w:val="none"/>
            </w:rPr>
            <w:fldChar w:fldCharType="separate"/>
          </w:r>
          <w:r>
            <w:rPr>
              <w:highlight w:val="none"/>
            </w:rPr>
            <w:t>1</w:t>
          </w:r>
          <w:r>
            <w:rPr>
              <w:highlight w:val="none"/>
            </w:rPr>
            <w:fldChar w:fldCharType="end"/>
          </w:r>
          <w:r>
            <w:rPr>
              <w:highlight w:val="none"/>
            </w:rPr>
            <w:fldChar w:fldCharType="end"/>
          </w:r>
        </w:p>
        <w:p w14:paraId="56AFCCED">
          <w:pPr>
            <w:pStyle w:val="8"/>
            <w:tabs>
              <w:tab w:val="right" w:leader="dot" w:pos="8306"/>
            </w:tabs>
            <w:spacing w:line="312" w:lineRule="auto"/>
            <w:rPr>
              <w:highlight w:val="none"/>
            </w:rPr>
          </w:pPr>
          <w:r>
            <w:rPr>
              <w:highlight w:val="none"/>
            </w:rPr>
            <w:fldChar w:fldCharType="begin"/>
          </w:r>
          <w:r>
            <w:rPr>
              <w:highlight w:val="none"/>
            </w:rPr>
            <w:instrText xml:space="preserve"> HYPERLINK \l "_Toc640" </w:instrText>
          </w:r>
          <w:r>
            <w:rPr>
              <w:highlight w:val="none"/>
            </w:rPr>
            <w:fldChar w:fldCharType="separate"/>
          </w:r>
          <w:r>
            <w:rPr>
              <w:rFonts w:hint="eastAsia" w:ascii="仿宋_GB2312" w:hAnsi="仿宋_GB2312" w:eastAsia="仿宋_GB2312" w:cs="仿宋_GB2312"/>
              <w:kern w:val="0"/>
              <w:sz w:val="28"/>
              <w:szCs w:val="28"/>
              <w:highlight w:val="none"/>
            </w:rPr>
            <w:t>一、工程概况</w:t>
          </w:r>
          <w:r>
            <w:rPr>
              <w:highlight w:val="none"/>
            </w:rPr>
            <w:tab/>
          </w:r>
          <w:r>
            <w:rPr>
              <w:highlight w:val="none"/>
            </w:rPr>
            <w:fldChar w:fldCharType="begin"/>
          </w:r>
          <w:r>
            <w:rPr>
              <w:highlight w:val="none"/>
            </w:rPr>
            <w:instrText xml:space="preserve"> PAGEREF _Toc640 \h </w:instrText>
          </w:r>
          <w:r>
            <w:rPr>
              <w:highlight w:val="none"/>
            </w:rPr>
            <w:fldChar w:fldCharType="separate"/>
          </w:r>
          <w:r>
            <w:rPr>
              <w:highlight w:val="none"/>
            </w:rPr>
            <w:t>1</w:t>
          </w:r>
          <w:r>
            <w:rPr>
              <w:highlight w:val="none"/>
            </w:rPr>
            <w:fldChar w:fldCharType="end"/>
          </w:r>
          <w:r>
            <w:rPr>
              <w:highlight w:val="none"/>
            </w:rPr>
            <w:fldChar w:fldCharType="end"/>
          </w:r>
        </w:p>
        <w:p w14:paraId="20F260C1">
          <w:pPr>
            <w:pStyle w:val="8"/>
            <w:tabs>
              <w:tab w:val="right" w:leader="dot" w:pos="8306"/>
            </w:tabs>
            <w:spacing w:line="312" w:lineRule="auto"/>
            <w:rPr>
              <w:highlight w:val="none"/>
            </w:rPr>
          </w:pPr>
          <w:r>
            <w:rPr>
              <w:highlight w:val="none"/>
            </w:rPr>
            <w:fldChar w:fldCharType="begin"/>
          </w:r>
          <w:r>
            <w:rPr>
              <w:highlight w:val="none"/>
            </w:rPr>
            <w:instrText xml:space="preserve"> HYPERLINK \l "_Toc6010" </w:instrText>
          </w:r>
          <w:r>
            <w:rPr>
              <w:highlight w:val="none"/>
            </w:rPr>
            <w:fldChar w:fldCharType="separate"/>
          </w:r>
          <w:r>
            <w:rPr>
              <w:rFonts w:hint="eastAsia" w:ascii="仿宋_GB2312" w:hAnsi="仿宋_GB2312" w:eastAsia="仿宋_GB2312" w:cs="仿宋_GB2312"/>
              <w:kern w:val="0"/>
              <w:sz w:val="28"/>
              <w:szCs w:val="28"/>
              <w:highlight w:val="none"/>
            </w:rPr>
            <w:t>二、货物清单</w:t>
          </w:r>
          <w:r>
            <w:rPr>
              <w:highlight w:val="none"/>
            </w:rPr>
            <w:tab/>
          </w:r>
          <w:r>
            <w:rPr>
              <w:highlight w:val="none"/>
            </w:rPr>
            <w:fldChar w:fldCharType="begin"/>
          </w:r>
          <w:r>
            <w:rPr>
              <w:highlight w:val="none"/>
            </w:rPr>
            <w:instrText xml:space="preserve"> PAGEREF _Toc6010 \h </w:instrText>
          </w:r>
          <w:r>
            <w:rPr>
              <w:highlight w:val="none"/>
            </w:rPr>
            <w:fldChar w:fldCharType="separate"/>
          </w:r>
          <w:r>
            <w:rPr>
              <w:highlight w:val="none"/>
            </w:rPr>
            <w:t>1</w:t>
          </w:r>
          <w:r>
            <w:rPr>
              <w:highlight w:val="none"/>
            </w:rPr>
            <w:fldChar w:fldCharType="end"/>
          </w:r>
          <w:r>
            <w:rPr>
              <w:highlight w:val="none"/>
            </w:rPr>
            <w:fldChar w:fldCharType="end"/>
          </w:r>
        </w:p>
        <w:p w14:paraId="7FD2BD9B">
          <w:pPr>
            <w:pStyle w:val="8"/>
            <w:tabs>
              <w:tab w:val="right" w:leader="dot" w:pos="8306"/>
            </w:tabs>
            <w:spacing w:line="312" w:lineRule="auto"/>
            <w:rPr>
              <w:highlight w:val="none"/>
            </w:rPr>
          </w:pPr>
          <w:r>
            <w:rPr>
              <w:highlight w:val="none"/>
            </w:rPr>
            <w:fldChar w:fldCharType="begin"/>
          </w:r>
          <w:r>
            <w:rPr>
              <w:highlight w:val="none"/>
            </w:rPr>
            <w:instrText xml:space="preserve"> HYPERLINK \l "_Toc23444" </w:instrText>
          </w:r>
          <w:r>
            <w:rPr>
              <w:highlight w:val="none"/>
            </w:rPr>
            <w:fldChar w:fldCharType="separate"/>
          </w:r>
          <w:r>
            <w:rPr>
              <w:rFonts w:hint="eastAsia" w:ascii="仿宋_GB2312" w:hAnsi="仿宋_GB2312" w:eastAsia="仿宋_GB2312" w:cs="仿宋_GB2312"/>
              <w:kern w:val="0"/>
              <w:sz w:val="28"/>
              <w:szCs w:val="28"/>
              <w:highlight w:val="none"/>
            </w:rPr>
            <w:t>三、货物供应</w:t>
          </w:r>
          <w:r>
            <w:rPr>
              <w:highlight w:val="none"/>
            </w:rPr>
            <w:tab/>
          </w:r>
          <w:r>
            <w:rPr>
              <w:highlight w:val="none"/>
            </w:rPr>
            <w:fldChar w:fldCharType="begin"/>
          </w:r>
          <w:r>
            <w:rPr>
              <w:highlight w:val="none"/>
            </w:rPr>
            <w:instrText xml:space="preserve"> PAGEREF _Toc23444 \h </w:instrText>
          </w:r>
          <w:r>
            <w:rPr>
              <w:highlight w:val="none"/>
            </w:rPr>
            <w:fldChar w:fldCharType="separate"/>
          </w:r>
          <w:r>
            <w:rPr>
              <w:highlight w:val="none"/>
            </w:rPr>
            <w:t>2</w:t>
          </w:r>
          <w:r>
            <w:rPr>
              <w:highlight w:val="none"/>
            </w:rPr>
            <w:fldChar w:fldCharType="end"/>
          </w:r>
          <w:r>
            <w:rPr>
              <w:highlight w:val="none"/>
            </w:rPr>
            <w:fldChar w:fldCharType="end"/>
          </w:r>
        </w:p>
        <w:p w14:paraId="658A5717">
          <w:pPr>
            <w:pStyle w:val="8"/>
            <w:tabs>
              <w:tab w:val="right" w:leader="dot" w:pos="8306"/>
            </w:tabs>
            <w:spacing w:line="312" w:lineRule="auto"/>
            <w:rPr>
              <w:highlight w:val="none"/>
            </w:rPr>
          </w:pPr>
          <w:r>
            <w:rPr>
              <w:highlight w:val="none"/>
            </w:rPr>
            <w:fldChar w:fldCharType="begin"/>
          </w:r>
          <w:r>
            <w:rPr>
              <w:highlight w:val="none"/>
            </w:rPr>
            <w:instrText xml:space="preserve"> HYPERLINK \l "_Toc12447" </w:instrText>
          </w:r>
          <w:r>
            <w:rPr>
              <w:highlight w:val="none"/>
            </w:rPr>
            <w:fldChar w:fldCharType="separate"/>
          </w:r>
          <w:r>
            <w:rPr>
              <w:rFonts w:hint="eastAsia" w:ascii="仿宋_GB2312" w:hAnsi="仿宋_GB2312" w:eastAsia="仿宋_GB2312" w:cs="仿宋_GB2312"/>
              <w:kern w:val="0"/>
              <w:sz w:val="28"/>
              <w:szCs w:val="28"/>
              <w:highlight w:val="none"/>
            </w:rPr>
            <w:t>四、货物质量</w:t>
          </w:r>
          <w:r>
            <w:rPr>
              <w:highlight w:val="none"/>
            </w:rPr>
            <w:tab/>
          </w:r>
          <w:r>
            <w:rPr>
              <w:highlight w:val="none"/>
            </w:rPr>
            <w:fldChar w:fldCharType="begin"/>
          </w:r>
          <w:r>
            <w:rPr>
              <w:highlight w:val="none"/>
            </w:rPr>
            <w:instrText xml:space="preserve"> PAGEREF _Toc12447 \h </w:instrText>
          </w:r>
          <w:r>
            <w:rPr>
              <w:highlight w:val="none"/>
            </w:rPr>
            <w:fldChar w:fldCharType="separate"/>
          </w:r>
          <w:r>
            <w:rPr>
              <w:highlight w:val="none"/>
            </w:rPr>
            <w:t>4</w:t>
          </w:r>
          <w:r>
            <w:rPr>
              <w:highlight w:val="none"/>
            </w:rPr>
            <w:fldChar w:fldCharType="end"/>
          </w:r>
          <w:r>
            <w:rPr>
              <w:highlight w:val="none"/>
            </w:rPr>
            <w:fldChar w:fldCharType="end"/>
          </w:r>
        </w:p>
        <w:p w14:paraId="1563E5A1">
          <w:pPr>
            <w:pStyle w:val="8"/>
            <w:tabs>
              <w:tab w:val="right" w:leader="dot" w:pos="8306"/>
            </w:tabs>
            <w:spacing w:line="312" w:lineRule="auto"/>
            <w:rPr>
              <w:highlight w:val="none"/>
            </w:rPr>
          </w:pPr>
          <w:r>
            <w:rPr>
              <w:highlight w:val="none"/>
            </w:rPr>
            <w:fldChar w:fldCharType="begin"/>
          </w:r>
          <w:r>
            <w:rPr>
              <w:highlight w:val="none"/>
            </w:rPr>
            <w:instrText xml:space="preserve"> HYPERLINK \l "_Toc3621" </w:instrText>
          </w:r>
          <w:r>
            <w:rPr>
              <w:highlight w:val="none"/>
            </w:rPr>
            <w:fldChar w:fldCharType="separate"/>
          </w:r>
          <w:r>
            <w:rPr>
              <w:rFonts w:hint="eastAsia" w:ascii="仿宋_GB2312" w:hAnsi="仿宋_GB2312" w:eastAsia="仿宋_GB2312" w:cs="仿宋_GB2312"/>
              <w:kern w:val="0"/>
              <w:sz w:val="28"/>
              <w:szCs w:val="28"/>
              <w:highlight w:val="none"/>
            </w:rPr>
            <w:t>五、货物验收</w:t>
          </w:r>
          <w:r>
            <w:rPr>
              <w:highlight w:val="none"/>
            </w:rPr>
            <w:tab/>
          </w:r>
          <w:r>
            <w:rPr>
              <w:highlight w:val="none"/>
            </w:rPr>
            <w:fldChar w:fldCharType="begin"/>
          </w:r>
          <w:r>
            <w:rPr>
              <w:highlight w:val="none"/>
            </w:rPr>
            <w:instrText xml:space="preserve"> PAGEREF _Toc3621 \h </w:instrText>
          </w:r>
          <w:r>
            <w:rPr>
              <w:highlight w:val="none"/>
            </w:rPr>
            <w:fldChar w:fldCharType="separate"/>
          </w:r>
          <w:r>
            <w:rPr>
              <w:highlight w:val="none"/>
            </w:rPr>
            <w:t>5</w:t>
          </w:r>
          <w:r>
            <w:rPr>
              <w:highlight w:val="none"/>
            </w:rPr>
            <w:fldChar w:fldCharType="end"/>
          </w:r>
          <w:r>
            <w:rPr>
              <w:highlight w:val="none"/>
            </w:rPr>
            <w:fldChar w:fldCharType="end"/>
          </w:r>
        </w:p>
        <w:p w14:paraId="3ABE9CB6">
          <w:pPr>
            <w:pStyle w:val="8"/>
            <w:tabs>
              <w:tab w:val="right" w:leader="dot" w:pos="8306"/>
            </w:tabs>
            <w:spacing w:line="312" w:lineRule="auto"/>
            <w:rPr>
              <w:highlight w:val="none"/>
            </w:rPr>
          </w:pPr>
          <w:r>
            <w:rPr>
              <w:highlight w:val="none"/>
            </w:rPr>
            <w:fldChar w:fldCharType="begin"/>
          </w:r>
          <w:r>
            <w:rPr>
              <w:highlight w:val="none"/>
            </w:rPr>
            <w:instrText xml:space="preserve"> HYPERLINK \l "_Toc23953" </w:instrText>
          </w:r>
          <w:r>
            <w:rPr>
              <w:highlight w:val="none"/>
            </w:rPr>
            <w:fldChar w:fldCharType="separate"/>
          </w:r>
          <w:r>
            <w:rPr>
              <w:rFonts w:hint="eastAsia" w:ascii="仿宋_GB2312" w:hAnsi="仿宋_GB2312" w:eastAsia="仿宋_GB2312" w:cs="仿宋_GB2312"/>
              <w:kern w:val="0"/>
              <w:sz w:val="28"/>
              <w:szCs w:val="28"/>
              <w:highlight w:val="none"/>
            </w:rPr>
            <w:t>六、货物结算</w:t>
          </w:r>
          <w:r>
            <w:rPr>
              <w:highlight w:val="none"/>
            </w:rPr>
            <w:tab/>
          </w:r>
          <w:r>
            <w:rPr>
              <w:highlight w:val="none"/>
            </w:rPr>
            <w:fldChar w:fldCharType="begin"/>
          </w:r>
          <w:r>
            <w:rPr>
              <w:highlight w:val="none"/>
            </w:rPr>
            <w:instrText xml:space="preserve"> PAGEREF _Toc23953 \h </w:instrText>
          </w:r>
          <w:r>
            <w:rPr>
              <w:highlight w:val="none"/>
            </w:rPr>
            <w:fldChar w:fldCharType="separate"/>
          </w:r>
          <w:r>
            <w:rPr>
              <w:highlight w:val="none"/>
            </w:rPr>
            <w:t>6</w:t>
          </w:r>
          <w:r>
            <w:rPr>
              <w:highlight w:val="none"/>
            </w:rPr>
            <w:fldChar w:fldCharType="end"/>
          </w:r>
          <w:r>
            <w:rPr>
              <w:highlight w:val="none"/>
            </w:rPr>
            <w:fldChar w:fldCharType="end"/>
          </w:r>
        </w:p>
        <w:p w14:paraId="3A871502">
          <w:pPr>
            <w:pStyle w:val="8"/>
            <w:tabs>
              <w:tab w:val="right" w:leader="dot" w:pos="8306"/>
            </w:tabs>
            <w:spacing w:line="312" w:lineRule="auto"/>
            <w:rPr>
              <w:highlight w:val="none"/>
            </w:rPr>
          </w:pPr>
          <w:r>
            <w:rPr>
              <w:highlight w:val="none"/>
            </w:rPr>
            <w:fldChar w:fldCharType="begin"/>
          </w:r>
          <w:r>
            <w:rPr>
              <w:highlight w:val="none"/>
            </w:rPr>
            <w:instrText xml:space="preserve"> HYPERLINK \l "_Toc32138" </w:instrText>
          </w:r>
          <w:r>
            <w:rPr>
              <w:highlight w:val="none"/>
            </w:rPr>
            <w:fldChar w:fldCharType="separate"/>
          </w:r>
          <w:r>
            <w:rPr>
              <w:rFonts w:hint="eastAsia" w:ascii="仿宋_GB2312" w:hAnsi="仿宋_GB2312" w:eastAsia="仿宋_GB2312" w:cs="仿宋_GB2312"/>
              <w:kern w:val="0"/>
              <w:sz w:val="28"/>
              <w:szCs w:val="28"/>
              <w:highlight w:val="none"/>
            </w:rPr>
            <w:t>七、货物付款</w:t>
          </w:r>
          <w:r>
            <w:rPr>
              <w:highlight w:val="none"/>
            </w:rPr>
            <w:tab/>
          </w:r>
          <w:r>
            <w:rPr>
              <w:highlight w:val="none"/>
            </w:rPr>
            <w:fldChar w:fldCharType="begin"/>
          </w:r>
          <w:r>
            <w:rPr>
              <w:highlight w:val="none"/>
            </w:rPr>
            <w:instrText xml:space="preserve"> PAGEREF _Toc32138 \h </w:instrText>
          </w:r>
          <w:r>
            <w:rPr>
              <w:highlight w:val="none"/>
            </w:rPr>
            <w:fldChar w:fldCharType="separate"/>
          </w:r>
          <w:r>
            <w:rPr>
              <w:highlight w:val="none"/>
            </w:rPr>
            <w:t>8</w:t>
          </w:r>
          <w:r>
            <w:rPr>
              <w:highlight w:val="none"/>
            </w:rPr>
            <w:fldChar w:fldCharType="end"/>
          </w:r>
          <w:r>
            <w:rPr>
              <w:highlight w:val="none"/>
            </w:rPr>
            <w:fldChar w:fldCharType="end"/>
          </w:r>
        </w:p>
        <w:p w14:paraId="7ED59223">
          <w:pPr>
            <w:pStyle w:val="8"/>
            <w:tabs>
              <w:tab w:val="right" w:leader="dot" w:pos="8306"/>
            </w:tabs>
            <w:spacing w:line="312" w:lineRule="auto"/>
            <w:rPr>
              <w:highlight w:val="none"/>
            </w:rPr>
          </w:pPr>
          <w:r>
            <w:rPr>
              <w:highlight w:val="none"/>
            </w:rPr>
            <w:fldChar w:fldCharType="begin"/>
          </w:r>
          <w:r>
            <w:rPr>
              <w:highlight w:val="none"/>
            </w:rPr>
            <w:instrText xml:space="preserve"> HYPERLINK \l "_Toc24664" </w:instrText>
          </w:r>
          <w:r>
            <w:rPr>
              <w:highlight w:val="none"/>
            </w:rPr>
            <w:fldChar w:fldCharType="separate"/>
          </w:r>
          <w:r>
            <w:rPr>
              <w:rFonts w:hint="eastAsia" w:ascii="仿宋_GB2312" w:hAnsi="仿宋_GB2312" w:eastAsia="仿宋_GB2312" w:cs="仿宋_GB2312"/>
              <w:kern w:val="0"/>
              <w:sz w:val="28"/>
              <w:szCs w:val="28"/>
              <w:highlight w:val="none"/>
            </w:rPr>
            <w:t>八、通知与送达</w:t>
          </w:r>
          <w:r>
            <w:rPr>
              <w:highlight w:val="none"/>
            </w:rPr>
            <w:tab/>
          </w:r>
          <w:r>
            <w:rPr>
              <w:highlight w:val="none"/>
            </w:rPr>
            <w:fldChar w:fldCharType="begin"/>
          </w:r>
          <w:r>
            <w:rPr>
              <w:highlight w:val="none"/>
            </w:rPr>
            <w:instrText xml:space="preserve"> PAGEREF _Toc24664 \h </w:instrText>
          </w:r>
          <w:r>
            <w:rPr>
              <w:highlight w:val="none"/>
            </w:rPr>
            <w:fldChar w:fldCharType="separate"/>
          </w:r>
          <w:r>
            <w:rPr>
              <w:highlight w:val="none"/>
            </w:rPr>
            <w:t>10</w:t>
          </w:r>
          <w:r>
            <w:rPr>
              <w:highlight w:val="none"/>
            </w:rPr>
            <w:fldChar w:fldCharType="end"/>
          </w:r>
          <w:r>
            <w:rPr>
              <w:highlight w:val="none"/>
            </w:rPr>
            <w:fldChar w:fldCharType="end"/>
          </w:r>
        </w:p>
        <w:p w14:paraId="381B1BF0">
          <w:pPr>
            <w:pStyle w:val="8"/>
            <w:tabs>
              <w:tab w:val="right" w:leader="dot" w:pos="8306"/>
            </w:tabs>
            <w:spacing w:line="312" w:lineRule="auto"/>
            <w:rPr>
              <w:highlight w:val="none"/>
            </w:rPr>
          </w:pPr>
          <w:r>
            <w:rPr>
              <w:highlight w:val="none"/>
            </w:rPr>
            <w:fldChar w:fldCharType="begin"/>
          </w:r>
          <w:r>
            <w:rPr>
              <w:highlight w:val="none"/>
            </w:rPr>
            <w:instrText xml:space="preserve"> HYPERLINK \l "_Toc26478" </w:instrText>
          </w:r>
          <w:r>
            <w:rPr>
              <w:highlight w:val="none"/>
            </w:rPr>
            <w:fldChar w:fldCharType="separate"/>
          </w:r>
          <w:r>
            <w:rPr>
              <w:rFonts w:hint="eastAsia" w:ascii="仿宋_GB2312" w:hAnsi="仿宋_GB2312" w:eastAsia="仿宋_GB2312" w:cs="仿宋_GB2312"/>
              <w:kern w:val="0"/>
              <w:sz w:val="28"/>
              <w:szCs w:val="28"/>
              <w:highlight w:val="none"/>
            </w:rPr>
            <w:t>九、合同生效</w:t>
          </w:r>
          <w:r>
            <w:rPr>
              <w:highlight w:val="none"/>
            </w:rPr>
            <w:tab/>
          </w:r>
          <w:r>
            <w:rPr>
              <w:highlight w:val="none"/>
            </w:rPr>
            <w:fldChar w:fldCharType="begin"/>
          </w:r>
          <w:r>
            <w:rPr>
              <w:highlight w:val="none"/>
            </w:rPr>
            <w:instrText xml:space="preserve"> PAGEREF _Toc26478 \h </w:instrText>
          </w:r>
          <w:r>
            <w:rPr>
              <w:highlight w:val="none"/>
            </w:rPr>
            <w:fldChar w:fldCharType="separate"/>
          </w:r>
          <w:r>
            <w:rPr>
              <w:highlight w:val="none"/>
            </w:rPr>
            <w:t>11</w:t>
          </w:r>
          <w:r>
            <w:rPr>
              <w:highlight w:val="none"/>
            </w:rPr>
            <w:fldChar w:fldCharType="end"/>
          </w:r>
          <w:r>
            <w:rPr>
              <w:highlight w:val="none"/>
            </w:rPr>
            <w:fldChar w:fldCharType="end"/>
          </w:r>
        </w:p>
        <w:p w14:paraId="1894A767">
          <w:pPr>
            <w:pStyle w:val="8"/>
            <w:tabs>
              <w:tab w:val="right" w:leader="dot" w:pos="8306"/>
            </w:tabs>
            <w:spacing w:line="312" w:lineRule="auto"/>
            <w:rPr>
              <w:highlight w:val="none"/>
            </w:rPr>
          </w:pPr>
          <w:r>
            <w:rPr>
              <w:highlight w:val="none"/>
            </w:rPr>
            <w:fldChar w:fldCharType="begin"/>
          </w:r>
          <w:r>
            <w:rPr>
              <w:highlight w:val="none"/>
            </w:rPr>
            <w:instrText xml:space="preserve"> HYPERLINK \l "_Toc7321" </w:instrText>
          </w:r>
          <w:r>
            <w:rPr>
              <w:highlight w:val="none"/>
            </w:rPr>
            <w:fldChar w:fldCharType="separate"/>
          </w:r>
          <w:r>
            <w:rPr>
              <w:rFonts w:hint="eastAsia" w:ascii="仿宋_GB2312" w:hAnsi="仿宋_GB2312" w:eastAsia="仿宋_GB2312" w:cs="仿宋_GB2312"/>
              <w:kern w:val="0"/>
              <w:sz w:val="28"/>
              <w:szCs w:val="28"/>
              <w:highlight w:val="none"/>
            </w:rPr>
            <w:t>附件一 授权委托书</w:t>
          </w:r>
          <w:r>
            <w:rPr>
              <w:highlight w:val="none"/>
            </w:rPr>
            <w:tab/>
          </w:r>
          <w:r>
            <w:rPr>
              <w:highlight w:val="none"/>
            </w:rPr>
            <w:fldChar w:fldCharType="begin"/>
          </w:r>
          <w:r>
            <w:rPr>
              <w:highlight w:val="none"/>
            </w:rPr>
            <w:instrText xml:space="preserve"> PAGEREF _Toc7321 \h </w:instrText>
          </w:r>
          <w:r>
            <w:rPr>
              <w:highlight w:val="none"/>
            </w:rPr>
            <w:fldChar w:fldCharType="separate"/>
          </w:r>
          <w:r>
            <w:rPr>
              <w:highlight w:val="none"/>
            </w:rPr>
            <w:t>13</w:t>
          </w:r>
          <w:r>
            <w:rPr>
              <w:highlight w:val="none"/>
            </w:rPr>
            <w:fldChar w:fldCharType="end"/>
          </w:r>
          <w:r>
            <w:rPr>
              <w:highlight w:val="none"/>
            </w:rPr>
            <w:fldChar w:fldCharType="end"/>
          </w:r>
        </w:p>
        <w:p w14:paraId="40785E24">
          <w:pPr>
            <w:pStyle w:val="8"/>
            <w:tabs>
              <w:tab w:val="right" w:leader="dot" w:pos="8306"/>
            </w:tabs>
            <w:spacing w:line="312" w:lineRule="auto"/>
            <w:rPr>
              <w:highlight w:val="none"/>
            </w:rPr>
          </w:pPr>
          <w:r>
            <w:rPr>
              <w:highlight w:val="none"/>
            </w:rPr>
            <w:fldChar w:fldCharType="begin"/>
          </w:r>
          <w:r>
            <w:rPr>
              <w:highlight w:val="none"/>
            </w:rPr>
            <w:instrText xml:space="preserve"> HYPERLINK \l "_Toc21254" </w:instrText>
          </w:r>
          <w:r>
            <w:rPr>
              <w:highlight w:val="none"/>
            </w:rPr>
            <w:fldChar w:fldCharType="separate"/>
          </w:r>
          <w:r>
            <w:rPr>
              <w:rFonts w:hint="eastAsia" w:ascii="仿宋_GB2312" w:hAnsi="仿宋_GB2312" w:eastAsia="仿宋_GB2312" w:cs="仿宋_GB2312"/>
              <w:kern w:val="0"/>
              <w:sz w:val="28"/>
              <w:szCs w:val="28"/>
              <w:highlight w:val="none"/>
            </w:rPr>
            <w:t>附件二 项目部合规权限告知书</w:t>
          </w:r>
          <w:r>
            <w:rPr>
              <w:highlight w:val="none"/>
            </w:rPr>
            <w:tab/>
          </w:r>
          <w:r>
            <w:rPr>
              <w:highlight w:val="none"/>
            </w:rPr>
            <w:fldChar w:fldCharType="begin"/>
          </w:r>
          <w:r>
            <w:rPr>
              <w:highlight w:val="none"/>
            </w:rPr>
            <w:instrText xml:space="preserve"> PAGEREF _Toc21254 \h </w:instrText>
          </w:r>
          <w:r>
            <w:rPr>
              <w:highlight w:val="none"/>
            </w:rPr>
            <w:fldChar w:fldCharType="separate"/>
          </w:r>
          <w:r>
            <w:rPr>
              <w:highlight w:val="none"/>
            </w:rPr>
            <w:t>14</w:t>
          </w:r>
          <w:r>
            <w:rPr>
              <w:highlight w:val="none"/>
            </w:rPr>
            <w:fldChar w:fldCharType="end"/>
          </w:r>
          <w:r>
            <w:rPr>
              <w:highlight w:val="none"/>
            </w:rPr>
            <w:fldChar w:fldCharType="end"/>
          </w:r>
        </w:p>
        <w:p w14:paraId="534609AB">
          <w:pPr>
            <w:pStyle w:val="8"/>
            <w:tabs>
              <w:tab w:val="right" w:leader="dot" w:pos="8306"/>
            </w:tabs>
            <w:spacing w:line="312" w:lineRule="auto"/>
            <w:rPr>
              <w:highlight w:val="none"/>
            </w:rPr>
          </w:pPr>
          <w:r>
            <w:rPr>
              <w:highlight w:val="none"/>
            </w:rPr>
            <w:fldChar w:fldCharType="begin"/>
          </w:r>
          <w:r>
            <w:rPr>
              <w:highlight w:val="none"/>
            </w:rPr>
            <w:instrText xml:space="preserve"> HYPERLINK \l "_Toc20069" </w:instrText>
          </w:r>
          <w:r>
            <w:rPr>
              <w:highlight w:val="none"/>
            </w:rPr>
            <w:fldChar w:fldCharType="separate"/>
          </w:r>
          <w:r>
            <w:rPr>
              <w:rFonts w:hint="eastAsia" w:ascii="仿宋_GB2312" w:hAnsi="仿宋_GB2312" w:eastAsia="仿宋_GB2312" w:cs="仿宋_GB2312"/>
              <w:kern w:val="0"/>
              <w:sz w:val="28"/>
              <w:szCs w:val="28"/>
              <w:highlight w:val="none"/>
            </w:rPr>
            <w:t>附件三 安全管理协议书</w:t>
          </w:r>
          <w:r>
            <w:rPr>
              <w:highlight w:val="none"/>
            </w:rPr>
            <w:tab/>
          </w:r>
          <w:r>
            <w:rPr>
              <w:highlight w:val="none"/>
            </w:rPr>
            <w:fldChar w:fldCharType="begin"/>
          </w:r>
          <w:r>
            <w:rPr>
              <w:highlight w:val="none"/>
            </w:rPr>
            <w:instrText xml:space="preserve"> PAGEREF _Toc20069 \h </w:instrText>
          </w:r>
          <w:r>
            <w:rPr>
              <w:highlight w:val="none"/>
            </w:rPr>
            <w:fldChar w:fldCharType="separate"/>
          </w:r>
          <w:r>
            <w:rPr>
              <w:highlight w:val="none"/>
            </w:rPr>
            <w:t>19</w:t>
          </w:r>
          <w:r>
            <w:rPr>
              <w:highlight w:val="none"/>
            </w:rPr>
            <w:fldChar w:fldCharType="end"/>
          </w:r>
          <w:r>
            <w:rPr>
              <w:highlight w:val="none"/>
            </w:rPr>
            <w:fldChar w:fldCharType="end"/>
          </w:r>
        </w:p>
        <w:p w14:paraId="32CD1E93">
          <w:pPr>
            <w:pStyle w:val="8"/>
            <w:tabs>
              <w:tab w:val="right" w:leader="dot" w:pos="8306"/>
            </w:tabs>
            <w:spacing w:line="312" w:lineRule="auto"/>
            <w:rPr>
              <w:highlight w:val="none"/>
            </w:rPr>
          </w:pPr>
          <w:r>
            <w:rPr>
              <w:highlight w:val="none"/>
            </w:rPr>
            <w:fldChar w:fldCharType="begin"/>
          </w:r>
          <w:r>
            <w:rPr>
              <w:highlight w:val="none"/>
            </w:rPr>
            <w:instrText xml:space="preserve"> HYPERLINK \l "_Toc24322" </w:instrText>
          </w:r>
          <w:r>
            <w:rPr>
              <w:highlight w:val="none"/>
            </w:rPr>
            <w:fldChar w:fldCharType="separate"/>
          </w:r>
          <w:r>
            <w:rPr>
              <w:rFonts w:hint="eastAsia" w:ascii="仿宋_GB2312" w:hAnsi="仿宋_GB2312" w:eastAsia="仿宋_GB2312" w:cs="仿宋_GB2312"/>
              <w:kern w:val="0"/>
              <w:sz w:val="28"/>
              <w:szCs w:val="28"/>
              <w:highlight w:val="none"/>
            </w:rPr>
            <w:t xml:space="preserve">附件四 </w:t>
          </w:r>
          <w:r>
            <w:rPr>
              <w:rFonts w:hint="eastAsia" w:ascii="仿宋_GB2312" w:hAnsi="仿宋_GB2312" w:eastAsia="仿宋_GB2312" w:cs="仿宋_GB2312"/>
              <w:sz w:val="28"/>
              <w:szCs w:val="28"/>
              <w:highlight w:val="none"/>
            </w:rPr>
            <w:t>廉洁从业共建协议</w:t>
          </w:r>
          <w:r>
            <w:rPr>
              <w:highlight w:val="none"/>
            </w:rPr>
            <w:tab/>
          </w:r>
          <w:r>
            <w:rPr>
              <w:highlight w:val="none"/>
            </w:rPr>
            <w:fldChar w:fldCharType="begin"/>
          </w:r>
          <w:r>
            <w:rPr>
              <w:highlight w:val="none"/>
            </w:rPr>
            <w:instrText xml:space="preserve"> PAGEREF _Toc24322 \h </w:instrText>
          </w:r>
          <w:r>
            <w:rPr>
              <w:highlight w:val="none"/>
            </w:rPr>
            <w:fldChar w:fldCharType="separate"/>
          </w:r>
          <w:r>
            <w:rPr>
              <w:highlight w:val="none"/>
            </w:rPr>
            <w:t>23</w:t>
          </w:r>
          <w:r>
            <w:rPr>
              <w:highlight w:val="none"/>
            </w:rPr>
            <w:fldChar w:fldCharType="end"/>
          </w:r>
          <w:r>
            <w:rPr>
              <w:highlight w:val="none"/>
            </w:rPr>
            <w:fldChar w:fldCharType="end"/>
          </w:r>
        </w:p>
        <w:p w14:paraId="78BA12A7">
          <w:pPr>
            <w:pStyle w:val="8"/>
            <w:tabs>
              <w:tab w:val="right" w:leader="dot" w:pos="8306"/>
            </w:tabs>
            <w:spacing w:line="312" w:lineRule="auto"/>
            <w:rPr>
              <w:highlight w:val="none"/>
            </w:rPr>
          </w:pPr>
          <w:r>
            <w:rPr>
              <w:highlight w:val="none"/>
            </w:rPr>
            <w:fldChar w:fldCharType="begin"/>
          </w:r>
          <w:r>
            <w:rPr>
              <w:highlight w:val="none"/>
            </w:rPr>
            <w:instrText xml:space="preserve"> HYPERLINK \l "_Toc18674" </w:instrText>
          </w:r>
          <w:r>
            <w:rPr>
              <w:highlight w:val="none"/>
            </w:rPr>
            <w:fldChar w:fldCharType="separate"/>
          </w:r>
          <w:r>
            <w:rPr>
              <w:rFonts w:hint="eastAsia" w:ascii="黑体" w:hAnsi="黑体" w:eastAsia="黑体" w:cs="黑体"/>
              <w:bCs/>
              <w:sz w:val="30"/>
              <w:szCs w:val="30"/>
              <w:highlight w:val="none"/>
            </w:rPr>
            <w:t>第二部分 通用条款</w:t>
          </w:r>
          <w:r>
            <w:rPr>
              <w:highlight w:val="none"/>
            </w:rPr>
            <w:tab/>
          </w:r>
          <w:r>
            <w:rPr>
              <w:highlight w:val="none"/>
            </w:rPr>
            <w:fldChar w:fldCharType="begin"/>
          </w:r>
          <w:r>
            <w:rPr>
              <w:highlight w:val="none"/>
            </w:rPr>
            <w:instrText xml:space="preserve"> PAGEREF _Toc18674 \h </w:instrText>
          </w:r>
          <w:r>
            <w:rPr>
              <w:highlight w:val="none"/>
            </w:rPr>
            <w:fldChar w:fldCharType="separate"/>
          </w:r>
          <w:r>
            <w:rPr>
              <w:highlight w:val="none"/>
            </w:rPr>
            <w:t>26</w:t>
          </w:r>
          <w:r>
            <w:rPr>
              <w:highlight w:val="none"/>
            </w:rPr>
            <w:fldChar w:fldCharType="end"/>
          </w:r>
          <w:r>
            <w:rPr>
              <w:highlight w:val="none"/>
            </w:rPr>
            <w:fldChar w:fldCharType="end"/>
          </w:r>
        </w:p>
        <w:p w14:paraId="561753E6">
          <w:pPr>
            <w:pStyle w:val="8"/>
            <w:tabs>
              <w:tab w:val="right" w:leader="dot" w:pos="8306"/>
            </w:tabs>
            <w:spacing w:line="312" w:lineRule="auto"/>
            <w:rPr>
              <w:highlight w:val="none"/>
            </w:rPr>
          </w:pPr>
          <w:r>
            <w:rPr>
              <w:highlight w:val="none"/>
            </w:rPr>
            <w:fldChar w:fldCharType="begin"/>
          </w:r>
          <w:r>
            <w:rPr>
              <w:highlight w:val="none"/>
            </w:rPr>
            <w:instrText xml:space="preserve"> HYPERLINK \l "_Toc3066" </w:instrText>
          </w:r>
          <w:r>
            <w:rPr>
              <w:highlight w:val="none"/>
            </w:rPr>
            <w:fldChar w:fldCharType="separate"/>
          </w:r>
          <w:r>
            <w:rPr>
              <w:rFonts w:hint="eastAsia" w:ascii="仿宋_GB2312" w:hAnsi="仿宋_GB2312" w:eastAsia="仿宋_GB2312" w:cs="仿宋_GB2312"/>
              <w:kern w:val="0"/>
              <w:sz w:val="28"/>
              <w:szCs w:val="28"/>
              <w:highlight w:val="none"/>
            </w:rPr>
            <w:t>一、货物合同附随义务</w:t>
          </w:r>
          <w:r>
            <w:rPr>
              <w:highlight w:val="none"/>
            </w:rPr>
            <w:tab/>
          </w:r>
          <w:r>
            <w:rPr>
              <w:highlight w:val="none"/>
            </w:rPr>
            <w:fldChar w:fldCharType="begin"/>
          </w:r>
          <w:r>
            <w:rPr>
              <w:highlight w:val="none"/>
            </w:rPr>
            <w:instrText xml:space="preserve"> PAGEREF _Toc3066 \h </w:instrText>
          </w:r>
          <w:r>
            <w:rPr>
              <w:highlight w:val="none"/>
            </w:rPr>
            <w:fldChar w:fldCharType="separate"/>
          </w:r>
          <w:r>
            <w:rPr>
              <w:highlight w:val="none"/>
            </w:rPr>
            <w:t>26</w:t>
          </w:r>
          <w:r>
            <w:rPr>
              <w:highlight w:val="none"/>
            </w:rPr>
            <w:fldChar w:fldCharType="end"/>
          </w:r>
          <w:r>
            <w:rPr>
              <w:highlight w:val="none"/>
            </w:rPr>
            <w:fldChar w:fldCharType="end"/>
          </w:r>
        </w:p>
        <w:p w14:paraId="4AC02A40">
          <w:pPr>
            <w:pStyle w:val="8"/>
            <w:tabs>
              <w:tab w:val="right" w:leader="dot" w:pos="8306"/>
            </w:tabs>
            <w:spacing w:line="312" w:lineRule="auto"/>
            <w:rPr>
              <w:highlight w:val="none"/>
            </w:rPr>
          </w:pPr>
          <w:r>
            <w:rPr>
              <w:highlight w:val="none"/>
            </w:rPr>
            <w:fldChar w:fldCharType="begin"/>
          </w:r>
          <w:r>
            <w:rPr>
              <w:highlight w:val="none"/>
            </w:rPr>
            <w:instrText xml:space="preserve"> HYPERLINK \l "_Toc965" </w:instrText>
          </w:r>
          <w:r>
            <w:rPr>
              <w:highlight w:val="none"/>
            </w:rPr>
            <w:fldChar w:fldCharType="separate"/>
          </w:r>
          <w:r>
            <w:rPr>
              <w:rFonts w:hint="eastAsia" w:ascii="仿宋_GB2312" w:hAnsi="仿宋_GB2312" w:eastAsia="仿宋_GB2312" w:cs="仿宋_GB2312"/>
              <w:kern w:val="0"/>
              <w:sz w:val="28"/>
              <w:szCs w:val="28"/>
              <w:highlight w:val="none"/>
            </w:rPr>
            <w:t>二、货物违约责任</w:t>
          </w:r>
          <w:r>
            <w:rPr>
              <w:highlight w:val="none"/>
            </w:rPr>
            <w:tab/>
          </w:r>
          <w:r>
            <w:rPr>
              <w:highlight w:val="none"/>
            </w:rPr>
            <w:fldChar w:fldCharType="begin"/>
          </w:r>
          <w:r>
            <w:rPr>
              <w:highlight w:val="none"/>
            </w:rPr>
            <w:instrText xml:space="preserve"> PAGEREF _Toc965 \h </w:instrText>
          </w:r>
          <w:r>
            <w:rPr>
              <w:highlight w:val="none"/>
            </w:rPr>
            <w:fldChar w:fldCharType="separate"/>
          </w:r>
          <w:r>
            <w:rPr>
              <w:highlight w:val="none"/>
            </w:rPr>
            <w:t>27</w:t>
          </w:r>
          <w:r>
            <w:rPr>
              <w:highlight w:val="none"/>
            </w:rPr>
            <w:fldChar w:fldCharType="end"/>
          </w:r>
          <w:r>
            <w:rPr>
              <w:highlight w:val="none"/>
            </w:rPr>
            <w:fldChar w:fldCharType="end"/>
          </w:r>
        </w:p>
        <w:p w14:paraId="6EF212C1">
          <w:pPr>
            <w:pStyle w:val="8"/>
            <w:tabs>
              <w:tab w:val="right" w:leader="dot" w:pos="8306"/>
            </w:tabs>
            <w:spacing w:line="312" w:lineRule="auto"/>
            <w:rPr>
              <w:highlight w:val="none"/>
            </w:rPr>
          </w:pPr>
          <w:r>
            <w:rPr>
              <w:highlight w:val="none"/>
            </w:rPr>
            <w:fldChar w:fldCharType="begin"/>
          </w:r>
          <w:r>
            <w:rPr>
              <w:highlight w:val="none"/>
            </w:rPr>
            <w:instrText xml:space="preserve"> HYPERLINK \l "_Toc20335" </w:instrText>
          </w:r>
          <w:r>
            <w:rPr>
              <w:highlight w:val="none"/>
            </w:rPr>
            <w:fldChar w:fldCharType="separate"/>
          </w:r>
          <w:r>
            <w:rPr>
              <w:rFonts w:hint="eastAsia" w:ascii="仿宋_GB2312" w:hAnsi="仿宋_GB2312" w:eastAsia="仿宋_GB2312" w:cs="仿宋_GB2312"/>
              <w:kern w:val="0"/>
              <w:sz w:val="28"/>
              <w:szCs w:val="28"/>
              <w:highlight w:val="none"/>
            </w:rPr>
            <w:t>三、货物缺陷索赔</w:t>
          </w:r>
          <w:r>
            <w:rPr>
              <w:highlight w:val="none"/>
            </w:rPr>
            <w:tab/>
          </w:r>
          <w:r>
            <w:rPr>
              <w:highlight w:val="none"/>
            </w:rPr>
            <w:fldChar w:fldCharType="begin"/>
          </w:r>
          <w:r>
            <w:rPr>
              <w:highlight w:val="none"/>
            </w:rPr>
            <w:instrText xml:space="preserve"> PAGEREF _Toc20335 \h </w:instrText>
          </w:r>
          <w:r>
            <w:rPr>
              <w:highlight w:val="none"/>
            </w:rPr>
            <w:fldChar w:fldCharType="separate"/>
          </w:r>
          <w:r>
            <w:rPr>
              <w:highlight w:val="none"/>
            </w:rPr>
            <w:t>29</w:t>
          </w:r>
          <w:r>
            <w:rPr>
              <w:highlight w:val="none"/>
            </w:rPr>
            <w:fldChar w:fldCharType="end"/>
          </w:r>
          <w:r>
            <w:rPr>
              <w:highlight w:val="none"/>
            </w:rPr>
            <w:fldChar w:fldCharType="end"/>
          </w:r>
        </w:p>
        <w:p w14:paraId="1839E864">
          <w:pPr>
            <w:pStyle w:val="8"/>
            <w:tabs>
              <w:tab w:val="right" w:leader="dot" w:pos="8306"/>
            </w:tabs>
            <w:spacing w:line="312" w:lineRule="auto"/>
            <w:rPr>
              <w:highlight w:val="none"/>
            </w:rPr>
          </w:pPr>
          <w:r>
            <w:rPr>
              <w:highlight w:val="none"/>
            </w:rPr>
            <w:fldChar w:fldCharType="begin"/>
          </w:r>
          <w:r>
            <w:rPr>
              <w:highlight w:val="none"/>
            </w:rPr>
            <w:instrText xml:space="preserve"> HYPERLINK \l "_Toc12864" </w:instrText>
          </w:r>
          <w:r>
            <w:rPr>
              <w:highlight w:val="none"/>
            </w:rPr>
            <w:fldChar w:fldCharType="separate"/>
          </w:r>
          <w:r>
            <w:rPr>
              <w:rFonts w:hint="eastAsia" w:ascii="仿宋_GB2312" w:hAnsi="仿宋_GB2312" w:eastAsia="仿宋_GB2312" w:cs="仿宋_GB2312"/>
              <w:kern w:val="0"/>
              <w:sz w:val="28"/>
              <w:szCs w:val="28"/>
              <w:highlight w:val="none"/>
            </w:rPr>
            <w:t>四、合同变更</w:t>
          </w:r>
          <w:r>
            <w:rPr>
              <w:highlight w:val="none"/>
            </w:rPr>
            <w:tab/>
          </w:r>
          <w:r>
            <w:rPr>
              <w:highlight w:val="none"/>
            </w:rPr>
            <w:fldChar w:fldCharType="begin"/>
          </w:r>
          <w:r>
            <w:rPr>
              <w:highlight w:val="none"/>
            </w:rPr>
            <w:instrText xml:space="preserve"> PAGEREF _Toc12864 \h </w:instrText>
          </w:r>
          <w:r>
            <w:rPr>
              <w:highlight w:val="none"/>
            </w:rPr>
            <w:fldChar w:fldCharType="separate"/>
          </w:r>
          <w:r>
            <w:rPr>
              <w:highlight w:val="none"/>
            </w:rPr>
            <w:t>30</w:t>
          </w:r>
          <w:r>
            <w:rPr>
              <w:highlight w:val="none"/>
            </w:rPr>
            <w:fldChar w:fldCharType="end"/>
          </w:r>
          <w:r>
            <w:rPr>
              <w:highlight w:val="none"/>
            </w:rPr>
            <w:fldChar w:fldCharType="end"/>
          </w:r>
        </w:p>
        <w:p w14:paraId="0DC7F411">
          <w:pPr>
            <w:pStyle w:val="8"/>
            <w:tabs>
              <w:tab w:val="right" w:leader="dot" w:pos="8306"/>
            </w:tabs>
            <w:spacing w:line="312" w:lineRule="auto"/>
            <w:rPr>
              <w:highlight w:val="none"/>
            </w:rPr>
          </w:pPr>
          <w:r>
            <w:rPr>
              <w:highlight w:val="none"/>
            </w:rPr>
            <w:fldChar w:fldCharType="begin"/>
          </w:r>
          <w:r>
            <w:rPr>
              <w:highlight w:val="none"/>
            </w:rPr>
            <w:instrText xml:space="preserve"> HYPERLINK \l "_Toc23441" </w:instrText>
          </w:r>
          <w:r>
            <w:rPr>
              <w:highlight w:val="none"/>
            </w:rPr>
            <w:fldChar w:fldCharType="separate"/>
          </w:r>
          <w:r>
            <w:rPr>
              <w:rFonts w:hint="eastAsia" w:ascii="仿宋_GB2312" w:hAnsi="仿宋_GB2312" w:eastAsia="仿宋_GB2312" w:cs="仿宋_GB2312"/>
              <w:kern w:val="0"/>
              <w:sz w:val="28"/>
              <w:szCs w:val="28"/>
              <w:highlight w:val="none"/>
            </w:rPr>
            <w:t>五、合同解除</w:t>
          </w:r>
          <w:r>
            <w:rPr>
              <w:highlight w:val="none"/>
            </w:rPr>
            <w:tab/>
          </w:r>
          <w:r>
            <w:rPr>
              <w:highlight w:val="none"/>
            </w:rPr>
            <w:fldChar w:fldCharType="begin"/>
          </w:r>
          <w:r>
            <w:rPr>
              <w:highlight w:val="none"/>
            </w:rPr>
            <w:instrText xml:space="preserve"> PAGEREF _Toc23441 \h </w:instrText>
          </w:r>
          <w:r>
            <w:rPr>
              <w:highlight w:val="none"/>
            </w:rPr>
            <w:fldChar w:fldCharType="separate"/>
          </w:r>
          <w:r>
            <w:rPr>
              <w:highlight w:val="none"/>
            </w:rPr>
            <w:t>30</w:t>
          </w:r>
          <w:r>
            <w:rPr>
              <w:highlight w:val="none"/>
            </w:rPr>
            <w:fldChar w:fldCharType="end"/>
          </w:r>
          <w:r>
            <w:rPr>
              <w:highlight w:val="none"/>
            </w:rPr>
            <w:fldChar w:fldCharType="end"/>
          </w:r>
        </w:p>
        <w:p w14:paraId="6D24CBF2">
          <w:pPr>
            <w:pStyle w:val="8"/>
            <w:tabs>
              <w:tab w:val="right" w:leader="dot" w:pos="8306"/>
            </w:tabs>
            <w:spacing w:line="312" w:lineRule="auto"/>
            <w:rPr>
              <w:highlight w:val="none"/>
            </w:rPr>
          </w:pPr>
          <w:r>
            <w:rPr>
              <w:highlight w:val="none"/>
            </w:rPr>
            <w:fldChar w:fldCharType="begin"/>
          </w:r>
          <w:r>
            <w:rPr>
              <w:highlight w:val="none"/>
            </w:rPr>
            <w:instrText xml:space="preserve"> HYPERLINK \l "_Toc16580" </w:instrText>
          </w:r>
          <w:r>
            <w:rPr>
              <w:highlight w:val="none"/>
            </w:rPr>
            <w:fldChar w:fldCharType="separate"/>
          </w:r>
          <w:r>
            <w:rPr>
              <w:rFonts w:hint="eastAsia" w:ascii="仿宋_GB2312" w:hAnsi="仿宋_GB2312" w:eastAsia="仿宋_GB2312" w:cs="仿宋_GB2312"/>
              <w:kern w:val="0"/>
              <w:sz w:val="28"/>
              <w:szCs w:val="28"/>
              <w:highlight w:val="none"/>
            </w:rPr>
            <w:t>六、不可抗力</w:t>
          </w:r>
          <w:r>
            <w:rPr>
              <w:highlight w:val="none"/>
            </w:rPr>
            <w:tab/>
          </w:r>
          <w:r>
            <w:rPr>
              <w:highlight w:val="none"/>
            </w:rPr>
            <w:fldChar w:fldCharType="begin"/>
          </w:r>
          <w:r>
            <w:rPr>
              <w:highlight w:val="none"/>
            </w:rPr>
            <w:instrText xml:space="preserve"> PAGEREF _Toc16580 \h </w:instrText>
          </w:r>
          <w:r>
            <w:rPr>
              <w:highlight w:val="none"/>
            </w:rPr>
            <w:fldChar w:fldCharType="separate"/>
          </w:r>
          <w:r>
            <w:rPr>
              <w:highlight w:val="none"/>
            </w:rPr>
            <w:t>31</w:t>
          </w:r>
          <w:r>
            <w:rPr>
              <w:highlight w:val="none"/>
            </w:rPr>
            <w:fldChar w:fldCharType="end"/>
          </w:r>
          <w:r>
            <w:rPr>
              <w:highlight w:val="none"/>
            </w:rPr>
            <w:fldChar w:fldCharType="end"/>
          </w:r>
        </w:p>
        <w:p w14:paraId="5A2FC7B8">
          <w:pPr>
            <w:pStyle w:val="8"/>
            <w:tabs>
              <w:tab w:val="right" w:leader="dot" w:pos="8306"/>
            </w:tabs>
            <w:spacing w:line="312" w:lineRule="auto"/>
            <w:rPr>
              <w:highlight w:val="none"/>
            </w:rPr>
          </w:pPr>
          <w:r>
            <w:rPr>
              <w:highlight w:val="none"/>
            </w:rPr>
            <w:fldChar w:fldCharType="begin"/>
          </w:r>
          <w:r>
            <w:rPr>
              <w:highlight w:val="none"/>
            </w:rPr>
            <w:instrText xml:space="preserve"> HYPERLINK \l "_Toc10852" </w:instrText>
          </w:r>
          <w:r>
            <w:rPr>
              <w:highlight w:val="none"/>
            </w:rPr>
            <w:fldChar w:fldCharType="separate"/>
          </w:r>
          <w:r>
            <w:rPr>
              <w:rFonts w:hint="eastAsia" w:ascii="仿宋_GB2312" w:hAnsi="仿宋_GB2312" w:eastAsia="仿宋_GB2312" w:cs="仿宋_GB2312"/>
              <w:kern w:val="0"/>
              <w:sz w:val="28"/>
              <w:szCs w:val="28"/>
              <w:highlight w:val="none"/>
            </w:rPr>
            <w:t>七、争议解决</w:t>
          </w:r>
          <w:r>
            <w:rPr>
              <w:highlight w:val="none"/>
            </w:rPr>
            <w:tab/>
          </w:r>
          <w:r>
            <w:rPr>
              <w:highlight w:val="none"/>
            </w:rPr>
            <w:fldChar w:fldCharType="begin"/>
          </w:r>
          <w:r>
            <w:rPr>
              <w:highlight w:val="none"/>
            </w:rPr>
            <w:instrText xml:space="preserve"> PAGEREF _Toc10852 \h </w:instrText>
          </w:r>
          <w:r>
            <w:rPr>
              <w:highlight w:val="none"/>
            </w:rPr>
            <w:fldChar w:fldCharType="separate"/>
          </w:r>
          <w:r>
            <w:rPr>
              <w:highlight w:val="none"/>
            </w:rPr>
            <w:t>32</w:t>
          </w:r>
          <w:r>
            <w:rPr>
              <w:highlight w:val="none"/>
            </w:rPr>
            <w:fldChar w:fldCharType="end"/>
          </w:r>
          <w:r>
            <w:rPr>
              <w:highlight w:val="none"/>
            </w:rPr>
            <w:fldChar w:fldCharType="end"/>
          </w:r>
        </w:p>
        <w:p w14:paraId="6AD1E87B">
          <w:pPr>
            <w:pStyle w:val="8"/>
            <w:tabs>
              <w:tab w:val="right" w:leader="dot" w:pos="8306"/>
            </w:tabs>
            <w:spacing w:line="312" w:lineRule="auto"/>
            <w:rPr>
              <w:highlight w:val="none"/>
            </w:rPr>
          </w:pPr>
          <w:r>
            <w:rPr>
              <w:highlight w:val="none"/>
            </w:rPr>
            <w:fldChar w:fldCharType="begin"/>
          </w:r>
          <w:r>
            <w:rPr>
              <w:highlight w:val="none"/>
            </w:rPr>
            <w:instrText xml:space="preserve"> HYPERLINK \l "_Toc11207" </w:instrText>
          </w:r>
          <w:r>
            <w:rPr>
              <w:highlight w:val="none"/>
            </w:rPr>
            <w:fldChar w:fldCharType="separate"/>
          </w:r>
          <w:r>
            <w:rPr>
              <w:rFonts w:hint="eastAsia" w:ascii="仿宋_GB2312" w:hAnsi="仿宋_GB2312" w:eastAsia="仿宋_GB2312" w:cs="仿宋_GB2312"/>
              <w:kern w:val="0"/>
              <w:sz w:val="28"/>
              <w:szCs w:val="28"/>
              <w:highlight w:val="none"/>
            </w:rPr>
            <w:t>八、保密义务</w:t>
          </w:r>
          <w:r>
            <w:rPr>
              <w:highlight w:val="none"/>
            </w:rPr>
            <w:tab/>
          </w:r>
          <w:r>
            <w:rPr>
              <w:highlight w:val="none"/>
            </w:rPr>
            <w:fldChar w:fldCharType="begin"/>
          </w:r>
          <w:r>
            <w:rPr>
              <w:highlight w:val="none"/>
            </w:rPr>
            <w:instrText xml:space="preserve"> PAGEREF _Toc11207 \h </w:instrText>
          </w:r>
          <w:r>
            <w:rPr>
              <w:highlight w:val="none"/>
            </w:rPr>
            <w:fldChar w:fldCharType="separate"/>
          </w:r>
          <w:r>
            <w:rPr>
              <w:highlight w:val="none"/>
            </w:rPr>
            <w:t>32</w:t>
          </w:r>
          <w:r>
            <w:rPr>
              <w:highlight w:val="none"/>
            </w:rPr>
            <w:fldChar w:fldCharType="end"/>
          </w:r>
          <w:r>
            <w:rPr>
              <w:highlight w:val="none"/>
            </w:rPr>
            <w:fldChar w:fldCharType="end"/>
          </w:r>
        </w:p>
        <w:p w14:paraId="1FC31133">
          <w:pPr>
            <w:pStyle w:val="8"/>
            <w:tabs>
              <w:tab w:val="right" w:leader="dot" w:pos="8306"/>
            </w:tabs>
            <w:spacing w:line="312" w:lineRule="auto"/>
            <w:rPr>
              <w:highlight w:val="none"/>
            </w:rPr>
          </w:pPr>
          <w:r>
            <w:rPr>
              <w:highlight w:val="none"/>
            </w:rPr>
            <w:fldChar w:fldCharType="begin"/>
          </w:r>
          <w:r>
            <w:rPr>
              <w:highlight w:val="none"/>
            </w:rPr>
            <w:instrText xml:space="preserve"> HYPERLINK \l "_Toc3848" </w:instrText>
          </w:r>
          <w:r>
            <w:rPr>
              <w:highlight w:val="none"/>
            </w:rPr>
            <w:fldChar w:fldCharType="separate"/>
          </w:r>
          <w:r>
            <w:rPr>
              <w:rFonts w:hint="eastAsia" w:ascii="仿宋_GB2312" w:hAnsi="仿宋_GB2312" w:eastAsia="仿宋_GB2312" w:cs="仿宋_GB2312"/>
              <w:kern w:val="0"/>
              <w:sz w:val="28"/>
              <w:szCs w:val="28"/>
              <w:highlight w:val="none"/>
            </w:rPr>
            <w:t>九、其他条款</w:t>
          </w:r>
          <w:r>
            <w:rPr>
              <w:highlight w:val="none"/>
            </w:rPr>
            <w:tab/>
          </w:r>
          <w:r>
            <w:rPr>
              <w:highlight w:val="none"/>
            </w:rPr>
            <w:fldChar w:fldCharType="begin"/>
          </w:r>
          <w:r>
            <w:rPr>
              <w:highlight w:val="none"/>
            </w:rPr>
            <w:instrText xml:space="preserve"> PAGEREF _Toc3848 \h </w:instrText>
          </w:r>
          <w:r>
            <w:rPr>
              <w:highlight w:val="none"/>
            </w:rPr>
            <w:fldChar w:fldCharType="separate"/>
          </w:r>
          <w:r>
            <w:rPr>
              <w:highlight w:val="none"/>
            </w:rPr>
            <w:t>33</w:t>
          </w:r>
          <w:r>
            <w:rPr>
              <w:highlight w:val="none"/>
            </w:rPr>
            <w:fldChar w:fldCharType="end"/>
          </w:r>
          <w:r>
            <w:rPr>
              <w:highlight w:val="none"/>
            </w:rPr>
            <w:fldChar w:fldCharType="end"/>
          </w:r>
        </w:p>
        <w:p w14:paraId="6D6F6E3E">
          <w:pPr>
            <w:spacing w:line="312" w:lineRule="auto"/>
            <w:jc w:val="center"/>
            <w:rPr>
              <w:rFonts w:ascii="仿宋" w:hAnsi="仿宋" w:eastAsia="仿宋" w:cs="仿宋"/>
              <w:color w:val="000000" w:themeColor="text1"/>
              <w:highlight w:val="none"/>
              <w14:textFill>
                <w14:solidFill>
                  <w14:schemeClr w14:val="tx1"/>
                </w14:solidFill>
              </w14:textFill>
            </w:rPr>
            <w:sectPr>
              <w:headerReference r:id="rId7" w:type="first"/>
              <w:footerReference r:id="rId9" w:type="first"/>
              <w:footerReference r:id="rId8" w:type="default"/>
              <w:pgSz w:w="11906" w:h="16838"/>
              <w:pgMar w:top="1440" w:right="1800" w:bottom="1440" w:left="1800" w:header="850" w:footer="975" w:gutter="0"/>
              <w:pgNumType w:start="1"/>
              <w:cols w:space="0" w:num="1"/>
              <w:titlePg/>
              <w:docGrid w:linePitch="312" w:charSpace="0"/>
            </w:sectPr>
          </w:pPr>
          <w:r>
            <w:rPr>
              <w:rFonts w:hint="eastAsia" w:ascii="仿宋" w:hAnsi="仿宋" w:eastAsia="仿宋" w:cs="仿宋"/>
              <w:color w:val="000000" w:themeColor="text1"/>
              <w:highlight w:val="none"/>
              <w14:textFill>
                <w14:solidFill>
                  <w14:schemeClr w14:val="tx1"/>
                </w14:solidFill>
              </w14:textFill>
            </w:rPr>
            <w:fldChar w:fldCharType="end"/>
          </w:r>
          <w:permEnd w:id="4"/>
        </w:p>
      </w:sdtContent>
    </w:sdt>
    <w:p w14:paraId="24B58658">
      <w:pPr>
        <w:pStyle w:val="12"/>
        <w:jc w:val="center"/>
        <w:outlineLvl w:val="0"/>
        <w:rPr>
          <w:rFonts w:ascii="仿宋" w:hAnsi="仿宋" w:eastAsia="仿宋" w:cs="仿宋"/>
          <w:b/>
          <w:bCs/>
          <w:color w:val="000000" w:themeColor="text1"/>
          <w:sz w:val="32"/>
          <w:szCs w:val="32"/>
          <w:highlight w:val="none"/>
          <w14:textFill>
            <w14:solidFill>
              <w14:schemeClr w14:val="tx1"/>
            </w14:solidFill>
          </w14:textFill>
        </w:rPr>
      </w:pPr>
      <w:bookmarkStart w:id="1" w:name="_Toc22574"/>
      <w:bookmarkStart w:id="2" w:name="_Toc31405"/>
      <w:bookmarkStart w:id="3" w:name="_Toc5953"/>
      <w:r>
        <w:rPr>
          <w:rFonts w:hint="eastAsia" w:ascii="黑体" w:hAnsi="黑体" w:eastAsia="黑体" w:cs="黑体"/>
          <w:b/>
          <w:bCs/>
          <w:color w:val="000000" w:themeColor="text1"/>
          <w:sz w:val="32"/>
          <w:szCs w:val="32"/>
          <w:highlight w:val="none"/>
          <w14:textFill>
            <w14:solidFill>
              <w14:schemeClr w14:val="tx1"/>
            </w14:solidFill>
          </w14:textFill>
        </w:rPr>
        <w:t>第一部分</w:t>
      </w:r>
      <w:bookmarkEnd w:id="1"/>
      <w:r>
        <w:rPr>
          <w:rFonts w:hint="eastAsia" w:ascii="黑体" w:hAnsi="黑体" w:eastAsia="黑体" w:cs="黑体"/>
          <w:b/>
          <w:bCs/>
          <w:color w:val="000000" w:themeColor="text1"/>
          <w:sz w:val="32"/>
          <w:szCs w:val="32"/>
          <w:highlight w:val="none"/>
          <w14:textFill>
            <w14:solidFill>
              <w14:schemeClr w14:val="tx1"/>
            </w14:solidFill>
          </w14:textFill>
        </w:rPr>
        <w:t xml:space="preserve"> 专用条款</w:t>
      </w:r>
      <w:bookmarkEnd w:id="2"/>
      <w:bookmarkEnd w:id="3"/>
    </w:p>
    <w:p w14:paraId="05632326">
      <w:pPr>
        <w:pStyle w:val="12"/>
        <w:spacing w:before="240" w:beforeLines="100" w:line="400" w:lineRule="atLeast"/>
        <w:rPr>
          <w:rFonts w:hint="default" w:ascii="仿宋_GB2312" w:hAnsi="仿宋_GB2312" w:eastAsia="仿宋_GB2312" w:cs="仿宋_GB2312"/>
          <w:color w:val="000000" w:themeColor="text1"/>
          <w:highlight w:val="none"/>
          <w:lang w:val="en-US" w:eastAsia="zh-CN"/>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 xml:space="preserve">甲方（买方）： </w:t>
      </w:r>
      <w:permStart w:id="5" w:edGrp="everyone"/>
      <w:r>
        <w:rPr>
          <w:rFonts w:hint="eastAsia" w:ascii="仿宋_GB2312" w:hAnsi="仿宋_GB2312" w:eastAsia="仿宋_GB2312" w:cs="仿宋_GB2312"/>
          <w:color w:val="000000" w:themeColor="text1"/>
          <w:highlight w:val="none"/>
          <w:u w:val="single"/>
          <w14:textFill>
            <w14:solidFill>
              <w14:schemeClr w14:val="tx1"/>
            </w14:solidFill>
          </w14:textFill>
        </w:rPr>
        <w:t xml:space="preserve"> </w:t>
      </w:r>
      <w:r>
        <w:rPr>
          <w:rFonts w:hint="eastAsia" w:ascii="仿宋_GB2312" w:hAnsi="仿宋_GB2312" w:eastAsia="仿宋_GB2312" w:cs="仿宋_GB2312"/>
          <w:color w:val="000000" w:themeColor="text1"/>
          <w:highlight w:val="none"/>
          <w:u w:val="single"/>
          <w:lang w:eastAsia="zh-CN"/>
          <w14:textFill>
            <w14:solidFill>
              <w14:schemeClr w14:val="tx1"/>
            </w14:solidFill>
          </w14:textFill>
        </w:rPr>
        <w:t>西藏中建建设有限责任公司</w:t>
      </w:r>
      <w:r>
        <w:rPr>
          <w:rFonts w:hint="eastAsia" w:ascii="仿宋_GB2312" w:hAnsi="仿宋_GB2312" w:eastAsia="仿宋_GB2312" w:cs="仿宋_GB2312"/>
          <w:color w:val="000000" w:themeColor="text1"/>
          <w:highlight w:val="none"/>
          <w:u w:val="single"/>
          <w14:textFill>
            <w14:solidFill>
              <w14:schemeClr w14:val="tx1"/>
            </w14:solidFill>
          </w14:textFill>
        </w:rPr>
        <w:t xml:space="preserve">  </w:t>
      </w:r>
      <w:r>
        <w:rPr>
          <w:rFonts w:hint="eastAsia" w:ascii="仿宋_GB2312" w:hAnsi="仿宋_GB2312" w:eastAsia="仿宋_GB2312" w:cs="仿宋_GB2312"/>
          <w:color w:val="000000" w:themeColor="text1"/>
          <w:highlight w:val="none"/>
          <w:u w:val="single"/>
          <w:lang w:val="en-US" w:eastAsia="zh-CN"/>
          <w14:textFill>
            <w14:solidFill>
              <w14:schemeClr w14:val="tx1"/>
            </w14:solidFill>
          </w14:textFill>
        </w:rPr>
        <w:t xml:space="preserve"> </w:t>
      </w:r>
      <w:permEnd w:id="5"/>
    </w:p>
    <w:p w14:paraId="3BAE9A44">
      <w:pPr>
        <w:pStyle w:val="12"/>
        <w:spacing w:line="400" w:lineRule="atLeast"/>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乙方（卖方）：</w:t>
      </w:r>
      <w:permStart w:id="6" w:edGrp="everyone"/>
      <w:r>
        <w:rPr>
          <w:rFonts w:hint="eastAsia" w:ascii="仿宋_GB2312" w:hAnsi="仿宋_GB2312" w:eastAsia="仿宋_GB2312" w:cs="仿宋_GB2312"/>
          <w:color w:val="000000" w:themeColor="text1"/>
          <w:highlight w:val="none"/>
          <w14:textFill>
            <w14:solidFill>
              <w14:schemeClr w14:val="tx1"/>
            </w14:solidFill>
          </w14:textFill>
        </w:rPr>
        <w:t xml:space="preserve"> </w:t>
      </w:r>
      <w:r>
        <w:rPr>
          <w:rFonts w:hint="eastAsia" w:ascii="仿宋_GB2312" w:hAnsi="仿宋_GB2312" w:eastAsia="仿宋_GB2312" w:cs="仿宋_GB2312"/>
          <w:color w:val="000000" w:themeColor="text1"/>
          <w:highlight w:val="none"/>
          <w:u w:val="single"/>
          <w14:textFill>
            <w14:solidFill>
              <w14:schemeClr w14:val="tx1"/>
            </w14:solidFill>
          </w14:textFill>
        </w:rPr>
        <w:t xml:space="preserve">   </w:t>
      </w:r>
      <w:r>
        <w:rPr>
          <w:rFonts w:ascii="仿宋_GB2312" w:hAnsi="仿宋_GB2312" w:eastAsia="仿宋_GB2312" w:cs="仿宋_GB2312"/>
          <w:color w:val="000000" w:themeColor="text1"/>
          <w:highlight w:val="none"/>
          <w:u w:val="single"/>
          <w14:textFill>
            <w14:solidFill>
              <w14:schemeClr w14:val="tx1"/>
            </w14:solidFill>
          </w14:textFill>
        </w:rPr>
        <w:t xml:space="preserve">                      </w:t>
      </w:r>
      <w:r>
        <w:rPr>
          <w:rFonts w:hint="eastAsia" w:ascii="仿宋_GB2312" w:hAnsi="仿宋_GB2312" w:eastAsia="仿宋_GB2312" w:cs="仿宋_GB2312"/>
          <w:color w:val="000000" w:themeColor="text1"/>
          <w:highlight w:val="none"/>
          <w:u w:val="single"/>
          <w14:textFill>
            <w14:solidFill>
              <w14:schemeClr w14:val="tx1"/>
            </w14:solidFill>
          </w14:textFill>
        </w:rPr>
        <w:t xml:space="preserve">  </w:t>
      </w:r>
    </w:p>
    <w:permEnd w:id="6"/>
    <w:p w14:paraId="633853ED">
      <w:pPr>
        <w:pStyle w:val="12"/>
        <w:spacing w:line="400" w:lineRule="atLeast"/>
        <w:ind w:firstLine="482"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根据</w:t>
      </w:r>
      <w:r>
        <w:rPr>
          <w:rFonts w:hint="eastAsia" w:ascii="仿宋_GB2312" w:hAnsi="仿宋_GB2312" w:eastAsia="仿宋_GB2312" w:cs="仿宋_GB2312"/>
          <w:color w:val="000000" w:themeColor="text1"/>
          <w:highlight w:val="none"/>
          <w14:textFill>
            <w14:solidFill>
              <w14:schemeClr w14:val="tx1"/>
            </w14:solidFill>
          </w14:textFill>
        </w:rPr>
        <w:t>《中华人民共和国民法典》及有关法律规定，遵循平等、自愿、公平和诚实信用的原则，在对本合同进行充分理解的基础上，双方经友好协商一致，订立本合同并共同遵守。</w:t>
      </w:r>
    </w:p>
    <w:p w14:paraId="79F5B57B">
      <w:pPr>
        <w:pStyle w:val="12"/>
        <w:numPr>
          <w:ilvl w:val="0"/>
          <w:numId w:val="1"/>
        </w:numPr>
        <w:spacing w:before="120" w:beforeLines="50" w:after="120" w:afterLines="50" w:line="400" w:lineRule="atLeast"/>
        <w:ind w:firstLine="482" w:firstLineChars="200"/>
        <w:outlineLvl w:val="0"/>
        <w:rPr>
          <w:rFonts w:ascii="仿宋_GB2312" w:hAnsi="仿宋_GB2312" w:eastAsia="仿宋_GB2312" w:cs="仿宋_GB2312"/>
          <w:b/>
          <w:bCs/>
          <w:color w:val="000000" w:themeColor="text1"/>
          <w:highlight w:val="none"/>
          <w14:textFill>
            <w14:solidFill>
              <w14:schemeClr w14:val="tx1"/>
            </w14:solidFill>
          </w14:textFill>
        </w:rPr>
      </w:pPr>
      <w:bookmarkStart w:id="4" w:name="_Toc640"/>
      <w:bookmarkStart w:id="5" w:name="_Toc17203"/>
      <w:bookmarkStart w:id="6" w:name="_Toc29946"/>
      <w:r>
        <w:rPr>
          <w:rFonts w:hint="eastAsia" w:ascii="仿宋_GB2312" w:hAnsi="仿宋_GB2312" w:eastAsia="仿宋_GB2312" w:cs="仿宋_GB2312"/>
          <w:b/>
          <w:bCs/>
          <w:color w:val="000000" w:themeColor="text1"/>
          <w:highlight w:val="none"/>
          <w14:textFill>
            <w14:solidFill>
              <w14:schemeClr w14:val="tx1"/>
            </w14:solidFill>
          </w14:textFill>
        </w:rPr>
        <w:t>工程概况</w:t>
      </w:r>
      <w:bookmarkEnd w:id="4"/>
      <w:bookmarkEnd w:id="5"/>
      <w:bookmarkEnd w:id="6"/>
    </w:p>
    <w:p w14:paraId="17E0D9A2">
      <w:pPr>
        <w:pStyle w:val="12"/>
        <w:spacing w:line="400" w:lineRule="atLeast"/>
        <w:ind w:firstLine="482"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1、工程名称：</w:t>
      </w:r>
      <w:permStart w:id="7" w:edGrp="everyone"/>
      <w:r>
        <w:rPr>
          <w:rFonts w:ascii="仿宋_GB2312" w:hAnsi="仿宋_GB2312" w:eastAsia="仿宋_GB2312" w:cs="仿宋_GB2312"/>
          <w:color w:val="000000" w:themeColor="text1"/>
          <w:highlight w:val="none"/>
          <w:u w:val="single"/>
          <w14:textFill>
            <w14:solidFill>
              <w14:schemeClr w14:val="tx1"/>
            </w14:solidFill>
          </w14:textFill>
        </w:rPr>
        <w:t xml:space="preserve"> </w:t>
      </w:r>
      <w:r>
        <w:rPr>
          <w:rFonts w:hint="eastAsia" w:ascii="仿宋_GB2312" w:hAnsi="仿宋_GB2312" w:eastAsia="仿宋_GB2312" w:cs="仿宋_GB2312"/>
          <w:color w:val="000000" w:themeColor="text1"/>
          <w:highlight w:val="none"/>
          <w:u w:val="single"/>
          <w14:textFill>
            <w14:solidFill>
              <w14:schemeClr w14:val="tx1"/>
            </w14:solidFill>
          </w14:textFill>
        </w:rPr>
        <w:t>堆巴村公路改建工程</w:t>
      </w:r>
      <w:r>
        <w:rPr>
          <w:rFonts w:ascii="仿宋_GB2312" w:hAnsi="仿宋_GB2312" w:eastAsia="仿宋_GB2312" w:cs="仿宋_GB2312"/>
          <w:color w:val="000000" w:themeColor="text1"/>
          <w:highlight w:val="none"/>
          <w:u w:val="single"/>
          <w14:textFill>
            <w14:solidFill>
              <w14:schemeClr w14:val="tx1"/>
            </w14:solidFill>
          </w14:textFill>
        </w:rPr>
        <w:t xml:space="preserve">  </w:t>
      </w:r>
      <w:permEnd w:id="7"/>
      <w:r>
        <w:rPr>
          <w:rFonts w:hint="eastAsia" w:ascii="仿宋_GB2312" w:hAnsi="仿宋_GB2312" w:eastAsia="仿宋_GB2312" w:cs="仿宋_GB2312"/>
          <w:color w:val="000000" w:themeColor="text1"/>
          <w:highlight w:val="none"/>
          <w14:textFill>
            <w14:solidFill>
              <w14:schemeClr w14:val="tx1"/>
            </w14:solidFill>
          </w14:textFill>
        </w:rPr>
        <w:t>；</w:t>
      </w:r>
    </w:p>
    <w:p w14:paraId="5B976016">
      <w:pPr>
        <w:pStyle w:val="12"/>
        <w:spacing w:line="400" w:lineRule="atLeast"/>
        <w:ind w:firstLine="482"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2、工程地点：</w:t>
      </w:r>
      <w:permStart w:id="8" w:edGrp="everyone"/>
      <w:r>
        <w:rPr>
          <w:rFonts w:ascii="仿宋_GB2312" w:hAnsi="仿宋_GB2312" w:eastAsia="仿宋_GB2312" w:cs="仿宋_GB2312"/>
          <w:color w:val="000000" w:themeColor="text1"/>
          <w:highlight w:val="none"/>
          <w:u w:val="single"/>
          <w14:textFill>
            <w14:solidFill>
              <w14:schemeClr w14:val="tx1"/>
            </w14:solidFill>
          </w14:textFill>
        </w:rPr>
        <w:t xml:space="preserve"> </w:t>
      </w:r>
      <w:r>
        <w:rPr>
          <w:rFonts w:hint="eastAsia" w:ascii="仿宋_GB2312" w:hAnsi="仿宋_GB2312" w:eastAsia="仿宋_GB2312" w:cs="仿宋_GB2312"/>
          <w:color w:val="000000" w:themeColor="text1"/>
          <w:highlight w:val="none"/>
          <w:u w:val="single"/>
          <w14:textFill>
            <w14:solidFill>
              <w14:schemeClr w14:val="tx1"/>
            </w14:solidFill>
          </w14:textFill>
        </w:rPr>
        <w:t>西藏自治区那曲市嘉黎县尼屋乡</w:t>
      </w:r>
      <w:r>
        <w:rPr>
          <w:rFonts w:ascii="仿宋_GB2312" w:hAnsi="仿宋_GB2312" w:eastAsia="仿宋_GB2312" w:cs="仿宋_GB2312"/>
          <w:color w:val="000000" w:themeColor="text1"/>
          <w:highlight w:val="none"/>
          <w:u w:val="single"/>
          <w14:textFill>
            <w14:solidFill>
              <w14:schemeClr w14:val="tx1"/>
            </w14:solidFill>
          </w14:textFill>
        </w:rPr>
        <w:t xml:space="preserve">  </w:t>
      </w:r>
      <w:permEnd w:id="8"/>
      <w:r>
        <w:rPr>
          <w:rFonts w:hint="eastAsia" w:ascii="仿宋_GB2312" w:hAnsi="仿宋_GB2312" w:eastAsia="仿宋_GB2312" w:cs="仿宋_GB2312"/>
          <w:color w:val="000000" w:themeColor="text1"/>
          <w:highlight w:val="none"/>
          <w14:textFill>
            <w14:solidFill>
              <w14:schemeClr w14:val="tx1"/>
            </w14:solidFill>
          </w14:textFill>
        </w:rPr>
        <w:t>；</w:t>
      </w:r>
    </w:p>
    <w:p w14:paraId="2F06DAA7">
      <w:pPr>
        <w:pStyle w:val="12"/>
        <w:numPr>
          <w:ilvl w:val="0"/>
          <w:numId w:val="1"/>
        </w:numPr>
        <w:spacing w:before="120" w:beforeLines="50" w:after="120" w:afterLines="50" w:line="400" w:lineRule="atLeast"/>
        <w:ind w:firstLine="482" w:firstLineChars="200"/>
        <w:outlineLvl w:val="0"/>
        <w:rPr>
          <w:rFonts w:hint="default" w:ascii="仿宋_GB2312" w:hAnsi="仿宋_GB2312" w:eastAsia="仿宋_GB2312" w:cs="仿宋_GB2312"/>
          <w:color w:val="000000" w:themeColor="text1"/>
          <w:highlight w:val="yellow"/>
          <w:u w:val="single"/>
          <w:lang w:val="en-US" w:eastAsia="zh-CN"/>
          <w14:textFill>
            <w14:solidFill>
              <w14:schemeClr w14:val="tx1"/>
            </w14:solidFill>
          </w14:textFill>
        </w:rPr>
      </w:pPr>
      <w:bookmarkStart w:id="7" w:name="_Toc6010"/>
      <w:bookmarkStart w:id="8" w:name="_Toc23103"/>
      <w:bookmarkStart w:id="9" w:name="_Toc2931"/>
      <w:r>
        <w:rPr>
          <w:rFonts w:hint="eastAsia" w:ascii="仿宋_GB2312" w:hAnsi="仿宋_GB2312" w:eastAsia="仿宋_GB2312" w:cs="仿宋_GB2312"/>
          <w:b/>
          <w:bCs/>
          <w:color w:val="000000" w:themeColor="text1"/>
          <w:highlight w:val="yellow"/>
          <w14:textFill>
            <w14:solidFill>
              <w14:schemeClr w14:val="tx1"/>
            </w14:solidFill>
          </w14:textFill>
        </w:rPr>
        <w:t>货物清单</w:t>
      </w:r>
      <w:bookmarkEnd w:id="7"/>
      <w:bookmarkEnd w:id="8"/>
      <w:bookmarkEnd w:id="9"/>
      <w:r>
        <w:rPr>
          <w:rFonts w:hint="eastAsia" w:ascii="仿宋_GB2312" w:hAnsi="仿宋_GB2312" w:eastAsia="仿宋_GB2312" w:cs="仿宋_GB2312"/>
          <w:b/>
          <w:bCs/>
          <w:color w:val="000000" w:themeColor="text1"/>
          <w:highlight w:val="yellow"/>
          <w:lang w:eastAsia="zh-CN"/>
          <w14:textFill>
            <w14:solidFill>
              <w14:schemeClr w14:val="tx1"/>
            </w14:solidFill>
          </w14:textFill>
        </w:rPr>
        <w:t>、</w:t>
      </w:r>
      <w:r>
        <w:rPr>
          <w:rFonts w:hint="eastAsia" w:ascii="仿宋_GB2312" w:hAnsi="仿宋_GB2312" w:eastAsia="仿宋_GB2312" w:cs="仿宋_GB2312"/>
          <w:b/>
          <w:bCs/>
          <w:color w:val="000000" w:themeColor="text1"/>
          <w:highlight w:val="yellow"/>
          <w:lang w:val="en-US" w:eastAsia="zh-CN"/>
          <w14:textFill>
            <w14:solidFill>
              <w14:schemeClr w14:val="tx1"/>
            </w14:solidFill>
          </w14:textFill>
        </w:rPr>
        <w:t>价款、计价方式</w:t>
      </w:r>
    </w:p>
    <w:tbl>
      <w:tblPr>
        <w:tblStyle w:val="9"/>
        <w:tblW w:w="542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3"/>
        <w:gridCol w:w="997"/>
        <w:gridCol w:w="1214"/>
        <w:gridCol w:w="818"/>
        <w:gridCol w:w="805"/>
        <w:gridCol w:w="607"/>
        <w:gridCol w:w="746"/>
        <w:gridCol w:w="392"/>
        <w:gridCol w:w="747"/>
        <w:gridCol w:w="747"/>
        <w:gridCol w:w="1688"/>
      </w:tblGrid>
      <w:tr w14:paraId="2FB65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266" w:type="pct"/>
            <w:shd w:val="clear" w:color="auto" w:fill="auto"/>
            <w:vAlign w:val="center"/>
          </w:tcPr>
          <w:p w14:paraId="22BF11B5">
            <w:pPr>
              <w:widowControl/>
              <w:jc w:val="center"/>
              <w:textAlignment w:val="center"/>
              <w:rPr>
                <w:rFonts w:ascii="仿宋_GB2312" w:hAnsi="仿宋_GB2312" w:eastAsia="仿宋_GB2312" w:cs="仿宋_GB2312"/>
                <w:color w:val="000000" w:themeColor="text1"/>
                <w:kern w:val="0"/>
                <w:sz w:val="18"/>
                <w:szCs w:val="18"/>
                <w:highlight w:val="none"/>
                <w:lang w:bidi="ar"/>
                <w14:textFill>
                  <w14:solidFill>
                    <w14:schemeClr w14:val="tx1"/>
                  </w14:solidFill>
                </w14:textFill>
              </w:rPr>
            </w:pPr>
            <w:permStart w:id="9" w:edGrp="everyone"/>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序号</w:t>
            </w:r>
          </w:p>
        </w:tc>
        <w:tc>
          <w:tcPr>
            <w:tcW w:w="538" w:type="pct"/>
            <w:shd w:val="clear" w:color="auto" w:fill="auto"/>
            <w:vAlign w:val="center"/>
          </w:tcPr>
          <w:p w14:paraId="792FE889">
            <w:pPr>
              <w:widowControl/>
              <w:jc w:val="center"/>
              <w:textAlignment w:val="center"/>
              <w:rPr>
                <w:rFonts w:ascii="仿宋_GB2312" w:hAnsi="仿宋_GB2312" w:eastAsia="仿宋_GB2312" w:cs="仿宋_GB2312"/>
                <w:color w:val="000000" w:themeColor="text1"/>
                <w:sz w:val="18"/>
                <w:szCs w:val="18"/>
                <w:highlight w:val="none"/>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货物</w:t>
            </w: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名</w:t>
            </w:r>
            <w:bookmarkStart w:id="125" w:name="_GoBack"/>
            <w:bookmarkEnd w:id="125"/>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称</w:t>
            </w:r>
          </w:p>
        </w:tc>
        <w:tc>
          <w:tcPr>
            <w:tcW w:w="655" w:type="pct"/>
            <w:shd w:val="clear" w:color="auto" w:fill="auto"/>
            <w:vAlign w:val="center"/>
          </w:tcPr>
          <w:p w14:paraId="58DE95F0">
            <w:pPr>
              <w:widowControl/>
              <w:jc w:val="center"/>
              <w:textAlignment w:val="center"/>
              <w:rPr>
                <w:rFonts w:ascii="仿宋_GB2312" w:hAnsi="仿宋_GB2312" w:eastAsia="仿宋_GB2312" w:cs="仿宋_GB2312"/>
                <w:color w:val="000000" w:themeColor="text1"/>
                <w:sz w:val="18"/>
                <w:szCs w:val="18"/>
                <w:highlight w:val="none"/>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货物</w:t>
            </w: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规格参数</w:t>
            </w:r>
          </w:p>
        </w:tc>
        <w:tc>
          <w:tcPr>
            <w:tcW w:w="441" w:type="pct"/>
            <w:shd w:val="clear" w:color="auto" w:fill="auto"/>
            <w:vAlign w:val="center"/>
          </w:tcPr>
          <w:p w14:paraId="58F68DA5">
            <w:pPr>
              <w:widowControl/>
              <w:jc w:val="center"/>
              <w:textAlignment w:val="center"/>
              <w:rPr>
                <w:rFonts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计量</w:t>
            </w:r>
          </w:p>
          <w:p w14:paraId="71AEF3E2">
            <w:pPr>
              <w:widowControl/>
              <w:jc w:val="center"/>
              <w:textAlignment w:val="center"/>
              <w:rPr>
                <w:rFonts w:ascii="仿宋_GB2312" w:hAnsi="仿宋_GB2312" w:eastAsia="仿宋_GB2312" w:cs="仿宋_GB2312"/>
                <w:color w:val="000000" w:themeColor="text1"/>
                <w:sz w:val="18"/>
                <w:szCs w:val="18"/>
                <w:highlight w:val="none"/>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单位</w:t>
            </w:r>
          </w:p>
        </w:tc>
        <w:tc>
          <w:tcPr>
            <w:tcW w:w="434" w:type="pct"/>
            <w:shd w:val="clear" w:color="auto" w:fill="auto"/>
            <w:vAlign w:val="center"/>
          </w:tcPr>
          <w:p w14:paraId="4DE361A3">
            <w:pPr>
              <w:widowControl/>
              <w:jc w:val="center"/>
              <w:textAlignment w:val="center"/>
              <w:rPr>
                <w:rFonts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暂定</w:t>
            </w:r>
          </w:p>
          <w:p w14:paraId="10AD443D">
            <w:pPr>
              <w:widowControl/>
              <w:jc w:val="center"/>
              <w:textAlignment w:val="center"/>
              <w:rPr>
                <w:rFonts w:ascii="仿宋_GB2312" w:hAnsi="仿宋_GB2312" w:eastAsia="仿宋_GB2312" w:cs="仿宋_GB2312"/>
                <w:color w:val="000000" w:themeColor="text1"/>
                <w:sz w:val="18"/>
                <w:szCs w:val="18"/>
                <w:highlight w:val="none"/>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数量</w:t>
            </w:r>
          </w:p>
        </w:tc>
        <w:tc>
          <w:tcPr>
            <w:tcW w:w="327" w:type="pct"/>
            <w:shd w:val="clear" w:color="auto" w:fill="auto"/>
            <w:vAlign w:val="center"/>
          </w:tcPr>
          <w:p w14:paraId="791BC453">
            <w:pPr>
              <w:widowControl/>
              <w:jc w:val="center"/>
              <w:textAlignment w:val="center"/>
              <w:rPr>
                <w:rFonts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不含税</w:t>
            </w:r>
          </w:p>
          <w:p w14:paraId="39E763B3">
            <w:pPr>
              <w:widowControl/>
              <w:jc w:val="center"/>
              <w:textAlignment w:val="center"/>
              <w:rPr>
                <w:rFonts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综合单价</w:t>
            </w:r>
          </w:p>
          <w:p w14:paraId="01058936">
            <w:pPr>
              <w:widowControl/>
              <w:jc w:val="center"/>
              <w:textAlignment w:val="center"/>
              <w:rPr>
                <w:rFonts w:ascii="仿宋_GB2312" w:hAnsi="仿宋_GB2312" w:eastAsia="仿宋_GB2312" w:cs="仿宋_GB2312"/>
                <w:color w:val="000000" w:themeColor="text1"/>
                <w:sz w:val="18"/>
                <w:szCs w:val="18"/>
                <w:highlight w:val="none"/>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（元）</w:t>
            </w:r>
          </w:p>
        </w:tc>
        <w:tc>
          <w:tcPr>
            <w:tcW w:w="403" w:type="pct"/>
            <w:shd w:val="clear" w:color="auto" w:fill="auto"/>
            <w:vAlign w:val="center"/>
          </w:tcPr>
          <w:p w14:paraId="0787AAA2">
            <w:pPr>
              <w:widowControl/>
              <w:jc w:val="center"/>
              <w:textAlignment w:val="center"/>
              <w:rPr>
                <w:rFonts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不含税</w:t>
            </w:r>
          </w:p>
          <w:p w14:paraId="443877D7">
            <w:pPr>
              <w:widowControl/>
              <w:jc w:val="center"/>
              <w:textAlignment w:val="center"/>
              <w:rPr>
                <w:rFonts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合价</w:t>
            </w:r>
          </w:p>
          <w:p w14:paraId="75C3F8D9">
            <w:pPr>
              <w:widowControl/>
              <w:jc w:val="center"/>
              <w:textAlignment w:val="center"/>
              <w:rPr>
                <w:rFonts w:ascii="仿宋_GB2312" w:hAnsi="仿宋_GB2312" w:eastAsia="仿宋_GB2312" w:cs="仿宋_GB2312"/>
                <w:color w:val="000000" w:themeColor="text1"/>
                <w:sz w:val="18"/>
                <w:szCs w:val="18"/>
                <w:highlight w:val="none"/>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（元）</w:t>
            </w:r>
          </w:p>
        </w:tc>
        <w:tc>
          <w:tcPr>
            <w:tcW w:w="211" w:type="pct"/>
            <w:shd w:val="clear" w:color="auto" w:fill="auto"/>
            <w:vAlign w:val="center"/>
          </w:tcPr>
          <w:p w14:paraId="07B76697">
            <w:pPr>
              <w:widowControl/>
              <w:jc w:val="center"/>
              <w:textAlignment w:val="center"/>
              <w:rPr>
                <w:rFonts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增值</w:t>
            </w:r>
          </w:p>
          <w:p w14:paraId="01378405">
            <w:pPr>
              <w:widowControl/>
              <w:jc w:val="center"/>
              <w:textAlignment w:val="center"/>
              <w:rPr>
                <w:rFonts w:ascii="仿宋_GB2312" w:hAnsi="仿宋_GB2312" w:eastAsia="仿宋_GB2312" w:cs="仿宋_GB2312"/>
                <w:color w:val="000000" w:themeColor="text1"/>
                <w:sz w:val="18"/>
                <w:szCs w:val="18"/>
                <w:highlight w:val="none"/>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税率</w:t>
            </w:r>
          </w:p>
        </w:tc>
        <w:tc>
          <w:tcPr>
            <w:tcW w:w="403" w:type="pct"/>
            <w:shd w:val="clear" w:color="auto" w:fill="auto"/>
            <w:vAlign w:val="center"/>
          </w:tcPr>
          <w:p w14:paraId="7B42921E">
            <w:pPr>
              <w:widowControl/>
              <w:jc w:val="center"/>
              <w:textAlignment w:val="center"/>
              <w:rPr>
                <w:rFonts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含税</w:t>
            </w:r>
          </w:p>
          <w:p w14:paraId="04F4F020">
            <w:pPr>
              <w:widowControl/>
              <w:jc w:val="center"/>
              <w:textAlignment w:val="center"/>
              <w:rPr>
                <w:rFonts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综合单价</w:t>
            </w:r>
          </w:p>
          <w:p w14:paraId="7F21D93A">
            <w:pPr>
              <w:widowControl/>
              <w:jc w:val="center"/>
              <w:textAlignment w:val="center"/>
              <w:rPr>
                <w:rFonts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 xml:space="preserve">（元）  </w:t>
            </w:r>
          </w:p>
        </w:tc>
        <w:tc>
          <w:tcPr>
            <w:tcW w:w="403" w:type="pct"/>
            <w:shd w:val="clear" w:color="auto" w:fill="auto"/>
            <w:vAlign w:val="center"/>
          </w:tcPr>
          <w:p w14:paraId="39261B1E">
            <w:pPr>
              <w:widowControl/>
              <w:jc w:val="center"/>
              <w:textAlignment w:val="center"/>
              <w:rPr>
                <w:rFonts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含税</w:t>
            </w:r>
          </w:p>
          <w:p w14:paraId="11A87515">
            <w:pPr>
              <w:widowControl/>
              <w:jc w:val="center"/>
              <w:textAlignment w:val="center"/>
              <w:rPr>
                <w:rFonts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合价</w:t>
            </w:r>
          </w:p>
          <w:p w14:paraId="38FD320E">
            <w:pPr>
              <w:widowControl/>
              <w:jc w:val="center"/>
              <w:textAlignment w:val="center"/>
              <w:rPr>
                <w:rFonts w:ascii="仿宋_GB2312" w:hAnsi="仿宋_GB2312" w:eastAsia="仿宋_GB2312" w:cs="仿宋_GB2312"/>
                <w:color w:val="000000" w:themeColor="text1"/>
                <w:sz w:val="18"/>
                <w:szCs w:val="18"/>
                <w:highlight w:val="none"/>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 xml:space="preserve">（元）  </w:t>
            </w:r>
          </w:p>
        </w:tc>
        <w:tc>
          <w:tcPr>
            <w:tcW w:w="912" w:type="pct"/>
            <w:shd w:val="clear" w:color="auto" w:fill="auto"/>
            <w:vAlign w:val="center"/>
          </w:tcPr>
          <w:p w14:paraId="2689611A">
            <w:pPr>
              <w:widowControl/>
              <w:jc w:val="center"/>
              <w:textAlignment w:val="center"/>
              <w:rPr>
                <w:rFonts w:ascii="仿宋_GB2312" w:hAnsi="仿宋_GB2312" w:eastAsia="仿宋_GB2312" w:cs="仿宋_GB2312"/>
                <w:color w:val="000000" w:themeColor="text1"/>
                <w:sz w:val="18"/>
                <w:szCs w:val="18"/>
                <w:highlight w:val="none"/>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备注</w:t>
            </w:r>
          </w:p>
        </w:tc>
      </w:tr>
      <w:tr w14:paraId="65BDF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266" w:type="pct"/>
            <w:shd w:val="clear" w:color="auto" w:fill="auto"/>
            <w:vAlign w:val="center"/>
          </w:tcPr>
          <w:p w14:paraId="51D64664">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1</w:t>
            </w:r>
          </w:p>
        </w:tc>
        <w:tc>
          <w:tcPr>
            <w:tcW w:w="538" w:type="pct"/>
            <w:shd w:val="clear" w:color="auto" w:fill="auto"/>
            <w:vAlign w:val="center"/>
          </w:tcPr>
          <w:p w14:paraId="4E8168AD">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岗位职责</w:t>
            </w:r>
          </w:p>
        </w:tc>
        <w:tc>
          <w:tcPr>
            <w:tcW w:w="655" w:type="pct"/>
            <w:shd w:val="clear" w:color="auto" w:fill="auto"/>
            <w:vAlign w:val="center"/>
          </w:tcPr>
          <w:p w14:paraId="37C28BEC">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0.6m*0.8m</w:t>
            </w:r>
          </w:p>
        </w:tc>
        <w:tc>
          <w:tcPr>
            <w:tcW w:w="441" w:type="pct"/>
            <w:shd w:val="clear" w:color="auto" w:fill="auto"/>
            <w:vAlign w:val="center"/>
          </w:tcPr>
          <w:p w14:paraId="4F7B56FE">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套</w:t>
            </w:r>
          </w:p>
        </w:tc>
        <w:tc>
          <w:tcPr>
            <w:tcW w:w="434" w:type="pct"/>
            <w:shd w:val="clear" w:color="auto" w:fill="auto"/>
            <w:vAlign w:val="center"/>
          </w:tcPr>
          <w:p w14:paraId="7007E61A">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20</w:t>
            </w:r>
          </w:p>
        </w:tc>
        <w:tc>
          <w:tcPr>
            <w:tcW w:w="327" w:type="pct"/>
            <w:shd w:val="clear" w:color="auto" w:fill="auto"/>
            <w:noWrap/>
            <w:vAlign w:val="center"/>
          </w:tcPr>
          <w:p w14:paraId="3798B66A">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2A1AA7CC">
            <w:pPr>
              <w:keepNext w:val="0"/>
              <w:keepLines w:val="0"/>
              <w:pageBreakBefore w:val="0"/>
              <w:widowControl/>
              <w:kinsoku/>
              <w:wordWrap/>
              <w:overflowPunct/>
              <w:topLinePunct w:val="0"/>
              <w:autoSpaceDE/>
              <w:autoSpaceDN/>
              <w:bidi w:val="0"/>
              <w:adjustRightInd/>
              <w:snapToGrid w:val="0"/>
              <w:spacing w:line="240" w:lineRule="atLeast"/>
              <w:jc w:val="center"/>
              <w:textAlignment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11" w:type="pct"/>
            <w:shd w:val="clear" w:color="auto" w:fill="auto"/>
            <w:noWrap/>
            <w:vAlign w:val="center"/>
          </w:tcPr>
          <w:p w14:paraId="30955475">
            <w:pPr>
              <w:keepNext w:val="0"/>
              <w:keepLines w:val="0"/>
              <w:pageBreakBefore w:val="0"/>
              <w:widowControl/>
              <w:kinsoku/>
              <w:wordWrap/>
              <w:overflowPunct/>
              <w:topLinePunct w:val="0"/>
              <w:autoSpaceDE/>
              <w:autoSpaceDN/>
              <w:bidi w:val="0"/>
              <w:adjustRightInd/>
              <w:snapToGrid w:val="0"/>
              <w:spacing w:line="240" w:lineRule="atLeast"/>
              <w:jc w:val="center"/>
              <w:textAlignment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1DA8ED4D">
            <w:pPr>
              <w:keepNext w:val="0"/>
              <w:keepLines w:val="0"/>
              <w:pageBreakBefore w:val="0"/>
              <w:widowControl/>
              <w:kinsoku/>
              <w:wordWrap/>
              <w:overflowPunct/>
              <w:topLinePunct w:val="0"/>
              <w:autoSpaceDE/>
              <w:autoSpaceDN/>
              <w:bidi w:val="0"/>
              <w:adjustRightInd/>
              <w:snapToGrid w:val="0"/>
              <w:spacing w:line="240" w:lineRule="atLeast"/>
              <w:jc w:val="center"/>
              <w:textAlignment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697DBC38">
            <w:pPr>
              <w:keepNext w:val="0"/>
              <w:keepLines w:val="0"/>
              <w:pageBreakBefore w:val="0"/>
              <w:widowControl/>
              <w:kinsoku/>
              <w:wordWrap/>
              <w:overflowPunct/>
              <w:topLinePunct w:val="0"/>
              <w:autoSpaceDE/>
              <w:autoSpaceDN/>
              <w:bidi w:val="0"/>
              <w:adjustRightInd/>
              <w:snapToGrid w:val="0"/>
              <w:spacing w:line="240" w:lineRule="atLeast"/>
              <w:jc w:val="center"/>
              <w:textAlignment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912" w:type="pct"/>
            <w:shd w:val="clear" w:color="auto" w:fill="auto"/>
            <w:vAlign w:val="center"/>
          </w:tcPr>
          <w:p w14:paraId="74D0C355">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kt板+灰色小边条</w:t>
            </w:r>
          </w:p>
        </w:tc>
      </w:tr>
      <w:tr w14:paraId="33073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266" w:type="pct"/>
            <w:shd w:val="clear" w:color="auto" w:fill="auto"/>
            <w:vAlign w:val="center"/>
          </w:tcPr>
          <w:p w14:paraId="74D36374">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2</w:t>
            </w:r>
          </w:p>
        </w:tc>
        <w:tc>
          <w:tcPr>
            <w:tcW w:w="538" w:type="pct"/>
            <w:shd w:val="clear" w:color="auto" w:fill="auto"/>
            <w:vAlign w:val="center"/>
          </w:tcPr>
          <w:p w14:paraId="4C733388">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组织架构图</w:t>
            </w:r>
          </w:p>
        </w:tc>
        <w:tc>
          <w:tcPr>
            <w:tcW w:w="655" w:type="pct"/>
            <w:shd w:val="clear" w:color="auto" w:fill="auto"/>
            <w:vAlign w:val="center"/>
          </w:tcPr>
          <w:p w14:paraId="026666CE">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1m*1.2m</w:t>
            </w:r>
          </w:p>
        </w:tc>
        <w:tc>
          <w:tcPr>
            <w:tcW w:w="441" w:type="pct"/>
            <w:shd w:val="clear" w:color="auto" w:fill="auto"/>
            <w:noWrap/>
            <w:vAlign w:val="center"/>
          </w:tcPr>
          <w:p w14:paraId="6A6B2F47">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套</w:t>
            </w:r>
          </w:p>
        </w:tc>
        <w:tc>
          <w:tcPr>
            <w:tcW w:w="434" w:type="pct"/>
            <w:shd w:val="clear" w:color="auto" w:fill="auto"/>
            <w:vAlign w:val="center"/>
          </w:tcPr>
          <w:p w14:paraId="385C1DC9">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5</w:t>
            </w:r>
          </w:p>
        </w:tc>
        <w:tc>
          <w:tcPr>
            <w:tcW w:w="327" w:type="pct"/>
            <w:shd w:val="clear" w:color="auto" w:fill="auto"/>
            <w:noWrap/>
            <w:vAlign w:val="center"/>
          </w:tcPr>
          <w:p w14:paraId="65A71817">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4FA92CF9">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11" w:type="pct"/>
            <w:shd w:val="clear" w:color="auto" w:fill="auto"/>
            <w:noWrap/>
            <w:vAlign w:val="center"/>
          </w:tcPr>
          <w:p w14:paraId="7BDEC5B1">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50BE11CD">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2279542E">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912" w:type="pct"/>
            <w:shd w:val="clear" w:color="auto" w:fill="auto"/>
            <w:noWrap/>
            <w:vAlign w:val="center"/>
          </w:tcPr>
          <w:p w14:paraId="40558FAB">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kt板+灰色小边条</w:t>
            </w:r>
          </w:p>
        </w:tc>
      </w:tr>
      <w:tr w14:paraId="72620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266" w:type="pct"/>
            <w:shd w:val="clear" w:color="auto" w:fill="auto"/>
            <w:vAlign w:val="center"/>
          </w:tcPr>
          <w:p w14:paraId="68585250">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3</w:t>
            </w:r>
          </w:p>
        </w:tc>
        <w:tc>
          <w:tcPr>
            <w:tcW w:w="538" w:type="pct"/>
            <w:shd w:val="clear" w:color="auto" w:fill="auto"/>
            <w:vAlign w:val="center"/>
          </w:tcPr>
          <w:p w14:paraId="307B16D0">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体系框架图</w:t>
            </w:r>
          </w:p>
        </w:tc>
        <w:tc>
          <w:tcPr>
            <w:tcW w:w="655" w:type="pct"/>
            <w:shd w:val="clear" w:color="auto" w:fill="auto"/>
            <w:vAlign w:val="center"/>
          </w:tcPr>
          <w:p w14:paraId="1371C3F3">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1.2m*2m</w:t>
            </w:r>
          </w:p>
        </w:tc>
        <w:tc>
          <w:tcPr>
            <w:tcW w:w="441" w:type="pct"/>
            <w:shd w:val="clear" w:color="auto" w:fill="auto"/>
            <w:noWrap/>
            <w:vAlign w:val="center"/>
          </w:tcPr>
          <w:p w14:paraId="653DA0A9">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套</w:t>
            </w:r>
          </w:p>
        </w:tc>
        <w:tc>
          <w:tcPr>
            <w:tcW w:w="434" w:type="pct"/>
            <w:shd w:val="clear" w:color="auto" w:fill="auto"/>
            <w:vAlign w:val="center"/>
          </w:tcPr>
          <w:p w14:paraId="23F77B9D">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3</w:t>
            </w:r>
          </w:p>
        </w:tc>
        <w:tc>
          <w:tcPr>
            <w:tcW w:w="327" w:type="pct"/>
            <w:shd w:val="clear" w:color="auto" w:fill="auto"/>
            <w:noWrap/>
            <w:vAlign w:val="center"/>
          </w:tcPr>
          <w:p w14:paraId="64B66FE7">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465365CB">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11" w:type="pct"/>
            <w:shd w:val="clear" w:color="auto" w:fill="auto"/>
            <w:noWrap/>
            <w:vAlign w:val="center"/>
          </w:tcPr>
          <w:p w14:paraId="3F272E0A">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37212A65">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1DAB4320">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912" w:type="pct"/>
            <w:shd w:val="clear" w:color="auto" w:fill="auto"/>
            <w:noWrap/>
            <w:vAlign w:val="center"/>
          </w:tcPr>
          <w:p w14:paraId="5598D764">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kt板+灰色小边条</w:t>
            </w:r>
          </w:p>
        </w:tc>
      </w:tr>
      <w:tr w14:paraId="75A30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266" w:type="pct"/>
            <w:shd w:val="clear" w:color="auto" w:fill="auto"/>
            <w:vAlign w:val="center"/>
          </w:tcPr>
          <w:p w14:paraId="6720C9D6">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4</w:t>
            </w:r>
          </w:p>
        </w:tc>
        <w:tc>
          <w:tcPr>
            <w:tcW w:w="538" w:type="pct"/>
            <w:shd w:val="clear" w:color="auto" w:fill="auto"/>
            <w:vAlign w:val="center"/>
          </w:tcPr>
          <w:p w14:paraId="2D6BCEA0">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不锈钢宣传栏</w:t>
            </w:r>
          </w:p>
        </w:tc>
        <w:tc>
          <w:tcPr>
            <w:tcW w:w="655" w:type="pct"/>
            <w:shd w:val="clear" w:color="auto" w:fill="auto"/>
            <w:vAlign w:val="center"/>
          </w:tcPr>
          <w:p w14:paraId="13BFB864">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1.2m*2.4m</w:t>
            </w:r>
          </w:p>
        </w:tc>
        <w:tc>
          <w:tcPr>
            <w:tcW w:w="441" w:type="pct"/>
            <w:shd w:val="clear" w:color="auto" w:fill="auto"/>
            <w:noWrap/>
            <w:vAlign w:val="center"/>
          </w:tcPr>
          <w:p w14:paraId="0519C1F5">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套</w:t>
            </w:r>
          </w:p>
        </w:tc>
        <w:tc>
          <w:tcPr>
            <w:tcW w:w="434" w:type="pct"/>
            <w:shd w:val="clear" w:color="auto" w:fill="auto"/>
            <w:vAlign w:val="center"/>
          </w:tcPr>
          <w:p w14:paraId="75088364">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6</w:t>
            </w:r>
          </w:p>
        </w:tc>
        <w:tc>
          <w:tcPr>
            <w:tcW w:w="327" w:type="pct"/>
            <w:shd w:val="clear" w:color="auto" w:fill="auto"/>
            <w:noWrap/>
            <w:vAlign w:val="center"/>
          </w:tcPr>
          <w:p w14:paraId="0603AE0D">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7086C9C6">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11" w:type="pct"/>
            <w:shd w:val="clear" w:color="auto" w:fill="auto"/>
            <w:noWrap/>
            <w:vAlign w:val="center"/>
          </w:tcPr>
          <w:p w14:paraId="7BCA3535">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70ED3EDA">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4D28708E">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912" w:type="pct"/>
            <w:shd w:val="clear" w:color="auto" w:fill="auto"/>
            <w:noWrap/>
            <w:vAlign w:val="center"/>
          </w:tcPr>
          <w:p w14:paraId="09F80CD6">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不锈钢宣传栏</w:t>
            </w:r>
          </w:p>
        </w:tc>
      </w:tr>
      <w:tr w14:paraId="44A34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266" w:type="pct"/>
            <w:shd w:val="clear" w:color="auto" w:fill="auto"/>
            <w:vAlign w:val="center"/>
          </w:tcPr>
          <w:p w14:paraId="408CFBD5">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5</w:t>
            </w:r>
          </w:p>
        </w:tc>
        <w:tc>
          <w:tcPr>
            <w:tcW w:w="538" w:type="pct"/>
            <w:shd w:val="clear" w:color="auto" w:fill="auto"/>
            <w:vAlign w:val="center"/>
          </w:tcPr>
          <w:p w14:paraId="71A209D5">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不锈钢发光精品字（logo）</w:t>
            </w:r>
          </w:p>
        </w:tc>
        <w:tc>
          <w:tcPr>
            <w:tcW w:w="655" w:type="pct"/>
            <w:shd w:val="clear" w:color="auto" w:fill="auto"/>
            <w:vAlign w:val="center"/>
          </w:tcPr>
          <w:p w14:paraId="2E0E21BC">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0.8m*0.8m</w:t>
            </w:r>
          </w:p>
        </w:tc>
        <w:tc>
          <w:tcPr>
            <w:tcW w:w="441" w:type="pct"/>
            <w:shd w:val="clear" w:color="auto" w:fill="auto"/>
            <w:noWrap/>
            <w:vAlign w:val="center"/>
          </w:tcPr>
          <w:p w14:paraId="4E232BB2">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个</w:t>
            </w:r>
          </w:p>
        </w:tc>
        <w:tc>
          <w:tcPr>
            <w:tcW w:w="434" w:type="pct"/>
            <w:shd w:val="clear" w:color="auto" w:fill="auto"/>
            <w:vAlign w:val="center"/>
          </w:tcPr>
          <w:p w14:paraId="70DBF062">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1</w:t>
            </w:r>
          </w:p>
        </w:tc>
        <w:tc>
          <w:tcPr>
            <w:tcW w:w="327" w:type="pct"/>
            <w:shd w:val="clear" w:color="auto" w:fill="auto"/>
            <w:noWrap/>
            <w:vAlign w:val="center"/>
          </w:tcPr>
          <w:p w14:paraId="716EA391">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57E0123B">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11" w:type="pct"/>
            <w:shd w:val="clear" w:color="auto" w:fill="auto"/>
            <w:noWrap/>
            <w:vAlign w:val="center"/>
          </w:tcPr>
          <w:p w14:paraId="17094E5A">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72FF853A">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66960CED">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912" w:type="pct"/>
            <w:shd w:val="clear" w:color="auto" w:fill="auto"/>
            <w:noWrap/>
            <w:vAlign w:val="center"/>
          </w:tcPr>
          <w:p w14:paraId="63077424">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不行锈钢发光精品字（logo）</w:t>
            </w:r>
          </w:p>
        </w:tc>
      </w:tr>
      <w:tr w14:paraId="45B2D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266" w:type="pct"/>
            <w:shd w:val="clear" w:color="auto" w:fill="auto"/>
            <w:vAlign w:val="center"/>
          </w:tcPr>
          <w:p w14:paraId="772EB7DC">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6</w:t>
            </w:r>
          </w:p>
        </w:tc>
        <w:tc>
          <w:tcPr>
            <w:tcW w:w="538" w:type="pct"/>
            <w:shd w:val="clear" w:color="auto" w:fill="auto"/>
            <w:vAlign w:val="center"/>
          </w:tcPr>
          <w:p w14:paraId="4FB7D42B">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不锈钢发光精品字</w:t>
            </w:r>
          </w:p>
        </w:tc>
        <w:tc>
          <w:tcPr>
            <w:tcW w:w="655" w:type="pct"/>
            <w:shd w:val="clear" w:color="auto" w:fill="auto"/>
            <w:vAlign w:val="center"/>
          </w:tcPr>
          <w:p w14:paraId="52AA8FAE">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0.55m*0.55m</w:t>
            </w:r>
          </w:p>
        </w:tc>
        <w:tc>
          <w:tcPr>
            <w:tcW w:w="441" w:type="pct"/>
            <w:shd w:val="clear" w:color="auto" w:fill="auto"/>
            <w:noWrap/>
            <w:vAlign w:val="center"/>
          </w:tcPr>
          <w:p w14:paraId="04934960">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个</w:t>
            </w:r>
          </w:p>
        </w:tc>
        <w:tc>
          <w:tcPr>
            <w:tcW w:w="434" w:type="pct"/>
            <w:shd w:val="clear" w:color="auto" w:fill="auto"/>
            <w:vAlign w:val="center"/>
          </w:tcPr>
          <w:p w14:paraId="4130B0F2">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12</w:t>
            </w:r>
          </w:p>
        </w:tc>
        <w:tc>
          <w:tcPr>
            <w:tcW w:w="327" w:type="pct"/>
            <w:shd w:val="clear" w:color="auto" w:fill="auto"/>
            <w:noWrap/>
            <w:vAlign w:val="center"/>
          </w:tcPr>
          <w:p w14:paraId="7529B8D0">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031E5ADF">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11" w:type="pct"/>
            <w:shd w:val="clear" w:color="auto" w:fill="auto"/>
            <w:noWrap/>
            <w:vAlign w:val="center"/>
          </w:tcPr>
          <w:p w14:paraId="3A66F671">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5849EDE5">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43EDE769">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912" w:type="pct"/>
            <w:shd w:val="clear" w:color="auto" w:fill="auto"/>
            <w:noWrap/>
            <w:vAlign w:val="center"/>
          </w:tcPr>
          <w:p w14:paraId="511F4EDB">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不行锈钢发光精品字（西藏中建建设有限责任公司）</w:t>
            </w:r>
          </w:p>
        </w:tc>
      </w:tr>
      <w:tr w14:paraId="3FE0F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266" w:type="pct"/>
            <w:shd w:val="clear" w:color="auto" w:fill="auto"/>
            <w:vAlign w:val="center"/>
          </w:tcPr>
          <w:p w14:paraId="7A6AFECA">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7</w:t>
            </w:r>
          </w:p>
        </w:tc>
        <w:tc>
          <w:tcPr>
            <w:tcW w:w="538" w:type="pct"/>
            <w:shd w:val="clear" w:color="auto" w:fill="auto"/>
            <w:vAlign w:val="center"/>
          </w:tcPr>
          <w:p w14:paraId="7F8DCEDC">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钢架</w:t>
            </w:r>
          </w:p>
        </w:tc>
        <w:tc>
          <w:tcPr>
            <w:tcW w:w="655" w:type="pct"/>
            <w:shd w:val="clear" w:color="auto" w:fill="auto"/>
            <w:vAlign w:val="center"/>
          </w:tcPr>
          <w:p w14:paraId="71355132">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4cmx4cm</w:t>
            </w:r>
          </w:p>
        </w:tc>
        <w:tc>
          <w:tcPr>
            <w:tcW w:w="441" w:type="pct"/>
            <w:shd w:val="clear" w:color="auto" w:fill="auto"/>
            <w:noWrap/>
            <w:vAlign w:val="center"/>
          </w:tcPr>
          <w:p w14:paraId="5808C49F">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批</w:t>
            </w:r>
          </w:p>
        </w:tc>
        <w:tc>
          <w:tcPr>
            <w:tcW w:w="434" w:type="pct"/>
            <w:shd w:val="clear" w:color="auto" w:fill="auto"/>
            <w:vAlign w:val="center"/>
          </w:tcPr>
          <w:p w14:paraId="5AA8F63E">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1</w:t>
            </w:r>
          </w:p>
        </w:tc>
        <w:tc>
          <w:tcPr>
            <w:tcW w:w="327" w:type="pct"/>
            <w:shd w:val="clear" w:color="auto" w:fill="auto"/>
            <w:noWrap/>
            <w:vAlign w:val="center"/>
          </w:tcPr>
          <w:p w14:paraId="18AB2C54">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5BCC4FF8">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11" w:type="pct"/>
            <w:shd w:val="clear" w:color="auto" w:fill="auto"/>
            <w:noWrap/>
            <w:vAlign w:val="center"/>
          </w:tcPr>
          <w:p w14:paraId="2FFF0A0A">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7C5379BE">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13E04586">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912" w:type="pct"/>
            <w:shd w:val="clear" w:color="auto" w:fill="auto"/>
            <w:noWrap/>
            <w:vAlign w:val="center"/>
          </w:tcPr>
          <w:p w14:paraId="2802B8BF">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将公司名称所有字体焊接为整体并安装牢固</w:t>
            </w:r>
          </w:p>
        </w:tc>
      </w:tr>
      <w:tr w14:paraId="65708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266" w:type="pct"/>
            <w:shd w:val="clear" w:color="auto" w:fill="auto"/>
            <w:vAlign w:val="center"/>
          </w:tcPr>
          <w:p w14:paraId="723731A3">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8</w:t>
            </w:r>
          </w:p>
        </w:tc>
        <w:tc>
          <w:tcPr>
            <w:tcW w:w="538" w:type="pct"/>
            <w:shd w:val="clear" w:color="auto" w:fill="auto"/>
            <w:vAlign w:val="center"/>
          </w:tcPr>
          <w:p w14:paraId="5572A9EA">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指示箭头PVC板</w:t>
            </w:r>
          </w:p>
        </w:tc>
        <w:tc>
          <w:tcPr>
            <w:tcW w:w="655" w:type="pct"/>
            <w:shd w:val="clear" w:color="auto" w:fill="auto"/>
            <w:vAlign w:val="center"/>
          </w:tcPr>
          <w:p w14:paraId="25FBC6E4">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0.8m*1.2m</w:t>
            </w:r>
          </w:p>
        </w:tc>
        <w:tc>
          <w:tcPr>
            <w:tcW w:w="441" w:type="pct"/>
            <w:shd w:val="clear" w:color="auto" w:fill="auto"/>
            <w:noWrap/>
            <w:vAlign w:val="center"/>
          </w:tcPr>
          <w:p w14:paraId="314560EF">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张</w:t>
            </w:r>
          </w:p>
        </w:tc>
        <w:tc>
          <w:tcPr>
            <w:tcW w:w="434" w:type="pct"/>
            <w:shd w:val="clear" w:color="auto" w:fill="auto"/>
            <w:vAlign w:val="center"/>
          </w:tcPr>
          <w:p w14:paraId="496D39A3">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15</w:t>
            </w:r>
          </w:p>
        </w:tc>
        <w:tc>
          <w:tcPr>
            <w:tcW w:w="327" w:type="pct"/>
            <w:shd w:val="clear" w:color="auto" w:fill="auto"/>
            <w:noWrap/>
            <w:vAlign w:val="center"/>
          </w:tcPr>
          <w:p w14:paraId="6C5DB0EC">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3A5D12C6">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11" w:type="pct"/>
            <w:shd w:val="clear" w:color="auto" w:fill="auto"/>
            <w:noWrap/>
            <w:vAlign w:val="center"/>
          </w:tcPr>
          <w:p w14:paraId="27DD0FA9">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3B2E97AC">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79DE0AE6">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912" w:type="pct"/>
            <w:shd w:val="clear" w:color="auto" w:fill="auto"/>
            <w:noWrap/>
            <w:vAlign w:val="center"/>
          </w:tcPr>
          <w:p w14:paraId="6027A66F">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PVC板</w:t>
            </w:r>
          </w:p>
        </w:tc>
      </w:tr>
      <w:tr w14:paraId="17757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266" w:type="pct"/>
            <w:shd w:val="clear" w:color="auto" w:fill="auto"/>
            <w:vAlign w:val="center"/>
          </w:tcPr>
          <w:p w14:paraId="58684433">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9</w:t>
            </w:r>
          </w:p>
        </w:tc>
        <w:tc>
          <w:tcPr>
            <w:tcW w:w="538" w:type="pct"/>
            <w:shd w:val="clear" w:color="auto" w:fill="auto"/>
            <w:vAlign w:val="center"/>
          </w:tcPr>
          <w:p w14:paraId="1E475FC4">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机房重地闲人免进PVC板</w:t>
            </w:r>
          </w:p>
        </w:tc>
        <w:tc>
          <w:tcPr>
            <w:tcW w:w="655" w:type="pct"/>
            <w:shd w:val="clear" w:color="auto" w:fill="auto"/>
            <w:vAlign w:val="center"/>
          </w:tcPr>
          <w:p w14:paraId="2435749D">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0.3m*0.4m</w:t>
            </w:r>
          </w:p>
        </w:tc>
        <w:tc>
          <w:tcPr>
            <w:tcW w:w="441" w:type="pct"/>
            <w:shd w:val="clear" w:color="auto" w:fill="auto"/>
            <w:noWrap/>
            <w:vAlign w:val="center"/>
          </w:tcPr>
          <w:p w14:paraId="50E0C901">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张</w:t>
            </w:r>
          </w:p>
        </w:tc>
        <w:tc>
          <w:tcPr>
            <w:tcW w:w="434" w:type="pct"/>
            <w:shd w:val="clear" w:color="auto" w:fill="auto"/>
            <w:vAlign w:val="center"/>
          </w:tcPr>
          <w:p w14:paraId="6DC56CE4">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10</w:t>
            </w:r>
          </w:p>
        </w:tc>
        <w:tc>
          <w:tcPr>
            <w:tcW w:w="327" w:type="pct"/>
            <w:shd w:val="clear" w:color="auto" w:fill="auto"/>
            <w:noWrap/>
            <w:vAlign w:val="center"/>
          </w:tcPr>
          <w:p w14:paraId="5E29B2CF">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300F969C">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11" w:type="pct"/>
            <w:shd w:val="clear" w:color="auto" w:fill="auto"/>
            <w:noWrap/>
            <w:vAlign w:val="center"/>
          </w:tcPr>
          <w:p w14:paraId="20082E65">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250CC5F0">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1E9029EA">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912" w:type="pct"/>
            <w:shd w:val="clear" w:color="auto" w:fill="auto"/>
            <w:noWrap/>
            <w:vAlign w:val="center"/>
          </w:tcPr>
          <w:p w14:paraId="73B2885C">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PVC板</w:t>
            </w:r>
          </w:p>
        </w:tc>
      </w:tr>
      <w:tr w14:paraId="43020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266" w:type="pct"/>
            <w:shd w:val="clear" w:color="auto" w:fill="auto"/>
            <w:vAlign w:val="center"/>
          </w:tcPr>
          <w:p w14:paraId="6D4773FC">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10</w:t>
            </w:r>
          </w:p>
        </w:tc>
        <w:tc>
          <w:tcPr>
            <w:tcW w:w="538" w:type="pct"/>
            <w:shd w:val="clear" w:color="auto" w:fill="auto"/>
            <w:vAlign w:val="center"/>
          </w:tcPr>
          <w:p w14:paraId="189CCA2F">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禁止放易燃物PVC板</w:t>
            </w:r>
          </w:p>
        </w:tc>
        <w:tc>
          <w:tcPr>
            <w:tcW w:w="655" w:type="pct"/>
            <w:shd w:val="clear" w:color="auto" w:fill="auto"/>
            <w:vAlign w:val="center"/>
          </w:tcPr>
          <w:p w14:paraId="069B1E05">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0.3m*0.4m</w:t>
            </w:r>
          </w:p>
        </w:tc>
        <w:tc>
          <w:tcPr>
            <w:tcW w:w="441" w:type="pct"/>
            <w:shd w:val="clear" w:color="auto" w:fill="auto"/>
            <w:noWrap/>
            <w:vAlign w:val="center"/>
          </w:tcPr>
          <w:p w14:paraId="43DD0404">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张</w:t>
            </w:r>
          </w:p>
        </w:tc>
        <w:tc>
          <w:tcPr>
            <w:tcW w:w="434" w:type="pct"/>
            <w:shd w:val="clear" w:color="auto" w:fill="auto"/>
            <w:vAlign w:val="center"/>
          </w:tcPr>
          <w:p w14:paraId="1CE7C858">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10</w:t>
            </w:r>
          </w:p>
        </w:tc>
        <w:tc>
          <w:tcPr>
            <w:tcW w:w="327" w:type="pct"/>
            <w:shd w:val="clear" w:color="auto" w:fill="auto"/>
            <w:noWrap/>
            <w:vAlign w:val="center"/>
          </w:tcPr>
          <w:p w14:paraId="14390963">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01EEA41A">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11" w:type="pct"/>
            <w:shd w:val="clear" w:color="auto" w:fill="auto"/>
            <w:noWrap/>
            <w:vAlign w:val="center"/>
          </w:tcPr>
          <w:p w14:paraId="1DF887F8">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7B88C35F">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6B9F56A3">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912" w:type="pct"/>
            <w:shd w:val="clear" w:color="auto" w:fill="auto"/>
            <w:noWrap/>
            <w:vAlign w:val="center"/>
          </w:tcPr>
          <w:p w14:paraId="31A00674">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PVC板</w:t>
            </w:r>
          </w:p>
        </w:tc>
      </w:tr>
      <w:tr w14:paraId="394D9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266" w:type="pct"/>
            <w:shd w:val="clear" w:color="auto" w:fill="auto"/>
            <w:vAlign w:val="center"/>
          </w:tcPr>
          <w:p w14:paraId="615428B6">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11</w:t>
            </w:r>
          </w:p>
        </w:tc>
        <w:tc>
          <w:tcPr>
            <w:tcW w:w="538" w:type="pct"/>
            <w:shd w:val="clear" w:color="auto" w:fill="auto"/>
            <w:vAlign w:val="center"/>
          </w:tcPr>
          <w:p w14:paraId="48624C47">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危险废物警示牌PVC板</w:t>
            </w:r>
          </w:p>
        </w:tc>
        <w:tc>
          <w:tcPr>
            <w:tcW w:w="655" w:type="pct"/>
            <w:shd w:val="clear" w:color="auto" w:fill="auto"/>
            <w:vAlign w:val="center"/>
          </w:tcPr>
          <w:p w14:paraId="37D816DB">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0.3m*0.4m</w:t>
            </w:r>
          </w:p>
        </w:tc>
        <w:tc>
          <w:tcPr>
            <w:tcW w:w="441" w:type="pct"/>
            <w:shd w:val="clear" w:color="auto" w:fill="auto"/>
            <w:noWrap/>
            <w:vAlign w:val="center"/>
          </w:tcPr>
          <w:p w14:paraId="7DEA5FDB">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张</w:t>
            </w:r>
          </w:p>
        </w:tc>
        <w:tc>
          <w:tcPr>
            <w:tcW w:w="434" w:type="pct"/>
            <w:shd w:val="clear" w:color="auto" w:fill="auto"/>
            <w:vAlign w:val="center"/>
          </w:tcPr>
          <w:p w14:paraId="7A831C35">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5</w:t>
            </w:r>
          </w:p>
        </w:tc>
        <w:tc>
          <w:tcPr>
            <w:tcW w:w="327" w:type="pct"/>
            <w:shd w:val="clear" w:color="auto" w:fill="auto"/>
            <w:noWrap/>
            <w:vAlign w:val="center"/>
          </w:tcPr>
          <w:p w14:paraId="0E435DD2">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10F71F1D">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11" w:type="pct"/>
            <w:shd w:val="clear" w:color="auto" w:fill="auto"/>
            <w:noWrap/>
            <w:vAlign w:val="center"/>
          </w:tcPr>
          <w:p w14:paraId="7E07E4AE">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20AE04CF">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02E27ADA">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912" w:type="pct"/>
            <w:shd w:val="clear" w:color="auto" w:fill="auto"/>
            <w:noWrap/>
            <w:vAlign w:val="center"/>
          </w:tcPr>
          <w:p w14:paraId="5049019E">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PVC板</w:t>
            </w:r>
          </w:p>
        </w:tc>
      </w:tr>
      <w:tr w14:paraId="634AD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266" w:type="pct"/>
            <w:shd w:val="clear" w:color="auto" w:fill="auto"/>
            <w:vAlign w:val="center"/>
          </w:tcPr>
          <w:p w14:paraId="7FFC47D0">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12</w:t>
            </w:r>
          </w:p>
        </w:tc>
        <w:tc>
          <w:tcPr>
            <w:tcW w:w="538" w:type="pct"/>
            <w:shd w:val="clear" w:color="auto" w:fill="auto"/>
            <w:vAlign w:val="center"/>
          </w:tcPr>
          <w:p w14:paraId="35CF3B62">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危废警示牌PVC板</w:t>
            </w:r>
          </w:p>
        </w:tc>
        <w:tc>
          <w:tcPr>
            <w:tcW w:w="655" w:type="pct"/>
            <w:shd w:val="clear" w:color="auto" w:fill="auto"/>
            <w:vAlign w:val="center"/>
          </w:tcPr>
          <w:p w14:paraId="5D642D7C">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0.3m*0.4m</w:t>
            </w:r>
          </w:p>
        </w:tc>
        <w:tc>
          <w:tcPr>
            <w:tcW w:w="441" w:type="pct"/>
            <w:shd w:val="clear" w:color="auto" w:fill="auto"/>
            <w:noWrap/>
            <w:vAlign w:val="center"/>
          </w:tcPr>
          <w:p w14:paraId="77E6BFAF">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张</w:t>
            </w:r>
          </w:p>
        </w:tc>
        <w:tc>
          <w:tcPr>
            <w:tcW w:w="434" w:type="pct"/>
            <w:shd w:val="clear" w:color="auto" w:fill="auto"/>
            <w:vAlign w:val="center"/>
          </w:tcPr>
          <w:p w14:paraId="6D3BF4AC">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10</w:t>
            </w:r>
          </w:p>
        </w:tc>
        <w:tc>
          <w:tcPr>
            <w:tcW w:w="327" w:type="pct"/>
            <w:shd w:val="clear" w:color="auto" w:fill="auto"/>
            <w:noWrap/>
            <w:vAlign w:val="center"/>
          </w:tcPr>
          <w:p w14:paraId="71E4A988">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1C777CD1">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11" w:type="pct"/>
            <w:shd w:val="clear" w:color="auto" w:fill="auto"/>
            <w:noWrap/>
            <w:vAlign w:val="center"/>
          </w:tcPr>
          <w:p w14:paraId="7F03F6E3">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01FCFF47">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0AD088F0">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912" w:type="pct"/>
            <w:shd w:val="clear" w:color="auto" w:fill="auto"/>
            <w:noWrap/>
            <w:vAlign w:val="center"/>
          </w:tcPr>
          <w:p w14:paraId="0C213BA4">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PVC板</w:t>
            </w:r>
          </w:p>
        </w:tc>
      </w:tr>
      <w:tr w14:paraId="21AF1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266" w:type="pct"/>
            <w:shd w:val="clear" w:color="auto" w:fill="auto"/>
            <w:vAlign w:val="center"/>
          </w:tcPr>
          <w:p w14:paraId="506B6E72">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13</w:t>
            </w:r>
          </w:p>
        </w:tc>
        <w:tc>
          <w:tcPr>
            <w:tcW w:w="538" w:type="pct"/>
            <w:shd w:val="clear" w:color="auto" w:fill="auto"/>
            <w:vAlign w:val="center"/>
          </w:tcPr>
          <w:p w14:paraId="6462E09E">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禁止烟火PVC板</w:t>
            </w:r>
          </w:p>
        </w:tc>
        <w:tc>
          <w:tcPr>
            <w:tcW w:w="655" w:type="pct"/>
            <w:shd w:val="clear" w:color="auto" w:fill="auto"/>
            <w:vAlign w:val="center"/>
          </w:tcPr>
          <w:p w14:paraId="0956EF4F">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0.3m*0.4m</w:t>
            </w:r>
          </w:p>
        </w:tc>
        <w:tc>
          <w:tcPr>
            <w:tcW w:w="441" w:type="pct"/>
            <w:shd w:val="clear" w:color="auto" w:fill="auto"/>
            <w:noWrap/>
            <w:vAlign w:val="center"/>
          </w:tcPr>
          <w:p w14:paraId="7F3E4FE6">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张</w:t>
            </w:r>
          </w:p>
        </w:tc>
        <w:tc>
          <w:tcPr>
            <w:tcW w:w="434" w:type="pct"/>
            <w:shd w:val="clear" w:color="auto" w:fill="auto"/>
            <w:vAlign w:val="center"/>
          </w:tcPr>
          <w:p w14:paraId="231F8FD6">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18</w:t>
            </w:r>
          </w:p>
        </w:tc>
        <w:tc>
          <w:tcPr>
            <w:tcW w:w="327" w:type="pct"/>
            <w:shd w:val="clear" w:color="auto" w:fill="auto"/>
            <w:noWrap/>
            <w:vAlign w:val="center"/>
          </w:tcPr>
          <w:p w14:paraId="0F4258F7">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69AFB41C">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11" w:type="pct"/>
            <w:shd w:val="clear" w:color="auto" w:fill="auto"/>
            <w:noWrap/>
            <w:vAlign w:val="center"/>
          </w:tcPr>
          <w:p w14:paraId="6C840035">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7A493CFD">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2BDDA23A">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912" w:type="pct"/>
            <w:shd w:val="clear" w:color="auto" w:fill="auto"/>
            <w:noWrap/>
            <w:vAlign w:val="center"/>
          </w:tcPr>
          <w:p w14:paraId="1B8815FA">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PVC板</w:t>
            </w:r>
          </w:p>
        </w:tc>
      </w:tr>
      <w:tr w14:paraId="7F475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266" w:type="pct"/>
            <w:shd w:val="clear" w:color="auto" w:fill="auto"/>
            <w:vAlign w:val="center"/>
          </w:tcPr>
          <w:p w14:paraId="2A97AADD">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14</w:t>
            </w:r>
          </w:p>
        </w:tc>
        <w:tc>
          <w:tcPr>
            <w:tcW w:w="538" w:type="pct"/>
            <w:shd w:val="clear" w:color="auto" w:fill="auto"/>
            <w:vAlign w:val="center"/>
          </w:tcPr>
          <w:p w14:paraId="0B6D7AFB">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当心火灾PVC板</w:t>
            </w:r>
          </w:p>
        </w:tc>
        <w:tc>
          <w:tcPr>
            <w:tcW w:w="655" w:type="pct"/>
            <w:shd w:val="clear" w:color="auto" w:fill="auto"/>
            <w:vAlign w:val="center"/>
          </w:tcPr>
          <w:p w14:paraId="11641A54">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0.3m*0.4m</w:t>
            </w:r>
          </w:p>
        </w:tc>
        <w:tc>
          <w:tcPr>
            <w:tcW w:w="441" w:type="pct"/>
            <w:shd w:val="clear" w:color="auto" w:fill="auto"/>
            <w:noWrap/>
            <w:vAlign w:val="center"/>
          </w:tcPr>
          <w:p w14:paraId="1C7BE09F">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张</w:t>
            </w:r>
          </w:p>
        </w:tc>
        <w:tc>
          <w:tcPr>
            <w:tcW w:w="434" w:type="pct"/>
            <w:shd w:val="clear" w:color="auto" w:fill="auto"/>
            <w:vAlign w:val="center"/>
          </w:tcPr>
          <w:p w14:paraId="017C01FB">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22</w:t>
            </w:r>
          </w:p>
        </w:tc>
        <w:tc>
          <w:tcPr>
            <w:tcW w:w="327" w:type="pct"/>
            <w:shd w:val="clear" w:color="auto" w:fill="auto"/>
            <w:noWrap/>
            <w:vAlign w:val="center"/>
          </w:tcPr>
          <w:p w14:paraId="6766E239">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6922D7BE">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11" w:type="pct"/>
            <w:shd w:val="clear" w:color="auto" w:fill="auto"/>
            <w:noWrap/>
            <w:vAlign w:val="center"/>
          </w:tcPr>
          <w:p w14:paraId="3D9C7E2D">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51684D72">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19491817">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912" w:type="pct"/>
            <w:shd w:val="clear" w:color="auto" w:fill="auto"/>
            <w:noWrap/>
            <w:vAlign w:val="center"/>
          </w:tcPr>
          <w:p w14:paraId="5D120281">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PVC板</w:t>
            </w:r>
          </w:p>
        </w:tc>
      </w:tr>
      <w:tr w14:paraId="6A2C8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266" w:type="pct"/>
            <w:shd w:val="clear" w:color="auto" w:fill="auto"/>
            <w:vAlign w:val="center"/>
          </w:tcPr>
          <w:p w14:paraId="64E9DC9B">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15</w:t>
            </w:r>
          </w:p>
        </w:tc>
        <w:tc>
          <w:tcPr>
            <w:tcW w:w="538" w:type="pct"/>
            <w:shd w:val="clear" w:color="auto" w:fill="auto"/>
            <w:vAlign w:val="center"/>
          </w:tcPr>
          <w:p w14:paraId="575309F2">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灭火器PVC板</w:t>
            </w:r>
          </w:p>
        </w:tc>
        <w:tc>
          <w:tcPr>
            <w:tcW w:w="655" w:type="pct"/>
            <w:shd w:val="clear" w:color="auto" w:fill="auto"/>
            <w:vAlign w:val="center"/>
          </w:tcPr>
          <w:p w14:paraId="2CF6875B">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0.3m*0.4m</w:t>
            </w:r>
          </w:p>
        </w:tc>
        <w:tc>
          <w:tcPr>
            <w:tcW w:w="441" w:type="pct"/>
            <w:shd w:val="clear" w:color="auto" w:fill="auto"/>
            <w:noWrap/>
            <w:vAlign w:val="center"/>
          </w:tcPr>
          <w:p w14:paraId="6022433D">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张</w:t>
            </w:r>
          </w:p>
        </w:tc>
        <w:tc>
          <w:tcPr>
            <w:tcW w:w="434" w:type="pct"/>
            <w:shd w:val="clear" w:color="auto" w:fill="auto"/>
            <w:vAlign w:val="center"/>
          </w:tcPr>
          <w:p w14:paraId="05100CD5">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20</w:t>
            </w:r>
          </w:p>
        </w:tc>
        <w:tc>
          <w:tcPr>
            <w:tcW w:w="327" w:type="pct"/>
            <w:shd w:val="clear" w:color="auto" w:fill="auto"/>
            <w:noWrap/>
            <w:vAlign w:val="center"/>
          </w:tcPr>
          <w:p w14:paraId="46093BAB">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16AFE113">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11" w:type="pct"/>
            <w:shd w:val="clear" w:color="auto" w:fill="auto"/>
            <w:noWrap/>
            <w:vAlign w:val="center"/>
          </w:tcPr>
          <w:p w14:paraId="0712449E">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70F3F22B">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2BCE52C5">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912" w:type="pct"/>
            <w:shd w:val="clear" w:color="auto" w:fill="auto"/>
            <w:noWrap/>
            <w:vAlign w:val="center"/>
          </w:tcPr>
          <w:p w14:paraId="5F37DB8C">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PVC板</w:t>
            </w:r>
          </w:p>
        </w:tc>
      </w:tr>
      <w:tr w14:paraId="3CB10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266" w:type="pct"/>
            <w:shd w:val="clear" w:color="auto" w:fill="auto"/>
            <w:vAlign w:val="center"/>
          </w:tcPr>
          <w:p w14:paraId="588576DF">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16</w:t>
            </w:r>
          </w:p>
        </w:tc>
        <w:tc>
          <w:tcPr>
            <w:tcW w:w="538" w:type="pct"/>
            <w:shd w:val="clear" w:color="auto" w:fill="auto"/>
            <w:vAlign w:val="center"/>
          </w:tcPr>
          <w:p w14:paraId="58426C45">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当心触电kt板</w:t>
            </w:r>
          </w:p>
        </w:tc>
        <w:tc>
          <w:tcPr>
            <w:tcW w:w="655" w:type="pct"/>
            <w:shd w:val="clear" w:color="auto" w:fill="auto"/>
            <w:vAlign w:val="center"/>
          </w:tcPr>
          <w:p w14:paraId="2C9FAF97">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0.2m*0.3m</w:t>
            </w:r>
          </w:p>
        </w:tc>
        <w:tc>
          <w:tcPr>
            <w:tcW w:w="441" w:type="pct"/>
            <w:shd w:val="clear" w:color="auto" w:fill="auto"/>
            <w:noWrap/>
            <w:vAlign w:val="center"/>
          </w:tcPr>
          <w:p w14:paraId="521B30D3">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张</w:t>
            </w:r>
          </w:p>
        </w:tc>
        <w:tc>
          <w:tcPr>
            <w:tcW w:w="434" w:type="pct"/>
            <w:shd w:val="clear" w:color="auto" w:fill="auto"/>
            <w:vAlign w:val="center"/>
          </w:tcPr>
          <w:p w14:paraId="422B076A">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35</w:t>
            </w:r>
          </w:p>
        </w:tc>
        <w:tc>
          <w:tcPr>
            <w:tcW w:w="327" w:type="pct"/>
            <w:shd w:val="clear" w:color="auto" w:fill="auto"/>
            <w:noWrap/>
            <w:vAlign w:val="center"/>
          </w:tcPr>
          <w:p w14:paraId="1ECCA167">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3E604BB1">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11" w:type="pct"/>
            <w:shd w:val="clear" w:color="auto" w:fill="auto"/>
            <w:noWrap/>
            <w:vAlign w:val="center"/>
          </w:tcPr>
          <w:p w14:paraId="7E1E39A7">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552C1C7A">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6F5D9600">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912" w:type="pct"/>
            <w:shd w:val="clear" w:color="auto" w:fill="auto"/>
            <w:noWrap/>
            <w:vAlign w:val="center"/>
          </w:tcPr>
          <w:p w14:paraId="205D44C0">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PVC板</w:t>
            </w:r>
          </w:p>
        </w:tc>
      </w:tr>
      <w:tr w14:paraId="2F772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266" w:type="pct"/>
            <w:shd w:val="clear" w:color="auto" w:fill="auto"/>
            <w:vAlign w:val="center"/>
          </w:tcPr>
          <w:p w14:paraId="53063D69">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17</w:t>
            </w:r>
          </w:p>
        </w:tc>
        <w:tc>
          <w:tcPr>
            <w:tcW w:w="538" w:type="pct"/>
            <w:shd w:val="clear" w:color="auto" w:fill="auto"/>
            <w:vAlign w:val="center"/>
          </w:tcPr>
          <w:p w14:paraId="44D6D842">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当心触电PVC板</w:t>
            </w:r>
          </w:p>
        </w:tc>
        <w:tc>
          <w:tcPr>
            <w:tcW w:w="655" w:type="pct"/>
            <w:shd w:val="clear" w:color="auto" w:fill="auto"/>
            <w:vAlign w:val="center"/>
          </w:tcPr>
          <w:p w14:paraId="0D179BA1">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0.2m*0.3m</w:t>
            </w:r>
          </w:p>
        </w:tc>
        <w:tc>
          <w:tcPr>
            <w:tcW w:w="441" w:type="pct"/>
            <w:shd w:val="clear" w:color="auto" w:fill="auto"/>
            <w:noWrap/>
            <w:vAlign w:val="center"/>
          </w:tcPr>
          <w:p w14:paraId="28E302CC">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张</w:t>
            </w:r>
          </w:p>
        </w:tc>
        <w:tc>
          <w:tcPr>
            <w:tcW w:w="434" w:type="pct"/>
            <w:shd w:val="clear" w:color="auto" w:fill="auto"/>
            <w:vAlign w:val="center"/>
          </w:tcPr>
          <w:p w14:paraId="60AF6AE2">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24</w:t>
            </w:r>
          </w:p>
        </w:tc>
        <w:tc>
          <w:tcPr>
            <w:tcW w:w="327" w:type="pct"/>
            <w:shd w:val="clear" w:color="auto" w:fill="auto"/>
            <w:noWrap/>
            <w:vAlign w:val="center"/>
          </w:tcPr>
          <w:p w14:paraId="067BD8DE">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6503B237">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11" w:type="pct"/>
            <w:shd w:val="clear" w:color="auto" w:fill="auto"/>
            <w:noWrap/>
            <w:vAlign w:val="center"/>
          </w:tcPr>
          <w:p w14:paraId="47C36888">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2D1BE842">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11A39007">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912" w:type="pct"/>
            <w:shd w:val="clear" w:color="auto" w:fill="auto"/>
            <w:noWrap/>
            <w:vAlign w:val="center"/>
          </w:tcPr>
          <w:p w14:paraId="0433CCE8">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PVC板</w:t>
            </w:r>
          </w:p>
        </w:tc>
      </w:tr>
      <w:tr w14:paraId="4B1A8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266" w:type="pct"/>
            <w:shd w:val="clear" w:color="auto" w:fill="auto"/>
            <w:vAlign w:val="center"/>
          </w:tcPr>
          <w:p w14:paraId="5D6C3C14">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18</w:t>
            </w:r>
          </w:p>
        </w:tc>
        <w:tc>
          <w:tcPr>
            <w:tcW w:w="538" w:type="pct"/>
            <w:shd w:val="clear" w:color="auto" w:fill="auto"/>
            <w:vAlign w:val="center"/>
          </w:tcPr>
          <w:p w14:paraId="48B59440">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安全责任牌PVC板</w:t>
            </w:r>
          </w:p>
        </w:tc>
        <w:tc>
          <w:tcPr>
            <w:tcW w:w="655" w:type="pct"/>
            <w:shd w:val="clear" w:color="auto" w:fill="auto"/>
            <w:vAlign w:val="center"/>
          </w:tcPr>
          <w:p w14:paraId="1CB6B146">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0.2m*0.3m</w:t>
            </w:r>
          </w:p>
        </w:tc>
        <w:tc>
          <w:tcPr>
            <w:tcW w:w="441" w:type="pct"/>
            <w:shd w:val="clear" w:color="auto" w:fill="auto"/>
            <w:noWrap/>
            <w:vAlign w:val="center"/>
          </w:tcPr>
          <w:p w14:paraId="4FAC3A65">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张</w:t>
            </w:r>
          </w:p>
        </w:tc>
        <w:tc>
          <w:tcPr>
            <w:tcW w:w="434" w:type="pct"/>
            <w:shd w:val="clear" w:color="auto" w:fill="auto"/>
            <w:vAlign w:val="center"/>
          </w:tcPr>
          <w:p w14:paraId="514673CD">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10</w:t>
            </w:r>
          </w:p>
        </w:tc>
        <w:tc>
          <w:tcPr>
            <w:tcW w:w="327" w:type="pct"/>
            <w:shd w:val="clear" w:color="auto" w:fill="auto"/>
            <w:noWrap/>
            <w:vAlign w:val="center"/>
          </w:tcPr>
          <w:p w14:paraId="62EB9E98">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534746C5">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11" w:type="pct"/>
            <w:shd w:val="clear" w:color="auto" w:fill="auto"/>
            <w:noWrap/>
            <w:vAlign w:val="center"/>
          </w:tcPr>
          <w:p w14:paraId="1F199235">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135E761E">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09842FCC">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912" w:type="pct"/>
            <w:shd w:val="clear" w:color="auto" w:fill="auto"/>
            <w:noWrap/>
            <w:vAlign w:val="center"/>
          </w:tcPr>
          <w:p w14:paraId="454DBA57">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PVC板</w:t>
            </w:r>
          </w:p>
        </w:tc>
      </w:tr>
      <w:tr w14:paraId="06260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266" w:type="pct"/>
            <w:shd w:val="clear" w:color="auto" w:fill="auto"/>
            <w:vAlign w:val="center"/>
          </w:tcPr>
          <w:p w14:paraId="65A7D6A7">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19</w:t>
            </w:r>
          </w:p>
        </w:tc>
        <w:tc>
          <w:tcPr>
            <w:tcW w:w="538" w:type="pct"/>
            <w:shd w:val="clear" w:color="auto" w:fill="auto"/>
            <w:vAlign w:val="center"/>
          </w:tcPr>
          <w:p w14:paraId="558B5ABC">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安全责任牌kt板</w:t>
            </w:r>
          </w:p>
        </w:tc>
        <w:tc>
          <w:tcPr>
            <w:tcW w:w="655" w:type="pct"/>
            <w:shd w:val="clear" w:color="auto" w:fill="auto"/>
            <w:vAlign w:val="center"/>
          </w:tcPr>
          <w:p w14:paraId="7AFA126F">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0.2m*0.3m</w:t>
            </w:r>
          </w:p>
        </w:tc>
        <w:tc>
          <w:tcPr>
            <w:tcW w:w="441" w:type="pct"/>
            <w:shd w:val="clear" w:color="auto" w:fill="auto"/>
            <w:noWrap/>
            <w:vAlign w:val="center"/>
          </w:tcPr>
          <w:p w14:paraId="01599F7E">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张</w:t>
            </w:r>
          </w:p>
        </w:tc>
        <w:tc>
          <w:tcPr>
            <w:tcW w:w="434" w:type="pct"/>
            <w:shd w:val="clear" w:color="auto" w:fill="auto"/>
            <w:vAlign w:val="center"/>
          </w:tcPr>
          <w:p w14:paraId="526CA75E">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25</w:t>
            </w:r>
          </w:p>
        </w:tc>
        <w:tc>
          <w:tcPr>
            <w:tcW w:w="327" w:type="pct"/>
            <w:shd w:val="clear" w:color="auto" w:fill="auto"/>
            <w:noWrap/>
            <w:vAlign w:val="center"/>
          </w:tcPr>
          <w:p w14:paraId="4D58228B">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6A3CB62A">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11" w:type="pct"/>
            <w:shd w:val="clear" w:color="auto" w:fill="auto"/>
            <w:noWrap/>
            <w:vAlign w:val="center"/>
          </w:tcPr>
          <w:p w14:paraId="7BB47043">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14AA3021">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5A9F8616">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912" w:type="pct"/>
            <w:shd w:val="clear" w:color="auto" w:fill="auto"/>
            <w:noWrap/>
            <w:vAlign w:val="center"/>
          </w:tcPr>
          <w:p w14:paraId="7785AABC">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PVC板</w:t>
            </w:r>
          </w:p>
        </w:tc>
      </w:tr>
      <w:tr w14:paraId="7BC8E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266" w:type="pct"/>
            <w:shd w:val="clear" w:color="auto" w:fill="auto"/>
            <w:vAlign w:val="center"/>
          </w:tcPr>
          <w:p w14:paraId="47B73D6F">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20</w:t>
            </w:r>
          </w:p>
        </w:tc>
        <w:tc>
          <w:tcPr>
            <w:tcW w:w="538" w:type="pct"/>
            <w:shd w:val="clear" w:color="auto" w:fill="auto"/>
            <w:vAlign w:val="center"/>
          </w:tcPr>
          <w:p w14:paraId="4D16FB7E">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提示标语PVC板</w:t>
            </w:r>
          </w:p>
        </w:tc>
        <w:tc>
          <w:tcPr>
            <w:tcW w:w="655" w:type="pct"/>
            <w:shd w:val="clear" w:color="auto" w:fill="auto"/>
            <w:vAlign w:val="center"/>
          </w:tcPr>
          <w:p w14:paraId="57E444BE">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0.3m*0.4m</w:t>
            </w:r>
          </w:p>
        </w:tc>
        <w:tc>
          <w:tcPr>
            <w:tcW w:w="441" w:type="pct"/>
            <w:shd w:val="clear" w:color="auto" w:fill="auto"/>
            <w:noWrap/>
            <w:vAlign w:val="center"/>
          </w:tcPr>
          <w:p w14:paraId="68A88DEE">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张</w:t>
            </w:r>
          </w:p>
        </w:tc>
        <w:tc>
          <w:tcPr>
            <w:tcW w:w="434" w:type="pct"/>
            <w:shd w:val="clear" w:color="auto" w:fill="auto"/>
            <w:vAlign w:val="center"/>
          </w:tcPr>
          <w:p w14:paraId="3D97D8DD">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20</w:t>
            </w:r>
          </w:p>
        </w:tc>
        <w:tc>
          <w:tcPr>
            <w:tcW w:w="327" w:type="pct"/>
            <w:shd w:val="clear" w:color="auto" w:fill="auto"/>
            <w:noWrap/>
            <w:vAlign w:val="center"/>
          </w:tcPr>
          <w:p w14:paraId="76F381E8">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06E8CBD1">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11" w:type="pct"/>
            <w:shd w:val="clear" w:color="auto" w:fill="auto"/>
            <w:noWrap/>
            <w:vAlign w:val="center"/>
          </w:tcPr>
          <w:p w14:paraId="621FC5E9">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0EF6B001">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2EB7D550">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912" w:type="pct"/>
            <w:shd w:val="clear" w:color="auto" w:fill="auto"/>
            <w:noWrap/>
            <w:vAlign w:val="center"/>
          </w:tcPr>
          <w:p w14:paraId="3C55A4B5">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PVC板</w:t>
            </w:r>
          </w:p>
        </w:tc>
      </w:tr>
      <w:tr w14:paraId="7052C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266" w:type="pct"/>
            <w:shd w:val="clear" w:color="auto" w:fill="auto"/>
            <w:vAlign w:val="center"/>
          </w:tcPr>
          <w:p w14:paraId="4286DB2D">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21</w:t>
            </w:r>
          </w:p>
        </w:tc>
        <w:tc>
          <w:tcPr>
            <w:tcW w:w="538" w:type="pct"/>
            <w:shd w:val="clear" w:color="auto" w:fill="auto"/>
            <w:vAlign w:val="center"/>
          </w:tcPr>
          <w:p w14:paraId="32C074A1">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施工重地PVC板</w:t>
            </w:r>
          </w:p>
        </w:tc>
        <w:tc>
          <w:tcPr>
            <w:tcW w:w="655" w:type="pct"/>
            <w:shd w:val="clear" w:color="auto" w:fill="auto"/>
            <w:vAlign w:val="center"/>
          </w:tcPr>
          <w:p w14:paraId="1C68E9B8">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0.3m*0.4m</w:t>
            </w:r>
          </w:p>
        </w:tc>
        <w:tc>
          <w:tcPr>
            <w:tcW w:w="441" w:type="pct"/>
            <w:shd w:val="clear" w:color="auto" w:fill="auto"/>
            <w:noWrap/>
            <w:vAlign w:val="center"/>
          </w:tcPr>
          <w:p w14:paraId="0A8944F2">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张</w:t>
            </w:r>
          </w:p>
        </w:tc>
        <w:tc>
          <w:tcPr>
            <w:tcW w:w="434" w:type="pct"/>
            <w:shd w:val="clear" w:color="auto" w:fill="auto"/>
            <w:vAlign w:val="center"/>
          </w:tcPr>
          <w:p w14:paraId="4D5BD51B">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5</w:t>
            </w:r>
          </w:p>
        </w:tc>
        <w:tc>
          <w:tcPr>
            <w:tcW w:w="327" w:type="pct"/>
            <w:shd w:val="clear" w:color="auto" w:fill="auto"/>
            <w:noWrap/>
            <w:vAlign w:val="center"/>
          </w:tcPr>
          <w:p w14:paraId="22182C07">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6EE4D0D0">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11" w:type="pct"/>
            <w:shd w:val="clear" w:color="auto" w:fill="auto"/>
            <w:noWrap/>
            <w:vAlign w:val="center"/>
          </w:tcPr>
          <w:p w14:paraId="7726350A">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166E198C">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52F2A0C0">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912" w:type="pct"/>
            <w:shd w:val="clear" w:color="auto" w:fill="auto"/>
            <w:noWrap/>
            <w:vAlign w:val="center"/>
          </w:tcPr>
          <w:p w14:paraId="04548D34">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PVC板</w:t>
            </w:r>
          </w:p>
        </w:tc>
      </w:tr>
      <w:tr w14:paraId="1CAC7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266" w:type="pct"/>
            <w:shd w:val="clear" w:color="auto" w:fill="auto"/>
            <w:vAlign w:val="center"/>
          </w:tcPr>
          <w:p w14:paraId="3EE79732">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22</w:t>
            </w:r>
          </w:p>
        </w:tc>
        <w:tc>
          <w:tcPr>
            <w:tcW w:w="538" w:type="pct"/>
            <w:shd w:val="clear" w:color="auto" w:fill="auto"/>
            <w:vAlign w:val="center"/>
          </w:tcPr>
          <w:p w14:paraId="497ABFA2">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沉淀池PVC板</w:t>
            </w:r>
          </w:p>
        </w:tc>
        <w:tc>
          <w:tcPr>
            <w:tcW w:w="655" w:type="pct"/>
            <w:shd w:val="clear" w:color="auto" w:fill="auto"/>
            <w:vAlign w:val="center"/>
          </w:tcPr>
          <w:p w14:paraId="6DFBA978">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0.3m*0.4m</w:t>
            </w:r>
          </w:p>
        </w:tc>
        <w:tc>
          <w:tcPr>
            <w:tcW w:w="441" w:type="pct"/>
            <w:shd w:val="clear" w:color="auto" w:fill="auto"/>
            <w:noWrap/>
            <w:vAlign w:val="center"/>
          </w:tcPr>
          <w:p w14:paraId="002DAE17">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张</w:t>
            </w:r>
          </w:p>
        </w:tc>
        <w:tc>
          <w:tcPr>
            <w:tcW w:w="434" w:type="pct"/>
            <w:shd w:val="clear" w:color="auto" w:fill="auto"/>
            <w:vAlign w:val="center"/>
          </w:tcPr>
          <w:p w14:paraId="73666304">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3</w:t>
            </w:r>
          </w:p>
        </w:tc>
        <w:tc>
          <w:tcPr>
            <w:tcW w:w="327" w:type="pct"/>
            <w:shd w:val="clear" w:color="auto" w:fill="auto"/>
            <w:noWrap/>
            <w:vAlign w:val="center"/>
          </w:tcPr>
          <w:p w14:paraId="552D8F10">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55A1E7CD">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11" w:type="pct"/>
            <w:shd w:val="clear" w:color="auto" w:fill="auto"/>
            <w:noWrap/>
            <w:vAlign w:val="center"/>
          </w:tcPr>
          <w:p w14:paraId="5932E847">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64EC8B30">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305397CE">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912" w:type="pct"/>
            <w:shd w:val="clear" w:color="auto" w:fill="auto"/>
            <w:noWrap/>
            <w:vAlign w:val="center"/>
          </w:tcPr>
          <w:p w14:paraId="78221B68">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PVC板</w:t>
            </w:r>
          </w:p>
        </w:tc>
      </w:tr>
      <w:tr w14:paraId="70BED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266" w:type="pct"/>
            <w:shd w:val="clear" w:color="auto" w:fill="auto"/>
            <w:vAlign w:val="center"/>
          </w:tcPr>
          <w:p w14:paraId="625FD674">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23</w:t>
            </w:r>
          </w:p>
        </w:tc>
        <w:tc>
          <w:tcPr>
            <w:tcW w:w="538" w:type="pct"/>
            <w:shd w:val="clear" w:color="auto" w:fill="auto"/>
            <w:vAlign w:val="center"/>
          </w:tcPr>
          <w:p w14:paraId="4AEE47D0">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指示牌PVC板</w:t>
            </w:r>
          </w:p>
        </w:tc>
        <w:tc>
          <w:tcPr>
            <w:tcW w:w="655" w:type="pct"/>
            <w:shd w:val="clear" w:color="auto" w:fill="auto"/>
            <w:vAlign w:val="center"/>
          </w:tcPr>
          <w:p w14:paraId="0F52E4CC">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0.3m*0.4m</w:t>
            </w:r>
          </w:p>
        </w:tc>
        <w:tc>
          <w:tcPr>
            <w:tcW w:w="441" w:type="pct"/>
            <w:shd w:val="clear" w:color="auto" w:fill="auto"/>
            <w:noWrap/>
            <w:vAlign w:val="center"/>
          </w:tcPr>
          <w:p w14:paraId="49D2CE95">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张</w:t>
            </w:r>
          </w:p>
        </w:tc>
        <w:tc>
          <w:tcPr>
            <w:tcW w:w="434" w:type="pct"/>
            <w:shd w:val="clear" w:color="auto" w:fill="auto"/>
            <w:vAlign w:val="center"/>
          </w:tcPr>
          <w:p w14:paraId="1DD81DE7">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15</w:t>
            </w:r>
          </w:p>
        </w:tc>
        <w:tc>
          <w:tcPr>
            <w:tcW w:w="327" w:type="pct"/>
            <w:shd w:val="clear" w:color="auto" w:fill="auto"/>
            <w:noWrap/>
            <w:vAlign w:val="center"/>
          </w:tcPr>
          <w:p w14:paraId="67B3D873">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7F41550B">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11" w:type="pct"/>
            <w:shd w:val="clear" w:color="auto" w:fill="auto"/>
            <w:noWrap/>
            <w:vAlign w:val="center"/>
          </w:tcPr>
          <w:p w14:paraId="0BF8F5D4">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59FC8594">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6B20AD54">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912" w:type="pct"/>
            <w:shd w:val="clear" w:color="auto" w:fill="auto"/>
            <w:noWrap/>
            <w:vAlign w:val="center"/>
          </w:tcPr>
          <w:p w14:paraId="13275A11">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PVC板</w:t>
            </w:r>
          </w:p>
        </w:tc>
      </w:tr>
      <w:tr w14:paraId="38BCB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266" w:type="pct"/>
            <w:shd w:val="clear" w:color="auto" w:fill="auto"/>
            <w:vAlign w:val="center"/>
          </w:tcPr>
          <w:p w14:paraId="72B8545B">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24</w:t>
            </w:r>
          </w:p>
        </w:tc>
        <w:tc>
          <w:tcPr>
            <w:tcW w:w="538" w:type="pct"/>
            <w:shd w:val="clear" w:color="auto" w:fill="auto"/>
            <w:vAlign w:val="center"/>
          </w:tcPr>
          <w:p w14:paraId="0229E681">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高压危险PVC板</w:t>
            </w:r>
          </w:p>
        </w:tc>
        <w:tc>
          <w:tcPr>
            <w:tcW w:w="655" w:type="pct"/>
            <w:shd w:val="clear" w:color="auto" w:fill="auto"/>
            <w:vAlign w:val="center"/>
          </w:tcPr>
          <w:p w14:paraId="54C2E79E">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0.3m*0.4m</w:t>
            </w:r>
          </w:p>
        </w:tc>
        <w:tc>
          <w:tcPr>
            <w:tcW w:w="441" w:type="pct"/>
            <w:shd w:val="clear" w:color="auto" w:fill="auto"/>
            <w:noWrap/>
            <w:vAlign w:val="center"/>
          </w:tcPr>
          <w:p w14:paraId="30B6EA61">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张</w:t>
            </w:r>
          </w:p>
        </w:tc>
        <w:tc>
          <w:tcPr>
            <w:tcW w:w="434" w:type="pct"/>
            <w:shd w:val="clear" w:color="auto" w:fill="auto"/>
            <w:vAlign w:val="center"/>
          </w:tcPr>
          <w:p w14:paraId="59920609">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10</w:t>
            </w:r>
          </w:p>
        </w:tc>
        <w:tc>
          <w:tcPr>
            <w:tcW w:w="327" w:type="pct"/>
            <w:shd w:val="clear" w:color="auto" w:fill="auto"/>
            <w:noWrap/>
            <w:vAlign w:val="center"/>
          </w:tcPr>
          <w:p w14:paraId="09FB7E15">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15EB48CA">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11" w:type="pct"/>
            <w:shd w:val="clear" w:color="auto" w:fill="auto"/>
            <w:noWrap/>
            <w:vAlign w:val="center"/>
          </w:tcPr>
          <w:p w14:paraId="0D47D6DE">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4C3CC90E">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627E5E26">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912" w:type="pct"/>
            <w:shd w:val="clear" w:color="auto" w:fill="auto"/>
            <w:noWrap/>
            <w:vAlign w:val="center"/>
          </w:tcPr>
          <w:p w14:paraId="170ECBDB">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PVC板</w:t>
            </w:r>
          </w:p>
        </w:tc>
      </w:tr>
      <w:tr w14:paraId="318BC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266" w:type="pct"/>
            <w:shd w:val="clear" w:color="auto" w:fill="auto"/>
            <w:vAlign w:val="center"/>
          </w:tcPr>
          <w:p w14:paraId="25A2CD10">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25</w:t>
            </w:r>
          </w:p>
        </w:tc>
        <w:tc>
          <w:tcPr>
            <w:tcW w:w="538" w:type="pct"/>
            <w:shd w:val="clear" w:color="auto" w:fill="auto"/>
            <w:vAlign w:val="center"/>
          </w:tcPr>
          <w:p w14:paraId="089B3566">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施工重地PVC板</w:t>
            </w:r>
          </w:p>
        </w:tc>
        <w:tc>
          <w:tcPr>
            <w:tcW w:w="655" w:type="pct"/>
            <w:shd w:val="clear" w:color="auto" w:fill="auto"/>
            <w:vAlign w:val="center"/>
          </w:tcPr>
          <w:p w14:paraId="1CE91123">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0.8m*1.2m</w:t>
            </w:r>
          </w:p>
        </w:tc>
        <w:tc>
          <w:tcPr>
            <w:tcW w:w="441" w:type="pct"/>
            <w:shd w:val="clear" w:color="auto" w:fill="auto"/>
            <w:noWrap/>
            <w:vAlign w:val="center"/>
          </w:tcPr>
          <w:p w14:paraId="581338EF">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张</w:t>
            </w:r>
          </w:p>
        </w:tc>
        <w:tc>
          <w:tcPr>
            <w:tcW w:w="434" w:type="pct"/>
            <w:shd w:val="clear" w:color="auto" w:fill="auto"/>
            <w:vAlign w:val="center"/>
          </w:tcPr>
          <w:p w14:paraId="428B4F70">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1</w:t>
            </w:r>
          </w:p>
        </w:tc>
        <w:tc>
          <w:tcPr>
            <w:tcW w:w="327" w:type="pct"/>
            <w:shd w:val="clear" w:color="auto" w:fill="auto"/>
            <w:noWrap/>
            <w:vAlign w:val="center"/>
          </w:tcPr>
          <w:p w14:paraId="626CF0E2">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63663E16">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11" w:type="pct"/>
            <w:shd w:val="clear" w:color="auto" w:fill="auto"/>
            <w:noWrap/>
            <w:vAlign w:val="center"/>
          </w:tcPr>
          <w:p w14:paraId="3A9A16C7">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7476C736">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4FD38165">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912" w:type="pct"/>
            <w:shd w:val="clear" w:color="auto" w:fill="auto"/>
            <w:noWrap/>
            <w:vAlign w:val="center"/>
          </w:tcPr>
          <w:p w14:paraId="27464441">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PVC板</w:t>
            </w:r>
          </w:p>
        </w:tc>
      </w:tr>
      <w:tr w14:paraId="2F69F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266" w:type="pct"/>
            <w:shd w:val="clear" w:color="auto" w:fill="auto"/>
            <w:vAlign w:val="center"/>
          </w:tcPr>
          <w:p w14:paraId="39589250">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26</w:t>
            </w:r>
          </w:p>
        </w:tc>
        <w:tc>
          <w:tcPr>
            <w:tcW w:w="538" w:type="pct"/>
            <w:shd w:val="clear" w:color="auto" w:fill="auto"/>
            <w:vAlign w:val="center"/>
          </w:tcPr>
          <w:p w14:paraId="520534E7">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岗位职责kt板</w:t>
            </w:r>
          </w:p>
        </w:tc>
        <w:tc>
          <w:tcPr>
            <w:tcW w:w="655" w:type="pct"/>
            <w:shd w:val="clear" w:color="auto" w:fill="auto"/>
            <w:vAlign w:val="center"/>
          </w:tcPr>
          <w:p w14:paraId="09898973">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0.6m*0.9m</w:t>
            </w:r>
          </w:p>
        </w:tc>
        <w:tc>
          <w:tcPr>
            <w:tcW w:w="441" w:type="pct"/>
            <w:shd w:val="clear" w:color="auto" w:fill="auto"/>
            <w:noWrap/>
            <w:vAlign w:val="center"/>
          </w:tcPr>
          <w:p w14:paraId="1961B3B5">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套</w:t>
            </w:r>
          </w:p>
        </w:tc>
        <w:tc>
          <w:tcPr>
            <w:tcW w:w="434" w:type="pct"/>
            <w:shd w:val="clear" w:color="auto" w:fill="auto"/>
            <w:vAlign w:val="center"/>
          </w:tcPr>
          <w:p w14:paraId="61AB4B4E">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13</w:t>
            </w:r>
          </w:p>
        </w:tc>
        <w:tc>
          <w:tcPr>
            <w:tcW w:w="327" w:type="pct"/>
            <w:shd w:val="clear" w:color="auto" w:fill="auto"/>
            <w:noWrap/>
            <w:vAlign w:val="center"/>
          </w:tcPr>
          <w:p w14:paraId="0EA17FC2">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6D6007E6">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11" w:type="pct"/>
            <w:shd w:val="clear" w:color="auto" w:fill="auto"/>
            <w:noWrap/>
            <w:vAlign w:val="center"/>
          </w:tcPr>
          <w:p w14:paraId="14CEDB12">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6C33D502">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2FD68095">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912" w:type="pct"/>
            <w:shd w:val="clear" w:color="auto" w:fill="auto"/>
            <w:noWrap/>
            <w:vAlign w:val="center"/>
          </w:tcPr>
          <w:p w14:paraId="7034DDE4">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写真kt板+小边条</w:t>
            </w:r>
          </w:p>
        </w:tc>
      </w:tr>
      <w:tr w14:paraId="44169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266" w:type="pct"/>
            <w:shd w:val="clear" w:color="auto" w:fill="auto"/>
            <w:vAlign w:val="center"/>
          </w:tcPr>
          <w:p w14:paraId="7380BDDB">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27</w:t>
            </w:r>
          </w:p>
        </w:tc>
        <w:tc>
          <w:tcPr>
            <w:tcW w:w="538" w:type="pct"/>
            <w:shd w:val="clear" w:color="auto" w:fill="auto"/>
            <w:vAlign w:val="center"/>
          </w:tcPr>
          <w:p w14:paraId="2EE80F80">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横道图kt板</w:t>
            </w:r>
          </w:p>
        </w:tc>
        <w:tc>
          <w:tcPr>
            <w:tcW w:w="655" w:type="pct"/>
            <w:shd w:val="clear" w:color="auto" w:fill="auto"/>
            <w:vAlign w:val="center"/>
          </w:tcPr>
          <w:p w14:paraId="32CF6CE8">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1.2m*2m</w:t>
            </w:r>
          </w:p>
        </w:tc>
        <w:tc>
          <w:tcPr>
            <w:tcW w:w="441" w:type="pct"/>
            <w:shd w:val="clear" w:color="auto" w:fill="auto"/>
            <w:noWrap/>
            <w:vAlign w:val="center"/>
          </w:tcPr>
          <w:p w14:paraId="18EAD4FE">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套</w:t>
            </w:r>
          </w:p>
        </w:tc>
        <w:tc>
          <w:tcPr>
            <w:tcW w:w="434" w:type="pct"/>
            <w:shd w:val="clear" w:color="auto" w:fill="auto"/>
            <w:vAlign w:val="center"/>
          </w:tcPr>
          <w:p w14:paraId="0B808D7D">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2</w:t>
            </w:r>
          </w:p>
        </w:tc>
        <w:tc>
          <w:tcPr>
            <w:tcW w:w="327" w:type="pct"/>
            <w:shd w:val="clear" w:color="auto" w:fill="auto"/>
            <w:noWrap/>
            <w:vAlign w:val="center"/>
          </w:tcPr>
          <w:p w14:paraId="4C23840E">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7F585A15">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11" w:type="pct"/>
            <w:shd w:val="clear" w:color="auto" w:fill="auto"/>
            <w:noWrap/>
            <w:vAlign w:val="center"/>
          </w:tcPr>
          <w:p w14:paraId="68344F6F">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5067CF9B">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7109C30E">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912" w:type="pct"/>
            <w:shd w:val="clear" w:color="auto" w:fill="auto"/>
            <w:noWrap/>
            <w:vAlign w:val="center"/>
          </w:tcPr>
          <w:p w14:paraId="1F62BD18">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写真kt板+小边条</w:t>
            </w:r>
          </w:p>
        </w:tc>
      </w:tr>
      <w:tr w14:paraId="17606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266" w:type="pct"/>
            <w:shd w:val="clear" w:color="auto" w:fill="auto"/>
            <w:vAlign w:val="center"/>
          </w:tcPr>
          <w:p w14:paraId="1A66F5F6">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28</w:t>
            </w:r>
          </w:p>
        </w:tc>
        <w:tc>
          <w:tcPr>
            <w:tcW w:w="538" w:type="pct"/>
            <w:shd w:val="clear" w:color="auto" w:fill="auto"/>
            <w:vAlign w:val="center"/>
          </w:tcPr>
          <w:p w14:paraId="36AA3142">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藏热大桥kt板</w:t>
            </w:r>
          </w:p>
        </w:tc>
        <w:tc>
          <w:tcPr>
            <w:tcW w:w="655" w:type="pct"/>
            <w:shd w:val="clear" w:color="auto" w:fill="auto"/>
            <w:vAlign w:val="center"/>
          </w:tcPr>
          <w:p w14:paraId="6C140C25">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1.2m*2m</w:t>
            </w:r>
          </w:p>
        </w:tc>
        <w:tc>
          <w:tcPr>
            <w:tcW w:w="441" w:type="pct"/>
            <w:shd w:val="clear" w:color="auto" w:fill="auto"/>
            <w:noWrap/>
            <w:vAlign w:val="center"/>
          </w:tcPr>
          <w:p w14:paraId="18AFBCB0">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套</w:t>
            </w:r>
          </w:p>
        </w:tc>
        <w:tc>
          <w:tcPr>
            <w:tcW w:w="434" w:type="pct"/>
            <w:shd w:val="clear" w:color="auto" w:fill="auto"/>
            <w:vAlign w:val="center"/>
          </w:tcPr>
          <w:p w14:paraId="380EDE6F">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2</w:t>
            </w:r>
          </w:p>
        </w:tc>
        <w:tc>
          <w:tcPr>
            <w:tcW w:w="327" w:type="pct"/>
            <w:shd w:val="clear" w:color="auto" w:fill="auto"/>
            <w:noWrap/>
            <w:vAlign w:val="center"/>
          </w:tcPr>
          <w:p w14:paraId="7622F6ED">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0B7A8722">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11" w:type="pct"/>
            <w:shd w:val="clear" w:color="auto" w:fill="auto"/>
            <w:noWrap/>
            <w:vAlign w:val="center"/>
          </w:tcPr>
          <w:p w14:paraId="48EA7983">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3A5DA8F9">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30A63CF6">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912" w:type="pct"/>
            <w:shd w:val="clear" w:color="auto" w:fill="auto"/>
            <w:noWrap/>
            <w:vAlign w:val="center"/>
          </w:tcPr>
          <w:p w14:paraId="3E9CF280">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写真kt板+小边条</w:t>
            </w:r>
          </w:p>
        </w:tc>
      </w:tr>
      <w:tr w14:paraId="71EF5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266" w:type="pct"/>
            <w:shd w:val="clear" w:color="auto" w:fill="auto"/>
            <w:vAlign w:val="center"/>
          </w:tcPr>
          <w:p w14:paraId="2C683829">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29</w:t>
            </w:r>
          </w:p>
        </w:tc>
        <w:tc>
          <w:tcPr>
            <w:tcW w:w="538" w:type="pct"/>
            <w:shd w:val="clear" w:color="auto" w:fill="auto"/>
            <w:vAlign w:val="center"/>
          </w:tcPr>
          <w:p w14:paraId="60125BC5">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九牌二图</w:t>
            </w:r>
          </w:p>
        </w:tc>
        <w:tc>
          <w:tcPr>
            <w:tcW w:w="655" w:type="pct"/>
            <w:shd w:val="clear" w:color="auto" w:fill="auto"/>
            <w:vAlign w:val="center"/>
          </w:tcPr>
          <w:p w14:paraId="722793DD">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1.2m*2m</w:t>
            </w:r>
          </w:p>
        </w:tc>
        <w:tc>
          <w:tcPr>
            <w:tcW w:w="441" w:type="pct"/>
            <w:shd w:val="clear" w:color="auto" w:fill="auto"/>
            <w:noWrap/>
            <w:vAlign w:val="center"/>
          </w:tcPr>
          <w:p w14:paraId="3CDFB30E">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套</w:t>
            </w:r>
          </w:p>
        </w:tc>
        <w:tc>
          <w:tcPr>
            <w:tcW w:w="434" w:type="pct"/>
            <w:shd w:val="clear" w:color="auto" w:fill="auto"/>
            <w:vAlign w:val="center"/>
          </w:tcPr>
          <w:p w14:paraId="57B9B460">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10</w:t>
            </w:r>
          </w:p>
        </w:tc>
        <w:tc>
          <w:tcPr>
            <w:tcW w:w="327" w:type="pct"/>
            <w:shd w:val="clear" w:color="auto" w:fill="auto"/>
            <w:noWrap/>
            <w:vAlign w:val="center"/>
          </w:tcPr>
          <w:p w14:paraId="3AC7A1FF">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6AAD9ACA">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11" w:type="pct"/>
            <w:shd w:val="clear" w:color="auto" w:fill="auto"/>
            <w:noWrap/>
            <w:vAlign w:val="center"/>
          </w:tcPr>
          <w:p w14:paraId="5D8CED56">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595F84E1">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15BFD5A9">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912" w:type="pct"/>
            <w:shd w:val="clear" w:color="auto" w:fill="auto"/>
            <w:noWrap/>
            <w:vAlign w:val="center"/>
          </w:tcPr>
          <w:p w14:paraId="78CE46EB">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喷绘加厚布</w:t>
            </w:r>
          </w:p>
        </w:tc>
      </w:tr>
      <w:tr w14:paraId="717CD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266" w:type="pct"/>
            <w:shd w:val="clear" w:color="auto" w:fill="auto"/>
            <w:vAlign w:val="center"/>
          </w:tcPr>
          <w:p w14:paraId="439CB155">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30</w:t>
            </w:r>
          </w:p>
        </w:tc>
        <w:tc>
          <w:tcPr>
            <w:tcW w:w="538" w:type="pct"/>
            <w:shd w:val="clear" w:color="auto" w:fill="auto"/>
            <w:vAlign w:val="center"/>
          </w:tcPr>
          <w:p w14:paraId="067F976C">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文明施工规范作业</w:t>
            </w:r>
          </w:p>
        </w:tc>
        <w:tc>
          <w:tcPr>
            <w:tcW w:w="655" w:type="pct"/>
            <w:shd w:val="clear" w:color="auto" w:fill="auto"/>
            <w:vAlign w:val="center"/>
          </w:tcPr>
          <w:p w14:paraId="1080ACD4">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0.6m*0.8m</w:t>
            </w:r>
          </w:p>
        </w:tc>
        <w:tc>
          <w:tcPr>
            <w:tcW w:w="441" w:type="pct"/>
            <w:shd w:val="clear" w:color="auto" w:fill="auto"/>
            <w:noWrap/>
            <w:vAlign w:val="center"/>
          </w:tcPr>
          <w:p w14:paraId="762D5FF5">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套</w:t>
            </w:r>
          </w:p>
        </w:tc>
        <w:tc>
          <w:tcPr>
            <w:tcW w:w="434" w:type="pct"/>
            <w:shd w:val="clear" w:color="auto" w:fill="auto"/>
            <w:vAlign w:val="center"/>
          </w:tcPr>
          <w:p w14:paraId="187276ED">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20</w:t>
            </w:r>
          </w:p>
        </w:tc>
        <w:tc>
          <w:tcPr>
            <w:tcW w:w="327" w:type="pct"/>
            <w:shd w:val="clear" w:color="auto" w:fill="auto"/>
            <w:noWrap/>
            <w:vAlign w:val="center"/>
          </w:tcPr>
          <w:p w14:paraId="24F12CD3">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050360A3">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11" w:type="pct"/>
            <w:shd w:val="clear" w:color="auto" w:fill="auto"/>
            <w:noWrap/>
            <w:vAlign w:val="center"/>
          </w:tcPr>
          <w:p w14:paraId="074543D7">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709F6D82">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39E13019">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912" w:type="pct"/>
            <w:shd w:val="clear" w:color="auto" w:fill="auto"/>
            <w:noWrap/>
            <w:vAlign w:val="center"/>
          </w:tcPr>
          <w:p w14:paraId="58F025F0">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钢架焊接+铁皮+反光晶彩格+支腿+链条</w:t>
            </w:r>
          </w:p>
        </w:tc>
      </w:tr>
      <w:tr w14:paraId="5D5AC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266" w:type="pct"/>
            <w:shd w:val="clear" w:color="auto" w:fill="auto"/>
            <w:vAlign w:val="center"/>
          </w:tcPr>
          <w:p w14:paraId="1BB18F68">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31</w:t>
            </w:r>
          </w:p>
        </w:tc>
        <w:tc>
          <w:tcPr>
            <w:tcW w:w="538" w:type="pct"/>
            <w:shd w:val="clear" w:color="auto" w:fill="auto"/>
            <w:vAlign w:val="center"/>
          </w:tcPr>
          <w:p w14:paraId="4057A33D">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守护蓝天碧水  共建绿色工地（双面）</w:t>
            </w:r>
          </w:p>
        </w:tc>
        <w:tc>
          <w:tcPr>
            <w:tcW w:w="655" w:type="pct"/>
            <w:shd w:val="clear" w:color="auto" w:fill="auto"/>
            <w:vAlign w:val="center"/>
          </w:tcPr>
          <w:p w14:paraId="0D8998BF">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0.6m*0.8m</w:t>
            </w:r>
          </w:p>
        </w:tc>
        <w:tc>
          <w:tcPr>
            <w:tcW w:w="441" w:type="pct"/>
            <w:shd w:val="clear" w:color="auto" w:fill="auto"/>
            <w:noWrap/>
            <w:vAlign w:val="center"/>
          </w:tcPr>
          <w:p w14:paraId="60499035">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套</w:t>
            </w:r>
          </w:p>
        </w:tc>
        <w:tc>
          <w:tcPr>
            <w:tcW w:w="434" w:type="pct"/>
            <w:shd w:val="clear" w:color="auto" w:fill="auto"/>
            <w:vAlign w:val="center"/>
          </w:tcPr>
          <w:p w14:paraId="2293F1AB">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10</w:t>
            </w:r>
          </w:p>
        </w:tc>
        <w:tc>
          <w:tcPr>
            <w:tcW w:w="327" w:type="pct"/>
            <w:shd w:val="clear" w:color="auto" w:fill="auto"/>
            <w:noWrap/>
            <w:vAlign w:val="center"/>
          </w:tcPr>
          <w:p w14:paraId="70B8CF2A">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37BDDA36">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11" w:type="pct"/>
            <w:shd w:val="clear" w:color="auto" w:fill="auto"/>
            <w:noWrap/>
            <w:vAlign w:val="center"/>
          </w:tcPr>
          <w:p w14:paraId="0709C8F9">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5DA41703">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32BA6A70">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912" w:type="pct"/>
            <w:shd w:val="clear" w:color="auto" w:fill="auto"/>
            <w:noWrap/>
            <w:vAlign w:val="center"/>
          </w:tcPr>
          <w:p w14:paraId="086A6138">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钢架焊接+铁皮+反光晶彩格+支腿+链条</w:t>
            </w:r>
          </w:p>
        </w:tc>
      </w:tr>
      <w:tr w14:paraId="060FF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266" w:type="pct"/>
            <w:shd w:val="clear" w:color="auto" w:fill="auto"/>
            <w:vAlign w:val="center"/>
          </w:tcPr>
          <w:p w14:paraId="166AC8C2">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32</w:t>
            </w:r>
          </w:p>
        </w:tc>
        <w:tc>
          <w:tcPr>
            <w:tcW w:w="538" w:type="pct"/>
            <w:shd w:val="clear" w:color="auto" w:fill="auto"/>
            <w:vAlign w:val="center"/>
          </w:tcPr>
          <w:p w14:paraId="5DB6A0B7">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防止水土流失  保护生态环境（双面）</w:t>
            </w:r>
          </w:p>
        </w:tc>
        <w:tc>
          <w:tcPr>
            <w:tcW w:w="655" w:type="pct"/>
            <w:shd w:val="clear" w:color="auto" w:fill="auto"/>
            <w:vAlign w:val="center"/>
          </w:tcPr>
          <w:p w14:paraId="362E7C4B">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0.6m*0.8m</w:t>
            </w:r>
          </w:p>
        </w:tc>
        <w:tc>
          <w:tcPr>
            <w:tcW w:w="441" w:type="pct"/>
            <w:shd w:val="clear" w:color="auto" w:fill="auto"/>
            <w:noWrap/>
            <w:vAlign w:val="center"/>
          </w:tcPr>
          <w:p w14:paraId="4179D46A">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套</w:t>
            </w:r>
          </w:p>
        </w:tc>
        <w:tc>
          <w:tcPr>
            <w:tcW w:w="434" w:type="pct"/>
            <w:shd w:val="clear" w:color="auto" w:fill="auto"/>
            <w:vAlign w:val="center"/>
          </w:tcPr>
          <w:p w14:paraId="724B3064">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10</w:t>
            </w:r>
          </w:p>
        </w:tc>
        <w:tc>
          <w:tcPr>
            <w:tcW w:w="327" w:type="pct"/>
            <w:shd w:val="clear" w:color="auto" w:fill="auto"/>
            <w:noWrap/>
            <w:vAlign w:val="center"/>
          </w:tcPr>
          <w:p w14:paraId="75CC0AF9">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4A0BA40B">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11" w:type="pct"/>
            <w:shd w:val="clear" w:color="auto" w:fill="auto"/>
            <w:noWrap/>
            <w:vAlign w:val="center"/>
          </w:tcPr>
          <w:p w14:paraId="46EB7BC7">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1300A8E6">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716096F6">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912" w:type="pct"/>
            <w:shd w:val="clear" w:color="auto" w:fill="auto"/>
            <w:noWrap/>
            <w:vAlign w:val="center"/>
          </w:tcPr>
          <w:p w14:paraId="0E6D8F68">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钢架焊接+铁皮+反光晶彩格+支腿+链条</w:t>
            </w:r>
          </w:p>
        </w:tc>
      </w:tr>
      <w:tr w14:paraId="03540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266" w:type="pct"/>
            <w:shd w:val="clear" w:color="auto" w:fill="auto"/>
            <w:vAlign w:val="center"/>
          </w:tcPr>
          <w:p w14:paraId="237F045D">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33</w:t>
            </w:r>
          </w:p>
        </w:tc>
        <w:tc>
          <w:tcPr>
            <w:tcW w:w="538" w:type="pct"/>
            <w:shd w:val="clear" w:color="auto" w:fill="auto"/>
            <w:vAlign w:val="center"/>
          </w:tcPr>
          <w:p w14:paraId="54A38340">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安全来自警惕  事故出于麻痹（双面）</w:t>
            </w:r>
          </w:p>
        </w:tc>
        <w:tc>
          <w:tcPr>
            <w:tcW w:w="655" w:type="pct"/>
            <w:shd w:val="clear" w:color="auto" w:fill="auto"/>
            <w:vAlign w:val="center"/>
          </w:tcPr>
          <w:p w14:paraId="514EC40C">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0.6m*0.8m</w:t>
            </w:r>
          </w:p>
        </w:tc>
        <w:tc>
          <w:tcPr>
            <w:tcW w:w="441" w:type="pct"/>
            <w:shd w:val="clear" w:color="auto" w:fill="auto"/>
            <w:noWrap/>
            <w:vAlign w:val="center"/>
          </w:tcPr>
          <w:p w14:paraId="22228E52">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套</w:t>
            </w:r>
          </w:p>
        </w:tc>
        <w:tc>
          <w:tcPr>
            <w:tcW w:w="434" w:type="pct"/>
            <w:shd w:val="clear" w:color="auto" w:fill="auto"/>
            <w:vAlign w:val="center"/>
          </w:tcPr>
          <w:p w14:paraId="60F406C3">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18</w:t>
            </w:r>
          </w:p>
        </w:tc>
        <w:tc>
          <w:tcPr>
            <w:tcW w:w="327" w:type="pct"/>
            <w:shd w:val="clear" w:color="auto" w:fill="auto"/>
            <w:noWrap/>
            <w:vAlign w:val="center"/>
          </w:tcPr>
          <w:p w14:paraId="108368E0">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1CF1F8A7">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11" w:type="pct"/>
            <w:shd w:val="clear" w:color="auto" w:fill="auto"/>
            <w:noWrap/>
            <w:vAlign w:val="center"/>
          </w:tcPr>
          <w:p w14:paraId="35C6F798">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57302692">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71A74190">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912" w:type="pct"/>
            <w:shd w:val="clear" w:color="auto" w:fill="auto"/>
            <w:noWrap/>
            <w:vAlign w:val="center"/>
          </w:tcPr>
          <w:p w14:paraId="768EC1A3">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钢架焊接+铁皮+反光晶彩格+支腿+链条</w:t>
            </w:r>
          </w:p>
        </w:tc>
      </w:tr>
      <w:tr w14:paraId="3D505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266" w:type="pct"/>
            <w:shd w:val="clear" w:color="auto" w:fill="auto"/>
            <w:vAlign w:val="center"/>
          </w:tcPr>
          <w:p w14:paraId="50D5A194">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34</w:t>
            </w:r>
          </w:p>
        </w:tc>
        <w:tc>
          <w:tcPr>
            <w:tcW w:w="538" w:type="pct"/>
            <w:shd w:val="clear" w:color="auto" w:fill="auto"/>
            <w:vAlign w:val="center"/>
          </w:tcPr>
          <w:p w14:paraId="7B65C263">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前方施工请走变道（单面）</w:t>
            </w:r>
          </w:p>
        </w:tc>
        <w:tc>
          <w:tcPr>
            <w:tcW w:w="655" w:type="pct"/>
            <w:shd w:val="clear" w:color="auto" w:fill="auto"/>
            <w:vAlign w:val="center"/>
          </w:tcPr>
          <w:p w14:paraId="132F970D">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0.6m*0.8m</w:t>
            </w:r>
          </w:p>
        </w:tc>
        <w:tc>
          <w:tcPr>
            <w:tcW w:w="441" w:type="pct"/>
            <w:shd w:val="clear" w:color="auto" w:fill="auto"/>
            <w:noWrap/>
            <w:vAlign w:val="center"/>
          </w:tcPr>
          <w:p w14:paraId="60A12173">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套</w:t>
            </w:r>
          </w:p>
        </w:tc>
        <w:tc>
          <w:tcPr>
            <w:tcW w:w="434" w:type="pct"/>
            <w:shd w:val="clear" w:color="auto" w:fill="auto"/>
            <w:vAlign w:val="center"/>
          </w:tcPr>
          <w:p w14:paraId="34AE1E58">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38</w:t>
            </w:r>
          </w:p>
        </w:tc>
        <w:tc>
          <w:tcPr>
            <w:tcW w:w="327" w:type="pct"/>
            <w:shd w:val="clear" w:color="auto" w:fill="auto"/>
            <w:noWrap/>
            <w:vAlign w:val="center"/>
          </w:tcPr>
          <w:p w14:paraId="0D4407F2">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56D3B681">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11" w:type="pct"/>
            <w:shd w:val="clear" w:color="auto" w:fill="auto"/>
            <w:noWrap/>
            <w:vAlign w:val="center"/>
          </w:tcPr>
          <w:p w14:paraId="5DA85CA1">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31D97B62">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1F79F565">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912" w:type="pct"/>
            <w:shd w:val="clear" w:color="auto" w:fill="auto"/>
            <w:noWrap/>
            <w:vAlign w:val="center"/>
          </w:tcPr>
          <w:p w14:paraId="084F55E6">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钢架焊接+铁皮+反光晶彩格+支腿+链条</w:t>
            </w:r>
          </w:p>
        </w:tc>
      </w:tr>
      <w:tr w14:paraId="5A3E1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266" w:type="pct"/>
            <w:shd w:val="clear" w:color="auto" w:fill="auto"/>
            <w:vAlign w:val="center"/>
          </w:tcPr>
          <w:p w14:paraId="1ECCFE06">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35</w:t>
            </w:r>
          </w:p>
        </w:tc>
        <w:tc>
          <w:tcPr>
            <w:tcW w:w="538" w:type="pct"/>
            <w:shd w:val="clear" w:color="auto" w:fill="auto"/>
            <w:vAlign w:val="center"/>
          </w:tcPr>
          <w:p w14:paraId="50B3E647">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基坑危险请勿靠近（单面）</w:t>
            </w:r>
          </w:p>
        </w:tc>
        <w:tc>
          <w:tcPr>
            <w:tcW w:w="655" w:type="pct"/>
            <w:shd w:val="clear" w:color="auto" w:fill="auto"/>
            <w:vAlign w:val="center"/>
          </w:tcPr>
          <w:p w14:paraId="63EA76B8">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0.4m*0.6m</w:t>
            </w:r>
          </w:p>
        </w:tc>
        <w:tc>
          <w:tcPr>
            <w:tcW w:w="441" w:type="pct"/>
            <w:shd w:val="clear" w:color="auto" w:fill="auto"/>
            <w:noWrap/>
            <w:vAlign w:val="center"/>
          </w:tcPr>
          <w:p w14:paraId="3431DFAD">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套</w:t>
            </w:r>
          </w:p>
        </w:tc>
        <w:tc>
          <w:tcPr>
            <w:tcW w:w="434" w:type="pct"/>
            <w:shd w:val="clear" w:color="auto" w:fill="auto"/>
            <w:vAlign w:val="center"/>
          </w:tcPr>
          <w:p w14:paraId="4218968D">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45</w:t>
            </w:r>
          </w:p>
        </w:tc>
        <w:tc>
          <w:tcPr>
            <w:tcW w:w="327" w:type="pct"/>
            <w:shd w:val="clear" w:color="auto" w:fill="auto"/>
            <w:noWrap/>
            <w:vAlign w:val="center"/>
          </w:tcPr>
          <w:p w14:paraId="0D43180F">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01A070E0">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11" w:type="pct"/>
            <w:shd w:val="clear" w:color="auto" w:fill="auto"/>
            <w:noWrap/>
            <w:vAlign w:val="center"/>
          </w:tcPr>
          <w:p w14:paraId="56D1CC13">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15BC8E5A">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4F2EDA63">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912" w:type="pct"/>
            <w:shd w:val="clear" w:color="auto" w:fill="auto"/>
            <w:noWrap/>
            <w:vAlign w:val="center"/>
          </w:tcPr>
          <w:p w14:paraId="466AD712">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钢架焊接+铁皮+反光晶彩格+支腿</w:t>
            </w:r>
          </w:p>
        </w:tc>
      </w:tr>
      <w:tr w14:paraId="66DC7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266" w:type="pct"/>
            <w:shd w:val="clear" w:color="auto" w:fill="auto"/>
            <w:vAlign w:val="center"/>
          </w:tcPr>
          <w:p w14:paraId="4BD8ADBD">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36</w:t>
            </w:r>
          </w:p>
        </w:tc>
        <w:tc>
          <w:tcPr>
            <w:tcW w:w="538" w:type="pct"/>
            <w:shd w:val="clear" w:color="auto" w:fill="auto"/>
            <w:vAlign w:val="center"/>
          </w:tcPr>
          <w:p w14:paraId="6330B5F9">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油库重地 禁止烟火（单面）</w:t>
            </w:r>
          </w:p>
        </w:tc>
        <w:tc>
          <w:tcPr>
            <w:tcW w:w="655" w:type="pct"/>
            <w:shd w:val="clear" w:color="auto" w:fill="auto"/>
            <w:vAlign w:val="center"/>
          </w:tcPr>
          <w:p w14:paraId="14BAB6C0">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0.4m*0.6m</w:t>
            </w:r>
          </w:p>
        </w:tc>
        <w:tc>
          <w:tcPr>
            <w:tcW w:w="441" w:type="pct"/>
            <w:shd w:val="clear" w:color="auto" w:fill="auto"/>
            <w:noWrap/>
            <w:vAlign w:val="center"/>
          </w:tcPr>
          <w:p w14:paraId="36BABBC6">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套</w:t>
            </w:r>
          </w:p>
        </w:tc>
        <w:tc>
          <w:tcPr>
            <w:tcW w:w="434" w:type="pct"/>
            <w:shd w:val="clear" w:color="auto" w:fill="auto"/>
            <w:vAlign w:val="center"/>
          </w:tcPr>
          <w:p w14:paraId="3ACA5A5B">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10</w:t>
            </w:r>
          </w:p>
        </w:tc>
        <w:tc>
          <w:tcPr>
            <w:tcW w:w="327" w:type="pct"/>
            <w:shd w:val="clear" w:color="auto" w:fill="auto"/>
            <w:noWrap/>
            <w:vAlign w:val="center"/>
          </w:tcPr>
          <w:p w14:paraId="3A2CDB56">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1D191768">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11" w:type="pct"/>
            <w:shd w:val="clear" w:color="auto" w:fill="auto"/>
            <w:noWrap/>
            <w:vAlign w:val="center"/>
          </w:tcPr>
          <w:p w14:paraId="28709F6E">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2A111934">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37312241">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912" w:type="pct"/>
            <w:shd w:val="clear" w:color="auto" w:fill="auto"/>
            <w:noWrap/>
            <w:vAlign w:val="center"/>
          </w:tcPr>
          <w:p w14:paraId="54686BC7">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钢架焊接+铁皮+反光晶彩格+支腿</w:t>
            </w:r>
          </w:p>
        </w:tc>
      </w:tr>
      <w:tr w14:paraId="37590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266" w:type="pct"/>
            <w:shd w:val="clear" w:color="auto" w:fill="auto"/>
            <w:vAlign w:val="center"/>
          </w:tcPr>
          <w:p w14:paraId="78086CC3">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37</w:t>
            </w:r>
          </w:p>
        </w:tc>
        <w:tc>
          <w:tcPr>
            <w:tcW w:w="538" w:type="pct"/>
            <w:shd w:val="clear" w:color="auto" w:fill="auto"/>
            <w:vAlign w:val="center"/>
          </w:tcPr>
          <w:p w14:paraId="00C0CA6C">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安全储油 警钟长鸣（单面）</w:t>
            </w:r>
          </w:p>
        </w:tc>
        <w:tc>
          <w:tcPr>
            <w:tcW w:w="655" w:type="pct"/>
            <w:shd w:val="clear" w:color="auto" w:fill="auto"/>
            <w:vAlign w:val="center"/>
          </w:tcPr>
          <w:p w14:paraId="370FAACB">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0.4m*0.6m</w:t>
            </w:r>
          </w:p>
        </w:tc>
        <w:tc>
          <w:tcPr>
            <w:tcW w:w="441" w:type="pct"/>
            <w:shd w:val="clear" w:color="auto" w:fill="auto"/>
            <w:noWrap/>
            <w:vAlign w:val="center"/>
          </w:tcPr>
          <w:p w14:paraId="5CD2E71C">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套</w:t>
            </w:r>
          </w:p>
        </w:tc>
        <w:tc>
          <w:tcPr>
            <w:tcW w:w="434" w:type="pct"/>
            <w:shd w:val="clear" w:color="auto" w:fill="auto"/>
            <w:vAlign w:val="center"/>
          </w:tcPr>
          <w:p w14:paraId="5FDF85E0">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4</w:t>
            </w:r>
          </w:p>
        </w:tc>
        <w:tc>
          <w:tcPr>
            <w:tcW w:w="327" w:type="pct"/>
            <w:shd w:val="clear" w:color="auto" w:fill="auto"/>
            <w:noWrap/>
            <w:vAlign w:val="center"/>
          </w:tcPr>
          <w:p w14:paraId="46A8F4CF">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20F732B3">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11" w:type="pct"/>
            <w:shd w:val="clear" w:color="auto" w:fill="auto"/>
            <w:noWrap/>
            <w:vAlign w:val="center"/>
          </w:tcPr>
          <w:p w14:paraId="6A5A640D">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2B3C803B">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4BE8B827">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912" w:type="pct"/>
            <w:shd w:val="clear" w:color="auto" w:fill="auto"/>
            <w:noWrap/>
            <w:vAlign w:val="center"/>
          </w:tcPr>
          <w:p w14:paraId="387222C7">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钢架焊接+铁皮+反光晶彩格+支腿</w:t>
            </w:r>
          </w:p>
        </w:tc>
      </w:tr>
      <w:tr w14:paraId="26248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266" w:type="pct"/>
            <w:shd w:val="clear" w:color="auto" w:fill="auto"/>
            <w:vAlign w:val="center"/>
          </w:tcPr>
          <w:p w14:paraId="64C99CBD">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38</w:t>
            </w:r>
          </w:p>
        </w:tc>
        <w:tc>
          <w:tcPr>
            <w:tcW w:w="538" w:type="pct"/>
            <w:shd w:val="clear" w:color="auto" w:fill="auto"/>
            <w:vAlign w:val="center"/>
          </w:tcPr>
          <w:p w14:paraId="7CF88BDC">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施工路段减速慢行（双面）</w:t>
            </w:r>
          </w:p>
        </w:tc>
        <w:tc>
          <w:tcPr>
            <w:tcW w:w="655" w:type="pct"/>
            <w:shd w:val="clear" w:color="auto" w:fill="auto"/>
            <w:vAlign w:val="center"/>
          </w:tcPr>
          <w:p w14:paraId="6D00C32B">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0.6m*0.8m</w:t>
            </w:r>
          </w:p>
        </w:tc>
        <w:tc>
          <w:tcPr>
            <w:tcW w:w="441" w:type="pct"/>
            <w:shd w:val="clear" w:color="auto" w:fill="auto"/>
            <w:noWrap/>
            <w:vAlign w:val="center"/>
          </w:tcPr>
          <w:p w14:paraId="6931F956">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套</w:t>
            </w:r>
          </w:p>
        </w:tc>
        <w:tc>
          <w:tcPr>
            <w:tcW w:w="434" w:type="pct"/>
            <w:shd w:val="clear" w:color="auto" w:fill="auto"/>
            <w:vAlign w:val="center"/>
          </w:tcPr>
          <w:p w14:paraId="0D796363">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33</w:t>
            </w:r>
          </w:p>
        </w:tc>
        <w:tc>
          <w:tcPr>
            <w:tcW w:w="327" w:type="pct"/>
            <w:shd w:val="clear" w:color="auto" w:fill="auto"/>
            <w:noWrap/>
            <w:vAlign w:val="center"/>
          </w:tcPr>
          <w:p w14:paraId="13219853">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027BDADA">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11" w:type="pct"/>
            <w:shd w:val="clear" w:color="auto" w:fill="auto"/>
            <w:noWrap/>
            <w:vAlign w:val="center"/>
          </w:tcPr>
          <w:p w14:paraId="26B06F9F">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5A6E25C7">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1BFCB42A">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912" w:type="pct"/>
            <w:shd w:val="clear" w:color="auto" w:fill="auto"/>
            <w:noWrap/>
            <w:vAlign w:val="center"/>
          </w:tcPr>
          <w:p w14:paraId="1E317042">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钢架焊接+铁皮+反光晶彩格+支腿+链条</w:t>
            </w:r>
          </w:p>
        </w:tc>
      </w:tr>
      <w:tr w14:paraId="25349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266" w:type="pct"/>
            <w:shd w:val="clear" w:color="auto" w:fill="auto"/>
            <w:vAlign w:val="center"/>
          </w:tcPr>
          <w:p w14:paraId="1ABE712C">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39</w:t>
            </w:r>
          </w:p>
        </w:tc>
        <w:tc>
          <w:tcPr>
            <w:tcW w:w="538" w:type="pct"/>
            <w:shd w:val="clear" w:color="auto" w:fill="auto"/>
            <w:vAlign w:val="center"/>
          </w:tcPr>
          <w:p w14:paraId="7F99B065">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非施工人员  不得进入施工现场（双面）</w:t>
            </w:r>
          </w:p>
        </w:tc>
        <w:tc>
          <w:tcPr>
            <w:tcW w:w="655" w:type="pct"/>
            <w:shd w:val="clear" w:color="auto" w:fill="auto"/>
            <w:vAlign w:val="center"/>
          </w:tcPr>
          <w:p w14:paraId="5C5D8D12">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0.6m*0.8m</w:t>
            </w:r>
          </w:p>
        </w:tc>
        <w:tc>
          <w:tcPr>
            <w:tcW w:w="441" w:type="pct"/>
            <w:shd w:val="clear" w:color="auto" w:fill="auto"/>
            <w:noWrap/>
            <w:vAlign w:val="center"/>
          </w:tcPr>
          <w:p w14:paraId="32DB0EE0">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套</w:t>
            </w:r>
          </w:p>
        </w:tc>
        <w:tc>
          <w:tcPr>
            <w:tcW w:w="434" w:type="pct"/>
            <w:shd w:val="clear" w:color="auto" w:fill="auto"/>
            <w:vAlign w:val="center"/>
          </w:tcPr>
          <w:p w14:paraId="7444F612">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25</w:t>
            </w:r>
          </w:p>
        </w:tc>
        <w:tc>
          <w:tcPr>
            <w:tcW w:w="327" w:type="pct"/>
            <w:shd w:val="clear" w:color="auto" w:fill="auto"/>
            <w:noWrap/>
            <w:vAlign w:val="center"/>
          </w:tcPr>
          <w:p w14:paraId="0EF4FD8C">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1B07C702">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11" w:type="pct"/>
            <w:shd w:val="clear" w:color="auto" w:fill="auto"/>
            <w:noWrap/>
            <w:vAlign w:val="center"/>
          </w:tcPr>
          <w:p w14:paraId="4186144D">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6ECB8FA8">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6760AC66">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912" w:type="pct"/>
            <w:shd w:val="clear" w:color="auto" w:fill="auto"/>
            <w:noWrap/>
            <w:vAlign w:val="center"/>
          </w:tcPr>
          <w:p w14:paraId="40713B8E">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钢架焊接+铁皮+反光晶彩格+支腿+链条</w:t>
            </w:r>
          </w:p>
        </w:tc>
      </w:tr>
      <w:tr w14:paraId="7F6F7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266" w:type="pct"/>
            <w:shd w:val="clear" w:color="auto" w:fill="auto"/>
            <w:vAlign w:val="center"/>
          </w:tcPr>
          <w:p w14:paraId="20D84268">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40</w:t>
            </w:r>
          </w:p>
        </w:tc>
        <w:tc>
          <w:tcPr>
            <w:tcW w:w="538" w:type="pct"/>
            <w:shd w:val="clear" w:color="auto" w:fill="auto"/>
            <w:vAlign w:val="center"/>
          </w:tcPr>
          <w:p w14:paraId="1F87A3A9">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施工现场  佩戴安全帽（双面）</w:t>
            </w:r>
          </w:p>
        </w:tc>
        <w:tc>
          <w:tcPr>
            <w:tcW w:w="655" w:type="pct"/>
            <w:shd w:val="clear" w:color="auto" w:fill="auto"/>
            <w:vAlign w:val="center"/>
          </w:tcPr>
          <w:p w14:paraId="188A4572">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0.6m*0.8m</w:t>
            </w:r>
          </w:p>
        </w:tc>
        <w:tc>
          <w:tcPr>
            <w:tcW w:w="441" w:type="pct"/>
            <w:shd w:val="clear" w:color="auto" w:fill="auto"/>
            <w:noWrap/>
            <w:vAlign w:val="center"/>
          </w:tcPr>
          <w:p w14:paraId="5EFAF2ED">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套</w:t>
            </w:r>
          </w:p>
        </w:tc>
        <w:tc>
          <w:tcPr>
            <w:tcW w:w="434" w:type="pct"/>
            <w:shd w:val="clear" w:color="auto" w:fill="auto"/>
            <w:vAlign w:val="center"/>
          </w:tcPr>
          <w:p w14:paraId="699293E4">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20</w:t>
            </w:r>
          </w:p>
        </w:tc>
        <w:tc>
          <w:tcPr>
            <w:tcW w:w="327" w:type="pct"/>
            <w:shd w:val="clear" w:color="auto" w:fill="auto"/>
            <w:noWrap/>
            <w:vAlign w:val="center"/>
          </w:tcPr>
          <w:p w14:paraId="30CB0014">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2ED83C7D">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11" w:type="pct"/>
            <w:shd w:val="clear" w:color="auto" w:fill="auto"/>
            <w:noWrap/>
            <w:vAlign w:val="center"/>
          </w:tcPr>
          <w:p w14:paraId="7D4249D5">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04DCA343">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48176459">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912" w:type="pct"/>
            <w:shd w:val="clear" w:color="auto" w:fill="auto"/>
            <w:noWrap/>
            <w:vAlign w:val="center"/>
          </w:tcPr>
          <w:p w14:paraId="62E96757">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钢架焊接+铁皮+反光晶彩格+支腿+链条</w:t>
            </w:r>
          </w:p>
        </w:tc>
      </w:tr>
      <w:tr w14:paraId="781C8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266" w:type="pct"/>
            <w:shd w:val="clear" w:color="auto" w:fill="auto"/>
            <w:vAlign w:val="center"/>
          </w:tcPr>
          <w:p w14:paraId="6DAAAD19">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41</w:t>
            </w:r>
          </w:p>
        </w:tc>
        <w:tc>
          <w:tcPr>
            <w:tcW w:w="538" w:type="pct"/>
            <w:shd w:val="clear" w:color="auto" w:fill="auto"/>
            <w:vAlign w:val="center"/>
          </w:tcPr>
          <w:p w14:paraId="0BBC1AE8">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塌方路段  谨慎驾驶  注意安全</w:t>
            </w:r>
          </w:p>
        </w:tc>
        <w:tc>
          <w:tcPr>
            <w:tcW w:w="655" w:type="pct"/>
            <w:shd w:val="clear" w:color="auto" w:fill="auto"/>
            <w:vAlign w:val="center"/>
          </w:tcPr>
          <w:p w14:paraId="63926ED0">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0.6m*0.8m</w:t>
            </w:r>
          </w:p>
        </w:tc>
        <w:tc>
          <w:tcPr>
            <w:tcW w:w="441" w:type="pct"/>
            <w:shd w:val="clear" w:color="auto" w:fill="auto"/>
            <w:noWrap/>
            <w:vAlign w:val="center"/>
          </w:tcPr>
          <w:p w14:paraId="709E47FC">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套</w:t>
            </w:r>
          </w:p>
        </w:tc>
        <w:tc>
          <w:tcPr>
            <w:tcW w:w="434" w:type="pct"/>
            <w:shd w:val="clear" w:color="auto" w:fill="auto"/>
            <w:vAlign w:val="center"/>
          </w:tcPr>
          <w:p w14:paraId="2FFD6932">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40</w:t>
            </w:r>
          </w:p>
        </w:tc>
        <w:tc>
          <w:tcPr>
            <w:tcW w:w="327" w:type="pct"/>
            <w:shd w:val="clear" w:color="auto" w:fill="auto"/>
            <w:noWrap/>
            <w:vAlign w:val="center"/>
          </w:tcPr>
          <w:p w14:paraId="5874B213">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56091F58">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11" w:type="pct"/>
            <w:shd w:val="clear" w:color="auto" w:fill="auto"/>
            <w:noWrap/>
            <w:vAlign w:val="center"/>
          </w:tcPr>
          <w:p w14:paraId="3E35B604">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56C9A2CF">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620917F5">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912" w:type="pct"/>
            <w:shd w:val="clear" w:color="auto" w:fill="auto"/>
            <w:noWrap/>
            <w:vAlign w:val="center"/>
          </w:tcPr>
          <w:p w14:paraId="5FDFC922">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钢架焊接+铁皮+反光晶彩格+支腿+链条</w:t>
            </w:r>
          </w:p>
        </w:tc>
      </w:tr>
      <w:tr w14:paraId="294C7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266" w:type="pct"/>
            <w:shd w:val="clear" w:color="auto" w:fill="auto"/>
            <w:vAlign w:val="center"/>
          </w:tcPr>
          <w:p w14:paraId="0CC19EDB">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42</w:t>
            </w:r>
          </w:p>
        </w:tc>
        <w:tc>
          <w:tcPr>
            <w:tcW w:w="538" w:type="pct"/>
            <w:shd w:val="clear" w:color="auto" w:fill="auto"/>
            <w:vAlign w:val="center"/>
          </w:tcPr>
          <w:p w14:paraId="50132FA9">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林区施工  严禁烟火</w:t>
            </w:r>
          </w:p>
        </w:tc>
        <w:tc>
          <w:tcPr>
            <w:tcW w:w="655" w:type="pct"/>
            <w:shd w:val="clear" w:color="auto" w:fill="auto"/>
            <w:vAlign w:val="center"/>
          </w:tcPr>
          <w:p w14:paraId="6431C7CD">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0.6m*0.8m</w:t>
            </w:r>
          </w:p>
        </w:tc>
        <w:tc>
          <w:tcPr>
            <w:tcW w:w="441" w:type="pct"/>
            <w:shd w:val="clear" w:color="auto" w:fill="auto"/>
            <w:noWrap/>
            <w:vAlign w:val="center"/>
          </w:tcPr>
          <w:p w14:paraId="346F010B">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套</w:t>
            </w:r>
          </w:p>
        </w:tc>
        <w:tc>
          <w:tcPr>
            <w:tcW w:w="434" w:type="pct"/>
            <w:shd w:val="clear" w:color="auto" w:fill="auto"/>
            <w:vAlign w:val="center"/>
          </w:tcPr>
          <w:p w14:paraId="546DF732">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25</w:t>
            </w:r>
          </w:p>
        </w:tc>
        <w:tc>
          <w:tcPr>
            <w:tcW w:w="327" w:type="pct"/>
            <w:shd w:val="clear" w:color="auto" w:fill="auto"/>
            <w:noWrap/>
            <w:vAlign w:val="center"/>
          </w:tcPr>
          <w:p w14:paraId="415F9E12">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01EE4D84">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11" w:type="pct"/>
            <w:shd w:val="clear" w:color="auto" w:fill="auto"/>
            <w:noWrap/>
            <w:vAlign w:val="center"/>
          </w:tcPr>
          <w:p w14:paraId="33B71F8B">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23893D6B">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573880F8">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912" w:type="pct"/>
            <w:shd w:val="clear" w:color="auto" w:fill="auto"/>
            <w:noWrap/>
            <w:vAlign w:val="center"/>
          </w:tcPr>
          <w:p w14:paraId="76DC7555">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钢架焊接+铁皮+反光晶彩格+支腿+链条</w:t>
            </w:r>
          </w:p>
        </w:tc>
      </w:tr>
      <w:tr w14:paraId="5DAFF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266" w:type="pct"/>
            <w:shd w:val="clear" w:color="auto" w:fill="auto"/>
            <w:vAlign w:val="center"/>
          </w:tcPr>
          <w:p w14:paraId="3B515C3C">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43</w:t>
            </w:r>
          </w:p>
        </w:tc>
        <w:tc>
          <w:tcPr>
            <w:tcW w:w="538" w:type="pct"/>
            <w:shd w:val="clear" w:color="auto" w:fill="auto"/>
            <w:vAlign w:val="center"/>
          </w:tcPr>
          <w:p w14:paraId="66A962D2">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临水施工  注意安全</w:t>
            </w:r>
          </w:p>
        </w:tc>
        <w:tc>
          <w:tcPr>
            <w:tcW w:w="655" w:type="pct"/>
            <w:shd w:val="clear" w:color="auto" w:fill="auto"/>
            <w:vAlign w:val="center"/>
          </w:tcPr>
          <w:p w14:paraId="25AB88C7">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0.6m*0.8m</w:t>
            </w:r>
          </w:p>
        </w:tc>
        <w:tc>
          <w:tcPr>
            <w:tcW w:w="441" w:type="pct"/>
            <w:shd w:val="clear" w:color="auto" w:fill="auto"/>
            <w:noWrap/>
            <w:vAlign w:val="center"/>
          </w:tcPr>
          <w:p w14:paraId="7E760EEC">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套</w:t>
            </w:r>
          </w:p>
        </w:tc>
        <w:tc>
          <w:tcPr>
            <w:tcW w:w="434" w:type="pct"/>
            <w:shd w:val="clear" w:color="auto" w:fill="auto"/>
            <w:vAlign w:val="center"/>
          </w:tcPr>
          <w:p w14:paraId="478EDFCF">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30</w:t>
            </w:r>
          </w:p>
        </w:tc>
        <w:tc>
          <w:tcPr>
            <w:tcW w:w="327" w:type="pct"/>
            <w:shd w:val="clear" w:color="auto" w:fill="auto"/>
            <w:noWrap/>
            <w:vAlign w:val="center"/>
          </w:tcPr>
          <w:p w14:paraId="3AE7204D">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057AD2AA">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11" w:type="pct"/>
            <w:shd w:val="clear" w:color="auto" w:fill="auto"/>
            <w:noWrap/>
            <w:vAlign w:val="center"/>
          </w:tcPr>
          <w:p w14:paraId="35229748">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5A018DE0">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5DD86183">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912" w:type="pct"/>
            <w:shd w:val="clear" w:color="auto" w:fill="auto"/>
            <w:noWrap/>
            <w:vAlign w:val="center"/>
          </w:tcPr>
          <w:p w14:paraId="4357483F">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钢架焊接+铁皮+反光晶彩格+支腿+链条</w:t>
            </w:r>
          </w:p>
        </w:tc>
      </w:tr>
      <w:tr w14:paraId="5E093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266" w:type="pct"/>
            <w:shd w:val="clear" w:color="auto" w:fill="auto"/>
            <w:vAlign w:val="center"/>
          </w:tcPr>
          <w:p w14:paraId="74819C9D">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44</w:t>
            </w:r>
          </w:p>
        </w:tc>
        <w:tc>
          <w:tcPr>
            <w:tcW w:w="538" w:type="pct"/>
            <w:shd w:val="clear" w:color="auto" w:fill="auto"/>
            <w:vAlign w:val="center"/>
          </w:tcPr>
          <w:p w14:paraId="5F12D2FC">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涉水施工  注意安全</w:t>
            </w:r>
          </w:p>
        </w:tc>
        <w:tc>
          <w:tcPr>
            <w:tcW w:w="655" w:type="pct"/>
            <w:shd w:val="clear" w:color="auto" w:fill="auto"/>
            <w:vAlign w:val="center"/>
          </w:tcPr>
          <w:p w14:paraId="66ADAA34">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0.6m*0.8m</w:t>
            </w:r>
          </w:p>
        </w:tc>
        <w:tc>
          <w:tcPr>
            <w:tcW w:w="441" w:type="pct"/>
            <w:shd w:val="clear" w:color="auto" w:fill="auto"/>
            <w:noWrap/>
            <w:vAlign w:val="center"/>
          </w:tcPr>
          <w:p w14:paraId="0425065A">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套</w:t>
            </w:r>
          </w:p>
        </w:tc>
        <w:tc>
          <w:tcPr>
            <w:tcW w:w="434" w:type="pct"/>
            <w:shd w:val="clear" w:color="auto" w:fill="auto"/>
            <w:vAlign w:val="center"/>
          </w:tcPr>
          <w:p w14:paraId="39A1382F">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20</w:t>
            </w:r>
          </w:p>
        </w:tc>
        <w:tc>
          <w:tcPr>
            <w:tcW w:w="327" w:type="pct"/>
            <w:shd w:val="clear" w:color="auto" w:fill="auto"/>
            <w:noWrap/>
            <w:vAlign w:val="center"/>
          </w:tcPr>
          <w:p w14:paraId="4D591A2A">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517784E5">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11" w:type="pct"/>
            <w:shd w:val="clear" w:color="auto" w:fill="auto"/>
            <w:noWrap/>
            <w:vAlign w:val="center"/>
          </w:tcPr>
          <w:p w14:paraId="04B027DD">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0DD82C99">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25514F89">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912" w:type="pct"/>
            <w:shd w:val="clear" w:color="auto" w:fill="auto"/>
            <w:noWrap/>
            <w:vAlign w:val="center"/>
          </w:tcPr>
          <w:p w14:paraId="474405D1">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钢架焊接+铁皮+反光晶彩格+支腿+链条</w:t>
            </w:r>
          </w:p>
        </w:tc>
      </w:tr>
      <w:tr w14:paraId="12FA2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266" w:type="pct"/>
            <w:shd w:val="clear" w:color="auto" w:fill="auto"/>
            <w:vAlign w:val="center"/>
          </w:tcPr>
          <w:p w14:paraId="1E878F04">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45</w:t>
            </w:r>
          </w:p>
        </w:tc>
        <w:tc>
          <w:tcPr>
            <w:tcW w:w="538" w:type="pct"/>
            <w:shd w:val="clear" w:color="auto" w:fill="auto"/>
            <w:vAlign w:val="center"/>
          </w:tcPr>
          <w:p w14:paraId="7EFF0A57">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限速15标识牌</w:t>
            </w:r>
          </w:p>
        </w:tc>
        <w:tc>
          <w:tcPr>
            <w:tcW w:w="655" w:type="pct"/>
            <w:shd w:val="clear" w:color="auto" w:fill="auto"/>
            <w:vAlign w:val="center"/>
          </w:tcPr>
          <w:p w14:paraId="3016646E">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0.6m*0.6m</w:t>
            </w:r>
          </w:p>
        </w:tc>
        <w:tc>
          <w:tcPr>
            <w:tcW w:w="441" w:type="pct"/>
            <w:shd w:val="clear" w:color="auto" w:fill="auto"/>
            <w:noWrap/>
            <w:vAlign w:val="center"/>
          </w:tcPr>
          <w:p w14:paraId="1DAFBD95">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套</w:t>
            </w:r>
          </w:p>
        </w:tc>
        <w:tc>
          <w:tcPr>
            <w:tcW w:w="434" w:type="pct"/>
            <w:shd w:val="clear" w:color="auto" w:fill="auto"/>
            <w:vAlign w:val="center"/>
          </w:tcPr>
          <w:p w14:paraId="46A1170E">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22</w:t>
            </w:r>
          </w:p>
        </w:tc>
        <w:tc>
          <w:tcPr>
            <w:tcW w:w="327" w:type="pct"/>
            <w:shd w:val="clear" w:color="auto" w:fill="auto"/>
            <w:noWrap/>
            <w:vAlign w:val="center"/>
          </w:tcPr>
          <w:p w14:paraId="53BE0AB1">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25F1EB83">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11" w:type="pct"/>
            <w:shd w:val="clear" w:color="auto" w:fill="auto"/>
            <w:noWrap/>
            <w:vAlign w:val="center"/>
          </w:tcPr>
          <w:p w14:paraId="09038C10">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0CCB98EE">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5677AA60">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912" w:type="pct"/>
            <w:shd w:val="clear" w:color="auto" w:fill="auto"/>
            <w:noWrap/>
            <w:vAlign w:val="center"/>
          </w:tcPr>
          <w:p w14:paraId="34F8A05C">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钢架焊接+铁皮+反光晶彩格+支腿+链条</w:t>
            </w:r>
          </w:p>
        </w:tc>
      </w:tr>
      <w:tr w14:paraId="644E1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266" w:type="pct"/>
            <w:shd w:val="clear" w:color="auto" w:fill="auto"/>
            <w:vAlign w:val="center"/>
          </w:tcPr>
          <w:p w14:paraId="40BDB4F9">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46</w:t>
            </w:r>
          </w:p>
        </w:tc>
        <w:tc>
          <w:tcPr>
            <w:tcW w:w="538" w:type="pct"/>
            <w:shd w:val="clear" w:color="auto" w:fill="auto"/>
            <w:vAlign w:val="center"/>
          </w:tcPr>
          <w:p w14:paraId="3937D9E6">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钢筋加工厂</w:t>
            </w:r>
          </w:p>
        </w:tc>
        <w:tc>
          <w:tcPr>
            <w:tcW w:w="655" w:type="pct"/>
            <w:shd w:val="clear" w:color="auto" w:fill="auto"/>
            <w:vAlign w:val="center"/>
          </w:tcPr>
          <w:p w14:paraId="2E21636F">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0.4m*0.6m</w:t>
            </w:r>
          </w:p>
        </w:tc>
        <w:tc>
          <w:tcPr>
            <w:tcW w:w="441" w:type="pct"/>
            <w:shd w:val="clear" w:color="auto" w:fill="auto"/>
            <w:noWrap/>
            <w:vAlign w:val="center"/>
          </w:tcPr>
          <w:p w14:paraId="0506A8CE">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套</w:t>
            </w:r>
          </w:p>
        </w:tc>
        <w:tc>
          <w:tcPr>
            <w:tcW w:w="434" w:type="pct"/>
            <w:shd w:val="clear" w:color="auto" w:fill="auto"/>
            <w:vAlign w:val="center"/>
          </w:tcPr>
          <w:p w14:paraId="7209EEE2">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2</w:t>
            </w:r>
          </w:p>
        </w:tc>
        <w:tc>
          <w:tcPr>
            <w:tcW w:w="327" w:type="pct"/>
            <w:shd w:val="clear" w:color="auto" w:fill="auto"/>
            <w:noWrap/>
            <w:vAlign w:val="center"/>
          </w:tcPr>
          <w:p w14:paraId="53016E63">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6D575FDA">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11" w:type="pct"/>
            <w:shd w:val="clear" w:color="auto" w:fill="auto"/>
            <w:noWrap/>
            <w:vAlign w:val="center"/>
          </w:tcPr>
          <w:p w14:paraId="4F8287E2">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1BAD3266">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2FD0CE1E">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912" w:type="pct"/>
            <w:shd w:val="clear" w:color="auto" w:fill="auto"/>
            <w:noWrap/>
            <w:vAlign w:val="center"/>
          </w:tcPr>
          <w:p w14:paraId="5285DDCB">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钢架焊接+铁皮+反光晶彩格+支腿</w:t>
            </w:r>
          </w:p>
        </w:tc>
      </w:tr>
      <w:tr w14:paraId="3D8F2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266" w:type="pct"/>
            <w:shd w:val="clear" w:color="auto" w:fill="auto"/>
            <w:vAlign w:val="center"/>
          </w:tcPr>
          <w:p w14:paraId="0A74A8BC">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47</w:t>
            </w:r>
          </w:p>
        </w:tc>
        <w:tc>
          <w:tcPr>
            <w:tcW w:w="538" w:type="pct"/>
            <w:shd w:val="clear" w:color="auto" w:fill="auto"/>
            <w:vAlign w:val="center"/>
          </w:tcPr>
          <w:p w14:paraId="5EC7E5C0">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预制厂</w:t>
            </w:r>
          </w:p>
        </w:tc>
        <w:tc>
          <w:tcPr>
            <w:tcW w:w="655" w:type="pct"/>
            <w:shd w:val="clear" w:color="auto" w:fill="auto"/>
            <w:vAlign w:val="center"/>
          </w:tcPr>
          <w:p w14:paraId="27A0E5A7">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0.4m*0.6m</w:t>
            </w:r>
          </w:p>
        </w:tc>
        <w:tc>
          <w:tcPr>
            <w:tcW w:w="441" w:type="pct"/>
            <w:shd w:val="clear" w:color="auto" w:fill="auto"/>
            <w:noWrap/>
            <w:vAlign w:val="center"/>
          </w:tcPr>
          <w:p w14:paraId="57040A62">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套</w:t>
            </w:r>
          </w:p>
        </w:tc>
        <w:tc>
          <w:tcPr>
            <w:tcW w:w="434" w:type="pct"/>
            <w:shd w:val="clear" w:color="auto" w:fill="auto"/>
            <w:vAlign w:val="center"/>
          </w:tcPr>
          <w:p w14:paraId="0EE7F948">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2</w:t>
            </w:r>
          </w:p>
        </w:tc>
        <w:tc>
          <w:tcPr>
            <w:tcW w:w="327" w:type="pct"/>
            <w:shd w:val="clear" w:color="auto" w:fill="auto"/>
            <w:noWrap/>
            <w:vAlign w:val="center"/>
          </w:tcPr>
          <w:p w14:paraId="1479B411">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41B5FA5A">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11" w:type="pct"/>
            <w:shd w:val="clear" w:color="auto" w:fill="auto"/>
            <w:noWrap/>
            <w:vAlign w:val="center"/>
          </w:tcPr>
          <w:p w14:paraId="694E6836">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6A0DF997">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5ED442D8">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912" w:type="pct"/>
            <w:shd w:val="clear" w:color="auto" w:fill="auto"/>
            <w:noWrap/>
            <w:vAlign w:val="center"/>
          </w:tcPr>
          <w:p w14:paraId="6D20FC64">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钢架焊接+铁皮+反光晶彩格+支腿</w:t>
            </w:r>
          </w:p>
        </w:tc>
      </w:tr>
      <w:tr w14:paraId="2E150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266" w:type="pct"/>
            <w:shd w:val="clear" w:color="auto" w:fill="auto"/>
            <w:vAlign w:val="center"/>
          </w:tcPr>
          <w:p w14:paraId="35B3A697">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48</w:t>
            </w:r>
          </w:p>
        </w:tc>
        <w:tc>
          <w:tcPr>
            <w:tcW w:w="538" w:type="pct"/>
            <w:shd w:val="clear" w:color="auto" w:fill="auto"/>
            <w:vAlign w:val="center"/>
          </w:tcPr>
          <w:p w14:paraId="2980FC68">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注意安全</w:t>
            </w:r>
          </w:p>
        </w:tc>
        <w:tc>
          <w:tcPr>
            <w:tcW w:w="655" w:type="pct"/>
            <w:shd w:val="clear" w:color="auto" w:fill="auto"/>
            <w:vAlign w:val="center"/>
          </w:tcPr>
          <w:p w14:paraId="65F42532">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0.4m*0.6m</w:t>
            </w:r>
          </w:p>
        </w:tc>
        <w:tc>
          <w:tcPr>
            <w:tcW w:w="441" w:type="pct"/>
            <w:shd w:val="clear" w:color="auto" w:fill="auto"/>
            <w:noWrap/>
            <w:vAlign w:val="center"/>
          </w:tcPr>
          <w:p w14:paraId="38FAF982">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套</w:t>
            </w:r>
          </w:p>
        </w:tc>
        <w:tc>
          <w:tcPr>
            <w:tcW w:w="434" w:type="pct"/>
            <w:shd w:val="clear" w:color="auto" w:fill="auto"/>
            <w:vAlign w:val="center"/>
          </w:tcPr>
          <w:p w14:paraId="10DD5697">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35</w:t>
            </w:r>
          </w:p>
        </w:tc>
        <w:tc>
          <w:tcPr>
            <w:tcW w:w="327" w:type="pct"/>
            <w:shd w:val="clear" w:color="auto" w:fill="auto"/>
            <w:noWrap/>
            <w:vAlign w:val="center"/>
          </w:tcPr>
          <w:p w14:paraId="248F7991">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27083EB6">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11" w:type="pct"/>
            <w:shd w:val="clear" w:color="auto" w:fill="auto"/>
            <w:noWrap/>
            <w:vAlign w:val="center"/>
          </w:tcPr>
          <w:p w14:paraId="7E957C3D">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6BD5205B">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2BC5153F">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912" w:type="pct"/>
            <w:shd w:val="clear" w:color="auto" w:fill="auto"/>
            <w:noWrap/>
            <w:vAlign w:val="center"/>
          </w:tcPr>
          <w:p w14:paraId="4BEBD7BA">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钢架焊接+铁皮+反光晶彩格+支腿</w:t>
            </w:r>
          </w:p>
        </w:tc>
      </w:tr>
      <w:tr w14:paraId="6B381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266" w:type="pct"/>
            <w:shd w:val="clear" w:color="auto" w:fill="auto"/>
            <w:vAlign w:val="center"/>
          </w:tcPr>
          <w:p w14:paraId="75BA9FAF">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49</w:t>
            </w:r>
          </w:p>
        </w:tc>
        <w:tc>
          <w:tcPr>
            <w:tcW w:w="538" w:type="pct"/>
            <w:shd w:val="clear" w:color="auto" w:fill="auto"/>
            <w:vAlign w:val="center"/>
          </w:tcPr>
          <w:p w14:paraId="4D538F1A">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旗帜</w:t>
            </w:r>
          </w:p>
        </w:tc>
        <w:tc>
          <w:tcPr>
            <w:tcW w:w="655" w:type="pct"/>
            <w:shd w:val="clear" w:color="auto" w:fill="auto"/>
            <w:vAlign w:val="center"/>
          </w:tcPr>
          <w:p w14:paraId="160B03F1">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0.6m*0.8m</w:t>
            </w:r>
          </w:p>
        </w:tc>
        <w:tc>
          <w:tcPr>
            <w:tcW w:w="441" w:type="pct"/>
            <w:shd w:val="clear" w:color="auto" w:fill="auto"/>
            <w:noWrap/>
            <w:vAlign w:val="center"/>
          </w:tcPr>
          <w:p w14:paraId="1B3B561B">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套</w:t>
            </w:r>
          </w:p>
        </w:tc>
        <w:tc>
          <w:tcPr>
            <w:tcW w:w="434" w:type="pct"/>
            <w:shd w:val="clear" w:color="auto" w:fill="auto"/>
            <w:vAlign w:val="center"/>
          </w:tcPr>
          <w:p w14:paraId="7AA3D852">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600</w:t>
            </w:r>
          </w:p>
        </w:tc>
        <w:tc>
          <w:tcPr>
            <w:tcW w:w="327" w:type="pct"/>
            <w:shd w:val="clear" w:color="auto" w:fill="auto"/>
            <w:noWrap/>
            <w:vAlign w:val="center"/>
          </w:tcPr>
          <w:p w14:paraId="6C123C00">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7F7CD4D4">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11" w:type="pct"/>
            <w:shd w:val="clear" w:color="auto" w:fill="auto"/>
            <w:noWrap/>
            <w:vAlign w:val="center"/>
          </w:tcPr>
          <w:p w14:paraId="65142ACB">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00386998">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1884BB34">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912" w:type="pct"/>
            <w:shd w:val="clear" w:color="auto" w:fill="auto"/>
            <w:noWrap/>
            <w:vAlign w:val="center"/>
          </w:tcPr>
          <w:p w14:paraId="338E34FE">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钢管+旗帜制作</w:t>
            </w:r>
          </w:p>
        </w:tc>
      </w:tr>
      <w:tr w14:paraId="3456D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266" w:type="pct"/>
            <w:shd w:val="clear" w:color="auto" w:fill="auto"/>
            <w:vAlign w:val="center"/>
          </w:tcPr>
          <w:p w14:paraId="502B60DC">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50</w:t>
            </w:r>
          </w:p>
        </w:tc>
        <w:tc>
          <w:tcPr>
            <w:tcW w:w="538" w:type="pct"/>
            <w:shd w:val="clear" w:color="auto" w:fill="auto"/>
            <w:vAlign w:val="center"/>
          </w:tcPr>
          <w:p w14:paraId="5138CAB8">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拌合站围挡喷绘黑白布</w:t>
            </w:r>
          </w:p>
        </w:tc>
        <w:tc>
          <w:tcPr>
            <w:tcW w:w="655" w:type="pct"/>
            <w:shd w:val="clear" w:color="auto" w:fill="auto"/>
            <w:vAlign w:val="center"/>
          </w:tcPr>
          <w:p w14:paraId="67E4BCA7">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2m*3m</w:t>
            </w:r>
          </w:p>
        </w:tc>
        <w:tc>
          <w:tcPr>
            <w:tcW w:w="441" w:type="pct"/>
            <w:shd w:val="clear" w:color="auto" w:fill="auto"/>
            <w:noWrap/>
            <w:vAlign w:val="center"/>
          </w:tcPr>
          <w:p w14:paraId="53FA0909">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套</w:t>
            </w:r>
          </w:p>
        </w:tc>
        <w:tc>
          <w:tcPr>
            <w:tcW w:w="434" w:type="pct"/>
            <w:shd w:val="clear" w:color="auto" w:fill="auto"/>
            <w:vAlign w:val="center"/>
          </w:tcPr>
          <w:p w14:paraId="3814A404">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36</w:t>
            </w:r>
          </w:p>
        </w:tc>
        <w:tc>
          <w:tcPr>
            <w:tcW w:w="327" w:type="pct"/>
            <w:shd w:val="clear" w:color="auto" w:fill="auto"/>
            <w:noWrap/>
            <w:vAlign w:val="center"/>
          </w:tcPr>
          <w:p w14:paraId="780C1951">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2003EACE">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11" w:type="pct"/>
            <w:shd w:val="clear" w:color="auto" w:fill="auto"/>
            <w:noWrap/>
            <w:vAlign w:val="center"/>
          </w:tcPr>
          <w:p w14:paraId="65FAFD40">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3C875D9E">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010D059B">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912" w:type="pct"/>
            <w:shd w:val="clear" w:color="auto" w:fill="auto"/>
            <w:noWrap/>
            <w:vAlign w:val="center"/>
          </w:tcPr>
          <w:p w14:paraId="047F33E9">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喷绘黑白布+安装费用</w:t>
            </w:r>
          </w:p>
        </w:tc>
      </w:tr>
      <w:tr w14:paraId="20D87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266" w:type="pct"/>
            <w:shd w:val="clear" w:color="auto" w:fill="auto"/>
            <w:vAlign w:val="center"/>
          </w:tcPr>
          <w:p w14:paraId="416D90CF">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51</w:t>
            </w:r>
          </w:p>
        </w:tc>
        <w:tc>
          <w:tcPr>
            <w:tcW w:w="538" w:type="pct"/>
            <w:shd w:val="clear" w:color="auto" w:fill="auto"/>
            <w:vAlign w:val="center"/>
          </w:tcPr>
          <w:p w14:paraId="181C577F">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钢筋棚制度牌</w:t>
            </w:r>
          </w:p>
        </w:tc>
        <w:tc>
          <w:tcPr>
            <w:tcW w:w="655" w:type="pct"/>
            <w:shd w:val="clear" w:color="auto" w:fill="auto"/>
            <w:vAlign w:val="center"/>
          </w:tcPr>
          <w:p w14:paraId="7C1FD634">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0.9m*0.6m</w:t>
            </w:r>
          </w:p>
        </w:tc>
        <w:tc>
          <w:tcPr>
            <w:tcW w:w="441" w:type="pct"/>
            <w:shd w:val="clear" w:color="auto" w:fill="auto"/>
            <w:noWrap/>
            <w:vAlign w:val="center"/>
          </w:tcPr>
          <w:p w14:paraId="0CAB29A8">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平方米</w:t>
            </w:r>
          </w:p>
        </w:tc>
        <w:tc>
          <w:tcPr>
            <w:tcW w:w="434" w:type="pct"/>
            <w:shd w:val="clear" w:color="auto" w:fill="auto"/>
            <w:vAlign w:val="center"/>
          </w:tcPr>
          <w:p w14:paraId="180A57D6">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10.8</w:t>
            </w:r>
          </w:p>
        </w:tc>
        <w:tc>
          <w:tcPr>
            <w:tcW w:w="327" w:type="pct"/>
            <w:shd w:val="clear" w:color="auto" w:fill="auto"/>
            <w:noWrap/>
            <w:vAlign w:val="center"/>
          </w:tcPr>
          <w:p w14:paraId="468BC2BE">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4DAFDB37">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11" w:type="pct"/>
            <w:shd w:val="clear" w:color="auto" w:fill="auto"/>
            <w:noWrap/>
            <w:vAlign w:val="center"/>
          </w:tcPr>
          <w:p w14:paraId="2217F997">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641A33CE">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63DA1197">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912" w:type="pct"/>
            <w:shd w:val="clear" w:color="auto" w:fill="auto"/>
            <w:noWrap/>
            <w:vAlign w:val="center"/>
          </w:tcPr>
          <w:p w14:paraId="0459083D">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1.5公分pvc+uv打印</w:t>
            </w:r>
          </w:p>
        </w:tc>
      </w:tr>
      <w:tr w14:paraId="18AB0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266" w:type="pct"/>
            <w:shd w:val="clear" w:color="auto" w:fill="auto"/>
            <w:vAlign w:val="center"/>
          </w:tcPr>
          <w:p w14:paraId="0E7465A9">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52</w:t>
            </w:r>
          </w:p>
        </w:tc>
        <w:tc>
          <w:tcPr>
            <w:tcW w:w="538" w:type="pct"/>
            <w:shd w:val="clear" w:color="auto" w:fill="auto"/>
            <w:vAlign w:val="center"/>
          </w:tcPr>
          <w:p w14:paraId="351578FB">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钢筋棚制度牌</w:t>
            </w:r>
          </w:p>
        </w:tc>
        <w:tc>
          <w:tcPr>
            <w:tcW w:w="655" w:type="pct"/>
            <w:shd w:val="clear" w:color="auto" w:fill="auto"/>
            <w:vAlign w:val="center"/>
          </w:tcPr>
          <w:p w14:paraId="1F0E7800">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0.8m*1.2m</w:t>
            </w:r>
          </w:p>
        </w:tc>
        <w:tc>
          <w:tcPr>
            <w:tcW w:w="441" w:type="pct"/>
            <w:shd w:val="clear" w:color="auto" w:fill="auto"/>
            <w:noWrap/>
            <w:vAlign w:val="center"/>
          </w:tcPr>
          <w:p w14:paraId="2DF22216">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平方米</w:t>
            </w:r>
          </w:p>
        </w:tc>
        <w:tc>
          <w:tcPr>
            <w:tcW w:w="434" w:type="pct"/>
            <w:shd w:val="clear" w:color="auto" w:fill="auto"/>
            <w:vAlign w:val="center"/>
          </w:tcPr>
          <w:p w14:paraId="33EBE549">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9.6</w:t>
            </w:r>
          </w:p>
        </w:tc>
        <w:tc>
          <w:tcPr>
            <w:tcW w:w="327" w:type="pct"/>
            <w:shd w:val="clear" w:color="auto" w:fill="auto"/>
            <w:noWrap/>
            <w:vAlign w:val="center"/>
          </w:tcPr>
          <w:p w14:paraId="532116CC">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0F56476A">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11" w:type="pct"/>
            <w:shd w:val="clear" w:color="auto" w:fill="auto"/>
            <w:noWrap/>
            <w:vAlign w:val="center"/>
          </w:tcPr>
          <w:p w14:paraId="7A8DCB2C">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3D7EF295">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356C3727">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912" w:type="pct"/>
            <w:shd w:val="clear" w:color="auto" w:fill="auto"/>
            <w:noWrap/>
            <w:vAlign w:val="center"/>
          </w:tcPr>
          <w:p w14:paraId="7E40C83A">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1.5公分pvc+uv打印</w:t>
            </w:r>
          </w:p>
        </w:tc>
      </w:tr>
      <w:tr w14:paraId="34611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266" w:type="pct"/>
            <w:shd w:val="clear" w:color="auto" w:fill="auto"/>
            <w:vAlign w:val="center"/>
          </w:tcPr>
          <w:p w14:paraId="059D36FD">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53</w:t>
            </w:r>
          </w:p>
        </w:tc>
        <w:tc>
          <w:tcPr>
            <w:tcW w:w="538" w:type="pct"/>
            <w:shd w:val="clear" w:color="auto" w:fill="auto"/>
            <w:vAlign w:val="center"/>
          </w:tcPr>
          <w:p w14:paraId="4D1E447A">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消防演练手举牌</w:t>
            </w:r>
          </w:p>
        </w:tc>
        <w:tc>
          <w:tcPr>
            <w:tcW w:w="655" w:type="pct"/>
            <w:shd w:val="clear" w:color="auto" w:fill="auto"/>
            <w:vAlign w:val="center"/>
          </w:tcPr>
          <w:p w14:paraId="57A94E51">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0.4m*0.6m</w:t>
            </w:r>
          </w:p>
        </w:tc>
        <w:tc>
          <w:tcPr>
            <w:tcW w:w="441" w:type="pct"/>
            <w:shd w:val="clear" w:color="auto" w:fill="auto"/>
            <w:noWrap/>
            <w:vAlign w:val="center"/>
          </w:tcPr>
          <w:p w14:paraId="50ABA1B2">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平方米</w:t>
            </w:r>
          </w:p>
        </w:tc>
        <w:tc>
          <w:tcPr>
            <w:tcW w:w="434" w:type="pct"/>
            <w:shd w:val="clear" w:color="auto" w:fill="auto"/>
            <w:vAlign w:val="center"/>
          </w:tcPr>
          <w:p w14:paraId="74AE907D">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2.4</w:t>
            </w:r>
          </w:p>
        </w:tc>
        <w:tc>
          <w:tcPr>
            <w:tcW w:w="327" w:type="pct"/>
            <w:shd w:val="clear" w:color="auto" w:fill="auto"/>
            <w:noWrap/>
            <w:vAlign w:val="center"/>
          </w:tcPr>
          <w:p w14:paraId="7A388A57">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6732BE0C">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11" w:type="pct"/>
            <w:shd w:val="clear" w:color="auto" w:fill="auto"/>
            <w:noWrap/>
            <w:vAlign w:val="center"/>
          </w:tcPr>
          <w:p w14:paraId="4850EC76">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4B8CE575">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1025C449">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912" w:type="pct"/>
            <w:shd w:val="clear" w:color="auto" w:fill="auto"/>
            <w:noWrap/>
            <w:vAlign w:val="center"/>
          </w:tcPr>
          <w:p w14:paraId="489AEF53">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1.5公分pvc+uv打印+钢架</w:t>
            </w:r>
          </w:p>
        </w:tc>
      </w:tr>
      <w:tr w14:paraId="3411B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266" w:type="pct"/>
            <w:shd w:val="clear" w:color="auto" w:fill="auto"/>
            <w:vAlign w:val="center"/>
          </w:tcPr>
          <w:p w14:paraId="3B3B768E">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54</w:t>
            </w:r>
          </w:p>
        </w:tc>
        <w:tc>
          <w:tcPr>
            <w:tcW w:w="538" w:type="pct"/>
            <w:shd w:val="clear" w:color="auto" w:fill="auto"/>
            <w:vAlign w:val="center"/>
          </w:tcPr>
          <w:p w14:paraId="5AED8703">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材料标牌</w:t>
            </w:r>
          </w:p>
        </w:tc>
        <w:tc>
          <w:tcPr>
            <w:tcW w:w="655" w:type="pct"/>
            <w:shd w:val="clear" w:color="auto" w:fill="auto"/>
            <w:vAlign w:val="center"/>
          </w:tcPr>
          <w:p w14:paraId="52BF7E37">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0.3m*0.4m</w:t>
            </w:r>
          </w:p>
        </w:tc>
        <w:tc>
          <w:tcPr>
            <w:tcW w:w="441" w:type="pct"/>
            <w:shd w:val="clear" w:color="auto" w:fill="auto"/>
            <w:noWrap/>
            <w:vAlign w:val="center"/>
          </w:tcPr>
          <w:p w14:paraId="0EE3CC1F">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块</w:t>
            </w:r>
          </w:p>
        </w:tc>
        <w:tc>
          <w:tcPr>
            <w:tcW w:w="434" w:type="pct"/>
            <w:shd w:val="clear" w:color="auto" w:fill="auto"/>
            <w:vAlign w:val="center"/>
          </w:tcPr>
          <w:p w14:paraId="45DDCFFA">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40</w:t>
            </w:r>
          </w:p>
        </w:tc>
        <w:tc>
          <w:tcPr>
            <w:tcW w:w="327" w:type="pct"/>
            <w:shd w:val="clear" w:color="auto" w:fill="auto"/>
            <w:noWrap/>
            <w:vAlign w:val="center"/>
          </w:tcPr>
          <w:p w14:paraId="5BD3D7C2">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60AF4B7D">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11" w:type="pct"/>
            <w:shd w:val="clear" w:color="auto" w:fill="auto"/>
            <w:noWrap/>
            <w:vAlign w:val="center"/>
          </w:tcPr>
          <w:p w14:paraId="37B89CD4">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684C86F0">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101E923C">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912" w:type="pct"/>
            <w:shd w:val="clear" w:color="auto" w:fill="auto"/>
            <w:noWrap/>
            <w:vAlign w:val="center"/>
          </w:tcPr>
          <w:p w14:paraId="289C217C">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铁皮+uv打印</w:t>
            </w:r>
          </w:p>
        </w:tc>
      </w:tr>
      <w:tr w14:paraId="59CF2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266" w:type="pct"/>
            <w:shd w:val="clear" w:color="auto" w:fill="auto"/>
            <w:vAlign w:val="center"/>
          </w:tcPr>
          <w:p w14:paraId="6EC0AB47">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55</w:t>
            </w:r>
          </w:p>
        </w:tc>
        <w:tc>
          <w:tcPr>
            <w:tcW w:w="538" w:type="pct"/>
            <w:shd w:val="clear" w:color="auto" w:fill="auto"/>
            <w:vAlign w:val="center"/>
          </w:tcPr>
          <w:p w14:paraId="5DB2EC43">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禁止攀登</w:t>
            </w:r>
          </w:p>
        </w:tc>
        <w:tc>
          <w:tcPr>
            <w:tcW w:w="655" w:type="pct"/>
            <w:shd w:val="clear" w:color="auto" w:fill="auto"/>
            <w:vAlign w:val="center"/>
          </w:tcPr>
          <w:p w14:paraId="5D97FA3A">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0.4m*0.6m</w:t>
            </w:r>
          </w:p>
        </w:tc>
        <w:tc>
          <w:tcPr>
            <w:tcW w:w="441" w:type="pct"/>
            <w:shd w:val="clear" w:color="auto" w:fill="auto"/>
            <w:noWrap/>
            <w:vAlign w:val="center"/>
          </w:tcPr>
          <w:p w14:paraId="34CDABA0">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块</w:t>
            </w:r>
          </w:p>
        </w:tc>
        <w:tc>
          <w:tcPr>
            <w:tcW w:w="434" w:type="pct"/>
            <w:shd w:val="clear" w:color="auto" w:fill="auto"/>
            <w:vAlign w:val="center"/>
          </w:tcPr>
          <w:p w14:paraId="11381A42">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10</w:t>
            </w:r>
          </w:p>
        </w:tc>
        <w:tc>
          <w:tcPr>
            <w:tcW w:w="327" w:type="pct"/>
            <w:shd w:val="clear" w:color="auto" w:fill="auto"/>
            <w:noWrap/>
            <w:vAlign w:val="center"/>
          </w:tcPr>
          <w:p w14:paraId="2111E03D">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1CCA1005">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11" w:type="pct"/>
            <w:shd w:val="clear" w:color="auto" w:fill="auto"/>
            <w:noWrap/>
            <w:vAlign w:val="center"/>
          </w:tcPr>
          <w:p w14:paraId="5C3E5E58">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21588691">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6C341A2D">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912" w:type="pct"/>
            <w:shd w:val="clear" w:color="auto" w:fill="auto"/>
            <w:noWrap/>
            <w:vAlign w:val="center"/>
          </w:tcPr>
          <w:p w14:paraId="7535CAFB">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铁皮+uv打印</w:t>
            </w:r>
          </w:p>
        </w:tc>
      </w:tr>
      <w:tr w14:paraId="0C747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266" w:type="pct"/>
            <w:shd w:val="clear" w:color="auto" w:fill="auto"/>
            <w:vAlign w:val="center"/>
          </w:tcPr>
          <w:p w14:paraId="7AB27213">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56</w:t>
            </w:r>
          </w:p>
        </w:tc>
        <w:tc>
          <w:tcPr>
            <w:tcW w:w="538" w:type="pct"/>
            <w:shd w:val="clear" w:color="auto" w:fill="auto"/>
            <w:vAlign w:val="center"/>
          </w:tcPr>
          <w:p w14:paraId="7EACC17C">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应急避难场所</w:t>
            </w:r>
          </w:p>
        </w:tc>
        <w:tc>
          <w:tcPr>
            <w:tcW w:w="655" w:type="pct"/>
            <w:shd w:val="clear" w:color="auto" w:fill="auto"/>
            <w:vAlign w:val="center"/>
          </w:tcPr>
          <w:p w14:paraId="762176A5">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0.4m*0.6m</w:t>
            </w:r>
          </w:p>
        </w:tc>
        <w:tc>
          <w:tcPr>
            <w:tcW w:w="441" w:type="pct"/>
            <w:shd w:val="clear" w:color="auto" w:fill="auto"/>
            <w:noWrap/>
            <w:vAlign w:val="center"/>
          </w:tcPr>
          <w:p w14:paraId="2291F41C">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块</w:t>
            </w:r>
          </w:p>
        </w:tc>
        <w:tc>
          <w:tcPr>
            <w:tcW w:w="434" w:type="pct"/>
            <w:shd w:val="clear" w:color="auto" w:fill="auto"/>
            <w:vAlign w:val="center"/>
          </w:tcPr>
          <w:p w14:paraId="45087995">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2</w:t>
            </w:r>
          </w:p>
        </w:tc>
        <w:tc>
          <w:tcPr>
            <w:tcW w:w="327" w:type="pct"/>
            <w:shd w:val="clear" w:color="auto" w:fill="auto"/>
            <w:noWrap/>
            <w:vAlign w:val="center"/>
          </w:tcPr>
          <w:p w14:paraId="509463FD">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01B3C587">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11" w:type="pct"/>
            <w:shd w:val="clear" w:color="auto" w:fill="auto"/>
            <w:noWrap/>
            <w:vAlign w:val="center"/>
          </w:tcPr>
          <w:p w14:paraId="4FE9E462">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4C5AE1F8">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62E8D455">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912" w:type="pct"/>
            <w:shd w:val="clear" w:color="auto" w:fill="auto"/>
            <w:noWrap/>
            <w:vAlign w:val="center"/>
          </w:tcPr>
          <w:p w14:paraId="236B6829">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铁皮+uv打印</w:t>
            </w:r>
          </w:p>
        </w:tc>
      </w:tr>
      <w:tr w14:paraId="0BB67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266" w:type="pct"/>
            <w:shd w:val="clear" w:color="auto" w:fill="auto"/>
            <w:vAlign w:val="center"/>
          </w:tcPr>
          <w:p w14:paraId="3BFB1DB2">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57</w:t>
            </w:r>
          </w:p>
        </w:tc>
        <w:tc>
          <w:tcPr>
            <w:tcW w:w="538" w:type="pct"/>
            <w:shd w:val="clear" w:color="auto" w:fill="auto"/>
            <w:vAlign w:val="center"/>
          </w:tcPr>
          <w:p w14:paraId="3FE7CF62">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应急出口</w:t>
            </w:r>
          </w:p>
        </w:tc>
        <w:tc>
          <w:tcPr>
            <w:tcW w:w="655" w:type="pct"/>
            <w:shd w:val="clear" w:color="auto" w:fill="auto"/>
            <w:vAlign w:val="center"/>
          </w:tcPr>
          <w:p w14:paraId="3782BA1E">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0.12m*0.3m</w:t>
            </w:r>
          </w:p>
        </w:tc>
        <w:tc>
          <w:tcPr>
            <w:tcW w:w="441" w:type="pct"/>
            <w:shd w:val="clear" w:color="auto" w:fill="auto"/>
            <w:noWrap/>
            <w:vAlign w:val="center"/>
          </w:tcPr>
          <w:p w14:paraId="5E09B145">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块</w:t>
            </w:r>
          </w:p>
        </w:tc>
        <w:tc>
          <w:tcPr>
            <w:tcW w:w="434" w:type="pct"/>
            <w:shd w:val="clear" w:color="auto" w:fill="auto"/>
            <w:vAlign w:val="center"/>
          </w:tcPr>
          <w:p w14:paraId="51CDE960">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50</w:t>
            </w:r>
          </w:p>
        </w:tc>
        <w:tc>
          <w:tcPr>
            <w:tcW w:w="327" w:type="pct"/>
            <w:shd w:val="clear" w:color="auto" w:fill="auto"/>
            <w:noWrap/>
            <w:vAlign w:val="center"/>
          </w:tcPr>
          <w:p w14:paraId="76B713EB">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015222D6">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11" w:type="pct"/>
            <w:shd w:val="clear" w:color="auto" w:fill="auto"/>
            <w:noWrap/>
            <w:vAlign w:val="center"/>
          </w:tcPr>
          <w:p w14:paraId="0E335122">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0C112467">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3D5CDA7D">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912" w:type="pct"/>
            <w:shd w:val="clear" w:color="auto" w:fill="auto"/>
            <w:noWrap/>
            <w:vAlign w:val="center"/>
          </w:tcPr>
          <w:p w14:paraId="5C44C0CA">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铁皮+uv打印</w:t>
            </w:r>
          </w:p>
        </w:tc>
      </w:tr>
      <w:tr w14:paraId="0D18B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266" w:type="pct"/>
            <w:shd w:val="clear" w:color="auto" w:fill="auto"/>
            <w:vAlign w:val="center"/>
          </w:tcPr>
          <w:p w14:paraId="351BCA56">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58</w:t>
            </w:r>
          </w:p>
        </w:tc>
        <w:tc>
          <w:tcPr>
            <w:tcW w:w="538" w:type="pct"/>
            <w:shd w:val="clear" w:color="auto" w:fill="auto"/>
            <w:vAlign w:val="center"/>
          </w:tcPr>
          <w:p w14:paraId="01F01A7B">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钢筋加工棚（绿水青山就是金山银山）铁皮</w:t>
            </w:r>
          </w:p>
        </w:tc>
        <w:tc>
          <w:tcPr>
            <w:tcW w:w="655" w:type="pct"/>
            <w:shd w:val="clear" w:color="auto" w:fill="auto"/>
            <w:vAlign w:val="center"/>
          </w:tcPr>
          <w:p w14:paraId="00A33A21">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0.6m*7.75m</w:t>
            </w:r>
          </w:p>
        </w:tc>
        <w:tc>
          <w:tcPr>
            <w:tcW w:w="441" w:type="pct"/>
            <w:shd w:val="clear" w:color="auto" w:fill="auto"/>
            <w:noWrap/>
            <w:vAlign w:val="center"/>
          </w:tcPr>
          <w:p w14:paraId="4D74B2F8">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块</w:t>
            </w:r>
          </w:p>
        </w:tc>
        <w:tc>
          <w:tcPr>
            <w:tcW w:w="434" w:type="pct"/>
            <w:shd w:val="clear" w:color="auto" w:fill="auto"/>
            <w:vAlign w:val="center"/>
          </w:tcPr>
          <w:p w14:paraId="051B0C66">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2</w:t>
            </w:r>
          </w:p>
        </w:tc>
        <w:tc>
          <w:tcPr>
            <w:tcW w:w="327" w:type="pct"/>
            <w:shd w:val="clear" w:color="auto" w:fill="auto"/>
            <w:noWrap/>
            <w:vAlign w:val="center"/>
          </w:tcPr>
          <w:p w14:paraId="4A6EB4DC">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3C1526D2">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11" w:type="pct"/>
            <w:shd w:val="clear" w:color="auto" w:fill="auto"/>
            <w:noWrap/>
            <w:vAlign w:val="center"/>
          </w:tcPr>
          <w:p w14:paraId="1084853E">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13EACA96">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3440850C">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912" w:type="pct"/>
            <w:shd w:val="clear" w:color="auto" w:fill="auto"/>
            <w:noWrap/>
            <w:vAlign w:val="center"/>
          </w:tcPr>
          <w:p w14:paraId="6BF0C134">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4x4钢管+铁皮+喷绘+安装</w:t>
            </w:r>
          </w:p>
        </w:tc>
      </w:tr>
      <w:tr w14:paraId="55594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266" w:type="pct"/>
            <w:shd w:val="clear" w:color="auto" w:fill="auto"/>
            <w:vAlign w:val="center"/>
          </w:tcPr>
          <w:p w14:paraId="653CFD22">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59</w:t>
            </w:r>
          </w:p>
        </w:tc>
        <w:tc>
          <w:tcPr>
            <w:tcW w:w="538" w:type="pct"/>
            <w:shd w:val="clear" w:color="auto" w:fill="auto"/>
            <w:vAlign w:val="center"/>
          </w:tcPr>
          <w:p w14:paraId="3FA493BE">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钢筋加工棚（安全在我心中   质量在我手中 ）</w:t>
            </w:r>
          </w:p>
        </w:tc>
        <w:tc>
          <w:tcPr>
            <w:tcW w:w="655" w:type="pct"/>
            <w:shd w:val="clear" w:color="auto" w:fill="auto"/>
            <w:vAlign w:val="center"/>
          </w:tcPr>
          <w:p w14:paraId="42FA21CB">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0.6m*13.6m</w:t>
            </w:r>
          </w:p>
        </w:tc>
        <w:tc>
          <w:tcPr>
            <w:tcW w:w="441" w:type="pct"/>
            <w:shd w:val="clear" w:color="auto" w:fill="auto"/>
            <w:noWrap/>
            <w:vAlign w:val="center"/>
          </w:tcPr>
          <w:p w14:paraId="5147D922">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块</w:t>
            </w:r>
          </w:p>
        </w:tc>
        <w:tc>
          <w:tcPr>
            <w:tcW w:w="434" w:type="pct"/>
            <w:shd w:val="clear" w:color="auto" w:fill="auto"/>
            <w:vAlign w:val="center"/>
          </w:tcPr>
          <w:p w14:paraId="065A0EF6">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2</w:t>
            </w:r>
          </w:p>
        </w:tc>
        <w:tc>
          <w:tcPr>
            <w:tcW w:w="327" w:type="pct"/>
            <w:shd w:val="clear" w:color="auto" w:fill="auto"/>
            <w:noWrap/>
            <w:vAlign w:val="center"/>
          </w:tcPr>
          <w:p w14:paraId="7DB0ECD2">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7FF8ACB5">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11" w:type="pct"/>
            <w:shd w:val="clear" w:color="auto" w:fill="auto"/>
            <w:noWrap/>
            <w:vAlign w:val="center"/>
          </w:tcPr>
          <w:p w14:paraId="18CC09EB">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4440AE96">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7C97B666">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912" w:type="pct"/>
            <w:shd w:val="clear" w:color="auto" w:fill="auto"/>
            <w:noWrap/>
            <w:vAlign w:val="center"/>
          </w:tcPr>
          <w:p w14:paraId="45E1D422">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4x4钢管+铁皮+喷绘+安装</w:t>
            </w:r>
          </w:p>
        </w:tc>
      </w:tr>
      <w:tr w14:paraId="5ABC0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266" w:type="pct"/>
            <w:shd w:val="clear" w:color="auto" w:fill="auto"/>
            <w:vAlign w:val="center"/>
          </w:tcPr>
          <w:p w14:paraId="4AF8DF5C">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60</w:t>
            </w:r>
          </w:p>
        </w:tc>
        <w:tc>
          <w:tcPr>
            <w:tcW w:w="538" w:type="pct"/>
            <w:shd w:val="clear" w:color="auto" w:fill="auto"/>
            <w:vAlign w:val="center"/>
          </w:tcPr>
          <w:p w14:paraId="2E0FF4C0">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钢筋加工棚（制度安装墙 ）</w:t>
            </w:r>
          </w:p>
        </w:tc>
        <w:tc>
          <w:tcPr>
            <w:tcW w:w="655" w:type="pct"/>
            <w:shd w:val="clear" w:color="auto" w:fill="auto"/>
            <w:vAlign w:val="center"/>
          </w:tcPr>
          <w:p w14:paraId="1495F817">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2.2m*13.6m</w:t>
            </w:r>
          </w:p>
        </w:tc>
        <w:tc>
          <w:tcPr>
            <w:tcW w:w="441" w:type="pct"/>
            <w:shd w:val="clear" w:color="auto" w:fill="auto"/>
            <w:noWrap/>
            <w:vAlign w:val="center"/>
          </w:tcPr>
          <w:p w14:paraId="3B1EF572">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块</w:t>
            </w:r>
          </w:p>
        </w:tc>
        <w:tc>
          <w:tcPr>
            <w:tcW w:w="434" w:type="pct"/>
            <w:shd w:val="clear" w:color="auto" w:fill="auto"/>
            <w:vAlign w:val="center"/>
          </w:tcPr>
          <w:p w14:paraId="5DC6A05E">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2</w:t>
            </w:r>
          </w:p>
        </w:tc>
        <w:tc>
          <w:tcPr>
            <w:tcW w:w="327" w:type="pct"/>
            <w:shd w:val="clear" w:color="auto" w:fill="auto"/>
            <w:noWrap/>
            <w:vAlign w:val="center"/>
          </w:tcPr>
          <w:p w14:paraId="3DCBCEDD">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7390BBF4">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11" w:type="pct"/>
            <w:shd w:val="clear" w:color="auto" w:fill="auto"/>
            <w:noWrap/>
            <w:vAlign w:val="center"/>
          </w:tcPr>
          <w:p w14:paraId="1CA8F08D">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6CF1E1E0">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2E024DF6">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912" w:type="pct"/>
            <w:shd w:val="clear" w:color="auto" w:fill="auto"/>
            <w:noWrap/>
            <w:vAlign w:val="center"/>
          </w:tcPr>
          <w:p w14:paraId="0BECF19D">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4x4钢管+铁皮+安装</w:t>
            </w:r>
          </w:p>
        </w:tc>
      </w:tr>
      <w:tr w14:paraId="3EE2E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266" w:type="pct"/>
            <w:shd w:val="clear" w:color="auto" w:fill="auto"/>
            <w:vAlign w:val="center"/>
          </w:tcPr>
          <w:p w14:paraId="01465F2F">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61</w:t>
            </w:r>
          </w:p>
        </w:tc>
        <w:tc>
          <w:tcPr>
            <w:tcW w:w="538" w:type="pct"/>
            <w:shd w:val="clear" w:color="auto" w:fill="auto"/>
            <w:vAlign w:val="center"/>
          </w:tcPr>
          <w:p w14:paraId="4943356D">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旋转半径内严禁站人</w:t>
            </w:r>
          </w:p>
        </w:tc>
        <w:tc>
          <w:tcPr>
            <w:tcW w:w="655" w:type="pct"/>
            <w:shd w:val="clear" w:color="auto" w:fill="auto"/>
            <w:vAlign w:val="center"/>
          </w:tcPr>
          <w:p w14:paraId="067F1D35">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0.6m*0.4m</w:t>
            </w:r>
          </w:p>
        </w:tc>
        <w:tc>
          <w:tcPr>
            <w:tcW w:w="441" w:type="pct"/>
            <w:shd w:val="clear" w:color="auto" w:fill="auto"/>
            <w:noWrap/>
            <w:vAlign w:val="center"/>
          </w:tcPr>
          <w:p w14:paraId="6914C4C8">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张</w:t>
            </w:r>
          </w:p>
        </w:tc>
        <w:tc>
          <w:tcPr>
            <w:tcW w:w="434" w:type="pct"/>
            <w:shd w:val="clear" w:color="auto" w:fill="auto"/>
            <w:vAlign w:val="center"/>
          </w:tcPr>
          <w:p w14:paraId="5098BAA9">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20</w:t>
            </w:r>
          </w:p>
        </w:tc>
        <w:tc>
          <w:tcPr>
            <w:tcW w:w="327" w:type="pct"/>
            <w:shd w:val="clear" w:color="auto" w:fill="auto"/>
            <w:noWrap/>
            <w:vAlign w:val="center"/>
          </w:tcPr>
          <w:p w14:paraId="379D24FF">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6D907D0E">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11" w:type="pct"/>
            <w:shd w:val="clear" w:color="auto" w:fill="auto"/>
            <w:noWrap/>
            <w:vAlign w:val="center"/>
          </w:tcPr>
          <w:p w14:paraId="57729C25">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3FC9FF43">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61BE0B52">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912" w:type="pct"/>
            <w:shd w:val="clear" w:color="auto" w:fill="auto"/>
            <w:noWrap/>
            <w:vAlign w:val="center"/>
          </w:tcPr>
          <w:p w14:paraId="25612986">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户外车贴</w:t>
            </w:r>
          </w:p>
        </w:tc>
      </w:tr>
      <w:tr w14:paraId="303A4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266" w:type="pct"/>
            <w:shd w:val="clear" w:color="auto" w:fill="auto"/>
            <w:vAlign w:val="center"/>
          </w:tcPr>
          <w:p w14:paraId="7E690570">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62</w:t>
            </w:r>
          </w:p>
        </w:tc>
        <w:tc>
          <w:tcPr>
            <w:tcW w:w="538" w:type="pct"/>
            <w:shd w:val="clear" w:color="auto" w:fill="auto"/>
            <w:vAlign w:val="center"/>
          </w:tcPr>
          <w:p w14:paraId="628F7DB3">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路段封闭施工公告</w:t>
            </w:r>
          </w:p>
        </w:tc>
        <w:tc>
          <w:tcPr>
            <w:tcW w:w="655" w:type="pct"/>
            <w:shd w:val="clear" w:color="auto" w:fill="auto"/>
            <w:vAlign w:val="center"/>
          </w:tcPr>
          <w:p w14:paraId="6287BF49">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1.2m*2m</w:t>
            </w:r>
          </w:p>
        </w:tc>
        <w:tc>
          <w:tcPr>
            <w:tcW w:w="441" w:type="pct"/>
            <w:shd w:val="clear" w:color="auto" w:fill="auto"/>
            <w:noWrap/>
            <w:vAlign w:val="center"/>
          </w:tcPr>
          <w:p w14:paraId="687B9584">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平方米</w:t>
            </w:r>
          </w:p>
        </w:tc>
        <w:tc>
          <w:tcPr>
            <w:tcW w:w="434" w:type="pct"/>
            <w:shd w:val="clear" w:color="auto" w:fill="auto"/>
            <w:vAlign w:val="center"/>
          </w:tcPr>
          <w:p w14:paraId="08838600">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2</w:t>
            </w:r>
          </w:p>
        </w:tc>
        <w:tc>
          <w:tcPr>
            <w:tcW w:w="327" w:type="pct"/>
            <w:shd w:val="clear" w:color="auto" w:fill="auto"/>
            <w:noWrap/>
            <w:vAlign w:val="center"/>
          </w:tcPr>
          <w:p w14:paraId="252E101A">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2D4F6FBA">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11" w:type="pct"/>
            <w:shd w:val="clear" w:color="auto" w:fill="auto"/>
            <w:noWrap/>
            <w:vAlign w:val="center"/>
          </w:tcPr>
          <w:p w14:paraId="7CBE3171">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0B23A9E0">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5CC4DAF4">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912" w:type="pct"/>
            <w:shd w:val="clear" w:color="auto" w:fill="auto"/>
            <w:noWrap/>
            <w:vAlign w:val="center"/>
          </w:tcPr>
          <w:p w14:paraId="70B1839E">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黑白布打印</w:t>
            </w:r>
          </w:p>
        </w:tc>
      </w:tr>
      <w:tr w14:paraId="3D082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266" w:type="pct"/>
            <w:shd w:val="clear" w:color="auto" w:fill="auto"/>
            <w:vAlign w:val="center"/>
          </w:tcPr>
          <w:p w14:paraId="3210DC9F">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63</w:t>
            </w:r>
          </w:p>
        </w:tc>
        <w:tc>
          <w:tcPr>
            <w:tcW w:w="538" w:type="pct"/>
            <w:shd w:val="clear" w:color="auto" w:fill="auto"/>
            <w:vAlign w:val="center"/>
          </w:tcPr>
          <w:p w14:paraId="22E30EC2">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注意下陡坡铁皮</w:t>
            </w:r>
          </w:p>
        </w:tc>
        <w:tc>
          <w:tcPr>
            <w:tcW w:w="655" w:type="pct"/>
            <w:shd w:val="clear" w:color="auto" w:fill="auto"/>
            <w:vAlign w:val="center"/>
          </w:tcPr>
          <w:p w14:paraId="11F12C6E">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0.6m*0.8m</w:t>
            </w:r>
          </w:p>
        </w:tc>
        <w:tc>
          <w:tcPr>
            <w:tcW w:w="441" w:type="pct"/>
            <w:shd w:val="clear" w:color="auto" w:fill="auto"/>
            <w:noWrap/>
            <w:vAlign w:val="center"/>
          </w:tcPr>
          <w:p w14:paraId="30D9609F">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套</w:t>
            </w:r>
          </w:p>
        </w:tc>
        <w:tc>
          <w:tcPr>
            <w:tcW w:w="434" w:type="pct"/>
            <w:shd w:val="clear" w:color="auto" w:fill="auto"/>
            <w:vAlign w:val="center"/>
          </w:tcPr>
          <w:p w14:paraId="74A57800">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25</w:t>
            </w:r>
          </w:p>
        </w:tc>
        <w:tc>
          <w:tcPr>
            <w:tcW w:w="327" w:type="pct"/>
            <w:shd w:val="clear" w:color="auto" w:fill="auto"/>
            <w:noWrap/>
            <w:vAlign w:val="center"/>
          </w:tcPr>
          <w:p w14:paraId="2EE7AB43">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72CA684D">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11" w:type="pct"/>
            <w:shd w:val="clear" w:color="auto" w:fill="auto"/>
            <w:noWrap/>
            <w:vAlign w:val="center"/>
          </w:tcPr>
          <w:p w14:paraId="5F5CDF49">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3A15C1B1">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57E5903A">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912" w:type="pct"/>
            <w:shd w:val="clear" w:color="auto" w:fill="auto"/>
            <w:noWrap/>
            <w:vAlign w:val="center"/>
          </w:tcPr>
          <w:p w14:paraId="3A1D0CD1">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钢架焊接+铁皮+反光晶彩格+支腿+链条</w:t>
            </w:r>
          </w:p>
        </w:tc>
      </w:tr>
      <w:tr w14:paraId="4DE0D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266" w:type="pct"/>
            <w:shd w:val="clear" w:color="auto" w:fill="auto"/>
            <w:vAlign w:val="center"/>
          </w:tcPr>
          <w:p w14:paraId="0EBA2A79">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64</w:t>
            </w:r>
          </w:p>
        </w:tc>
        <w:tc>
          <w:tcPr>
            <w:tcW w:w="538" w:type="pct"/>
            <w:shd w:val="clear" w:color="auto" w:fill="auto"/>
            <w:vAlign w:val="center"/>
          </w:tcPr>
          <w:p w14:paraId="4C10498D">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注意上陡坡铁皮</w:t>
            </w:r>
          </w:p>
        </w:tc>
        <w:tc>
          <w:tcPr>
            <w:tcW w:w="655" w:type="pct"/>
            <w:shd w:val="clear" w:color="auto" w:fill="auto"/>
            <w:vAlign w:val="center"/>
          </w:tcPr>
          <w:p w14:paraId="3C7E3012">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0.6m*0.8m</w:t>
            </w:r>
          </w:p>
        </w:tc>
        <w:tc>
          <w:tcPr>
            <w:tcW w:w="441" w:type="pct"/>
            <w:shd w:val="clear" w:color="auto" w:fill="auto"/>
            <w:noWrap/>
            <w:vAlign w:val="center"/>
          </w:tcPr>
          <w:p w14:paraId="71F53837">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套</w:t>
            </w:r>
          </w:p>
        </w:tc>
        <w:tc>
          <w:tcPr>
            <w:tcW w:w="434" w:type="pct"/>
            <w:shd w:val="clear" w:color="auto" w:fill="auto"/>
            <w:vAlign w:val="center"/>
          </w:tcPr>
          <w:p w14:paraId="40F7A0BA">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25</w:t>
            </w:r>
          </w:p>
        </w:tc>
        <w:tc>
          <w:tcPr>
            <w:tcW w:w="327" w:type="pct"/>
            <w:shd w:val="clear" w:color="auto" w:fill="auto"/>
            <w:noWrap/>
            <w:vAlign w:val="center"/>
          </w:tcPr>
          <w:p w14:paraId="495BDD8F">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330CB973">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11" w:type="pct"/>
            <w:shd w:val="clear" w:color="auto" w:fill="auto"/>
            <w:noWrap/>
            <w:vAlign w:val="center"/>
          </w:tcPr>
          <w:p w14:paraId="78EAEF85">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7F193828">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683D3375">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912" w:type="pct"/>
            <w:shd w:val="clear" w:color="auto" w:fill="auto"/>
            <w:noWrap/>
            <w:vAlign w:val="center"/>
          </w:tcPr>
          <w:p w14:paraId="38AD8A91">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钢架焊接+铁皮+反光晶彩格+支腿+链条</w:t>
            </w:r>
          </w:p>
        </w:tc>
      </w:tr>
      <w:tr w14:paraId="66279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266" w:type="pct"/>
            <w:shd w:val="clear" w:color="auto" w:fill="auto"/>
            <w:vAlign w:val="center"/>
          </w:tcPr>
          <w:p w14:paraId="6B60AD16">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65</w:t>
            </w:r>
          </w:p>
        </w:tc>
        <w:tc>
          <w:tcPr>
            <w:tcW w:w="538" w:type="pct"/>
            <w:shd w:val="clear" w:color="auto" w:fill="auto"/>
            <w:vAlign w:val="center"/>
          </w:tcPr>
          <w:p w14:paraId="1FC409D9">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前方急弯 减速慢行</w:t>
            </w:r>
          </w:p>
        </w:tc>
        <w:tc>
          <w:tcPr>
            <w:tcW w:w="655" w:type="pct"/>
            <w:shd w:val="clear" w:color="auto" w:fill="auto"/>
            <w:vAlign w:val="center"/>
          </w:tcPr>
          <w:p w14:paraId="3C6F822F">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0.6m*0.8m</w:t>
            </w:r>
          </w:p>
        </w:tc>
        <w:tc>
          <w:tcPr>
            <w:tcW w:w="441" w:type="pct"/>
            <w:shd w:val="clear" w:color="auto" w:fill="auto"/>
            <w:noWrap/>
            <w:vAlign w:val="center"/>
          </w:tcPr>
          <w:p w14:paraId="3466023F">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套</w:t>
            </w:r>
          </w:p>
        </w:tc>
        <w:tc>
          <w:tcPr>
            <w:tcW w:w="434" w:type="pct"/>
            <w:shd w:val="clear" w:color="auto" w:fill="auto"/>
            <w:vAlign w:val="center"/>
          </w:tcPr>
          <w:p w14:paraId="630D4DAF">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25</w:t>
            </w:r>
          </w:p>
        </w:tc>
        <w:tc>
          <w:tcPr>
            <w:tcW w:w="327" w:type="pct"/>
            <w:shd w:val="clear" w:color="auto" w:fill="auto"/>
            <w:noWrap/>
            <w:vAlign w:val="center"/>
          </w:tcPr>
          <w:p w14:paraId="02BF08D9">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5A36694C">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11" w:type="pct"/>
            <w:shd w:val="clear" w:color="auto" w:fill="auto"/>
            <w:noWrap/>
            <w:vAlign w:val="center"/>
          </w:tcPr>
          <w:p w14:paraId="7196220E">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2C82A60E">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31D16C56">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912" w:type="pct"/>
            <w:shd w:val="clear" w:color="auto" w:fill="auto"/>
            <w:noWrap/>
            <w:vAlign w:val="center"/>
          </w:tcPr>
          <w:p w14:paraId="2793E30F">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钢架焊接+铁皮+反光晶彩格+支腿+链条</w:t>
            </w:r>
          </w:p>
        </w:tc>
      </w:tr>
      <w:tr w14:paraId="71B04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266" w:type="pct"/>
            <w:shd w:val="clear" w:color="auto" w:fill="auto"/>
            <w:vAlign w:val="center"/>
          </w:tcPr>
          <w:p w14:paraId="7F541644">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66</w:t>
            </w:r>
          </w:p>
        </w:tc>
        <w:tc>
          <w:tcPr>
            <w:tcW w:w="538" w:type="pct"/>
            <w:shd w:val="clear" w:color="auto" w:fill="auto"/>
            <w:vAlign w:val="center"/>
          </w:tcPr>
          <w:p w14:paraId="7A83B3A7">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前方落石 注意安全（双面）</w:t>
            </w:r>
          </w:p>
        </w:tc>
        <w:tc>
          <w:tcPr>
            <w:tcW w:w="655" w:type="pct"/>
            <w:shd w:val="clear" w:color="auto" w:fill="auto"/>
            <w:vAlign w:val="center"/>
          </w:tcPr>
          <w:p w14:paraId="1E4230F3">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0.6m*0.8m</w:t>
            </w:r>
          </w:p>
        </w:tc>
        <w:tc>
          <w:tcPr>
            <w:tcW w:w="441" w:type="pct"/>
            <w:shd w:val="clear" w:color="auto" w:fill="auto"/>
            <w:noWrap/>
            <w:vAlign w:val="center"/>
          </w:tcPr>
          <w:p w14:paraId="0407228D">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套</w:t>
            </w:r>
          </w:p>
        </w:tc>
        <w:tc>
          <w:tcPr>
            <w:tcW w:w="434" w:type="pct"/>
            <w:shd w:val="clear" w:color="auto" w:fill="auto"/>
            <w:vAlign w:val="center"/>
          </w:tcPr>
          <w:p w14:paraId="385AC4D8">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33</w:t>
            </w:r>
          </w:p>
        </w:tc>
        <w:tc>
          <w:tcPr>
            <w:tcW w:w="327" w:type="pct"/>
            <w:shd w:val="clear" w:color="auto" w:fill="auto"/>
            <w:noWrap/>
            <w:vAlign w:val="center"/>
          </w:tcPr>
          <w:p w14:paraId="18C1AAB7">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26EE9B03">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11" w:type="pct"/>
            <w:shd w:val="clear" w:color="auto" w:fill="auto"/>
            <w:noWrap/>
            <w:vAlign w:val="center"/>
          </w:tcPr>
          <w:p w14:paraId="00D60596">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30E1BC1A">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02280BCC">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912" w:type="pct"/>
            <w:shd w:val="clear" w:color="auto" w:fill="auto"/>
            <w:noWrap/>
            <w:vAlign w:val="center"/>
          </w:tcPr>
          <w:p w14:paraId="5AE78391">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钢架焊接+铁皮+反光晶彩格+支腿+链条</w:t>
            </w:r>
          </w:p>
        </w:tc>
      </w:tr>
      <w:tr w14:paraId="75476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266" w:type="pct"/>
            <w:shd w:val="clear" w:color="auto" w:fill="auto"/>
            <w:vAlign w:val="center"/>
          </w:tcPr>
          <w:p w14:paraId="11272273">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67</w:t>
            </w:r>
          </w:p>
        </w:tc>
        <w:tc>
          <w:tcPr>
            <w:tcW w:w="538" w:type="pct"/>
            <w:shd w:val="clear" w:color="auto" w:fill="auto"/>
            <w:vAlign w:val="center"/>
          </w:tcPr>
          <w:p w14:paraId="006EEBB8">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减速慢行 注意安全（双面）</w:t>
            </w:r>
          </w:p>
        </w:tc>
        <w:tc>
          <w:tcPr>
            <w:tcW w:w="655" w:type="pct"/>
            <w:shd w:val="clear" w:color="auto" w:fill="auto"/>
            <w:vAlign w:val="center"/>
          </w:tcPr>
          <w:p w14:paraId="44DB98DB">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0.6m*0.8m</w:t>
            </w:r>
          </w:p>
        </w:tc>
        <w:tc>
          <w:tcPr>
            <w:tcW w:w="441" w:type="pct"/>
            <w:shd w:val="clear" w:color="auto" w:fill="auto"/>
            <w:noWrap/>
            <w:vAlign w:val="center"/>
          </w:tcPr>
          <w:p w14:paraId="4ACD7A14">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套</w:t>
            </w:r>
          </w:p>
        </w:tc>
        <w:tc>
          <w:tcPr>
            <w:tcW w:w="434" w:type="pct"/>
            <w:shd w:val="clear" w:color="auto" w:fill="auto"/>
            <w:vAlign w:val="center"/>
          </w:tcPr>
          <w:p w14:paraId="7D02DFCC">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33</w:t>
            </w:r>
          </w:p>
        </w:tc>
        <w:tc>
          <w:tcPr>
            <w:tcW w:w="327" w:type="pct"/>
            <w:shd w:val="clear" w:color="auto" w:fill="auto"/>
            <w:noWrap/>
            <w:vAlign w:val="center"/>
          </w:tcPr>
          <w:p w14:paraId="3F442282">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7A1B365C">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11" w:type="pct"/>
            <w:shd w:val="clear" w:color="auto" w:fill="auto"/>
            <w:noWrap/>
            <w:vAlign w:val="center"/>
          </w:tcPr>
          <w:p w14:paraId="743D778A">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5CB53133">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6B8DF501">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912" w:type="pct"/>
            <w:shd w:val="clear" w:color="auto" w:fill="auto"/>
            <w:noWrap/>
            <w:vAlign w:val="center"/>
          </w:tcPr>
          <w:p w14:paraId="364534A5">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钢架焊接+铁皮+反光晶彩格+支腿+链条</w:t>
            </w:r>
          </w:p>
        </w:tc>
      </w:tr>
      <w:tr w14:paraId="133BF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266" w:type="pct"/>
            <w:shd w:val="clear" w:color="auto" w:fill="auto"/>
            <w:vAlign w:val="center"/>
          </w:tcPr>
          <w:p w14:paraId="096C1743">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68</w:t>
            </w:r>
          </w:p>
        </w:tc>
        <w:tc>
          <w:tcPr>
            <w:tcW w:w="538" w:type="pct"/>
            <w:shd w:val="clear" w:color="auto" w:fill="auto"/>
            <w:vAlign w:val="center"/>
          </w:tcPr>
          <w:p w14:paraId="28B84041">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试验室制度及操作规程牌</w:t>
            </w:r>
          </w:p>
        </w:tc>
        <w:tc>
          <w:tcPr>
            <w:tcW w:w="655" w:type="pct"/>
            <w:shd w:val="clear" w:color="auto" w:fill="auto"/>
            <w:vAlign w:val="center"/>
          </w:tcPr>
          <w:p w14:paraId="23B13711">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0.9m*0.6m</w:t>
            </w:r>
          </w:p>
        </w:tc>
        <w:tc>
          <w:tcPr>
            <w:tcW w:w="441" w:type="pct"/>
            <w:shd w:val="clear" w:color="auto" w:fill="auto"/>
            <w:noWrap/>
            <w:vAlign w:val="center"/>
          </w:tcPr>
          <w:p w14:paraId="394C94E1">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套</w:t>
            </w:r>
          </w:p>
        </w:tc>
        <w:tc>
          <w:tcPr>
            <w:tcW w:w="434" w:type="pct"/>
            <w:shd w:val="clear" w:color="auto" w:fill="auto"/>
            <w:vAlign w:val="center"/>
          </w:tcPr>
          <w:p w14:paraId="0490DC86">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32</w:t>
            </w:r>
          </w:p>
        </w:tc>
        <w:tc>
          <w:tcPr>
            <w:tcW w:w="327" w:type="pct"/>
            <w:shd w:val="clear" w:color="auto" w:fill="auto"/>
            <w:noWrap/>
            <w:vAlign w:val="center"/>
          </w:tcPr>
          <w:p w14:paraId="4ED8D26F">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6ABDB08D">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11" w:type="pct"/>
            <w:shd w:val="clear" w:color="auto" w:fill="auto"/>
            <w:noWrap/>
            <w:vAlign w:val="center"/>
          </w:tcPr>
          <w:p w14:paraId="4880FDE2">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651E8B5B">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52306A79">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912" w:type="pct"/>
            <w:shd w:val="clear" w:color="auto" w:fill="auto"/>
            <w:noWrap/>
            <w:vAlign w:val="center"/>
          </w:tcPr>
          <w:p w14:paraId="1BCCBEF9">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写真kt板+小边条</w:t>
            </w:r>
          </w:p>
        </w:tc>
      </w:tr>
      <w:tr w14:paraId="26A24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266" w:type="pct"/>
            <w:shd w:val="clear" w:color="auto" w:fill="auto"/>
            <w:vAlign w:val="center"/>
          </w:tcPr>
          <w:p w14:paraId="23899036">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69</w:t>
            </w:r>
          </w:p>
        </w:tc>
        <w:tc>
          <w:tcPr>
            <w:tcW w:w="538" w:type="pct"/>
            <w:shd w:val="clear" w:color="auto" w:fill="auto"/>
            <w:vAlign w:val="center"/>
          </w:tcPr>
          <w:p w14:paraId="7C429584">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条幅</w:t>
            </w:r>
          </w:p>
        </w:tc>
        <w:tc>
          <w:tcPr>
            <w:tcW w:w="655" w:type="pct"/>
            <w:shd w:val="clear" w:color="auto" w:fill="auto"/>
            <w:vAlign w:val="center"/>
          </w:tcPr>
          <w:p w14:paraId="3F638822">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0.7m*7m</w:t>
            </w:r>
          </w:p>
        </w:tc>
        <w:tc>
          <w:tcPr>
            <w:tcW w:w="441" w:type="pct"/>
            <w:shd w:val="clear" w:color="auto" w:fill="auto"/>
            <w:noWrap/>
            <w:vAlign w:val="center"/>
          </w:tcPr>
          <w:p w14:paraId="4B84F514">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米</w:t>
            </w:r>
          </w:p>
        </w:tc>
        <w:tc>
          <w:tcPr>
            <w:tcW w:w="434" w:type="pct"/>
            <w:shd w:val="clear" w:color="auto" w:fill="auto"/>
            <w:vAlign w:val="center"/>
          </w:tcPr>
          <w:p w14:paraId="5B6DFD4B">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100</w:t>
            </w:r>
          </w:p>
        </w:tc>
        <w:tc>
          <w:tcPr>
            <w:tcW w:w="327" w:type="pct"/>
            <w:shd w:val="clear" w:color="auto" w:fill="auto"/>
            <w:noWrap/>
            <w:vAlign w:val="center"/>
          </w:tcPr>
          <w:p w14:paraId="17901521">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64581A41">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11" w:type="pct"/>
            <w:shd w:val="clear" w:color="auto" w:fill="auto"/>
            <w:noWrap/>
            <w:vAlign w:val="center"/>
          </w:tcPr>
          <w:p w14:paraId="47BAB5CB">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08BE6FC9">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54B53786">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912" w:type="pct"/>
            <w:shd w:val="clear" w:color="auto" w:fill="auto"/>
            <w:noWrap/>
            <w:vAlign w:val="center"/>
          </w:tcPr>
          <w:p w14:paraId="7023D0E0">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条幅制作</w:t>
            </w:r>
          </w:p>
        </w:tc>
      </w:tr>
      <w:tr w14:paraId="1D0B1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266" w:type="pct"/>
            <w:shd w:val="clear" w:color="auto" w:fill="auto"/>
            <w:vAlign w:val="center"/>
          </w:tcPr>
          <w:p w14:paraId="6B098B4B">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70</w:t>
            </w:r>
          </w:p>
        </w:tc>
        <w:tc>
          <w:tcPr>
            <w:tcW w:w="538" w:type="pct"/>
            <w:shd w:val="clear" w:color="auto" w:fill="auto"/>
            <w:vAlign w:val="center"/>
          </w:tcPr>
          <w:p w14:paraId="5AD89DAB">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宽体车安全公示牌</w:t>
            </w:r>
          </w:p>
        </w:tc>
        <w:tc>
          <w:tcPr>
            <w:tcW w:w="655" w:type="pct"/>
            <w:shd w:val="clear" w:color="auto" w:fill="auto"/>
            <w:vAlign w:val="center"/>
          </w:tcPr>
          <w:p w14:paraId="69B86278">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0.4m*0.6m</w:t>
            </w:r>
          </w:p>
        </w:tc>
        <w:tc>
          <w:tcPr>
            <w:tcW w:w="441" w:type="pct"/>
            <w:shd w:val="clear" w:color="auto" w:fill="auto"/>
            <w:noWrap/>
            <w:vAlign w:val="center"/>
          </w:tcPr>
          <w:p w14:paraId="355C22F5">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平方米</w:t>
            </w:r>
          </w:p>
        </w:tc>
        <w:tc>
          <w:tcPr>
            <w:tcW w:w="434" w:type="pct"/>
            <w:shd w:val="clear" w:color="auto" w:fill="auto"/>
            <w:vAlign w:val="center"/>
          </w:tcPr>
          <w:p w14:paraId="110244D6">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5</w:t>
            </w:r>
          </w:p>
        </w:tc>
        <w:tc>
          <w:tcPr>
            <w:tcW w:w="327" w:type="pct"/>
            <w:shd w:val="clear" w:color="auto" w:fill="auto"/>
            <w:noWrap/>
            <w:vAlign w:val="center"/>
          </w:tcPr>
          <w:p w14:paraId="6A8D977F">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06BF78D4">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11" w:type="pct"/>
            <w:shd w:val="clear" w:color="auto" w:fill="auto"/>
            <w:noWrap/>
            <w:vAlign w:val="center"/>
          </w:tcPr>
          <w:p w14:paraId="3E79B449">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530C549D">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6D3BD745">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912" w:type="pct"/>
            <w:shd w:val="clear" w:color="auto" w:fill="auto"/>
            <w:noWrap/>
            <w:vAlign w:val="center"/>
          </w:tcPr>
          <w:p w14:paraId="0131073E">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安全专用车贴制作</w:t>
            </w:r>
          </w:p>
        </w:tc>
      </w:tr>
      <w:tr w14:paraId="04FB4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266" w:type="pct"/>
            <w:shd w:val="clear" w:color="auto" w:fill="auto"/>
            <w:vAlign w:val="center"/>
          </w:tcPr>
          <w:p w14:paraId="079466B0">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71</w:t>
            </w:r>
          </w:p>
        </w:tc>
        <w:tc>
          <w:tcPr>
            <w:tcW w:w="538" w:type="pct"/>
            <w:shd w:val="clear" w:color="auto" w:fill="auto"/>
            <w:vAlign w:val="center"/>
          </w:tcPr>
          <w:p w14:paraId="4D49A13C">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施工现场作业告知牌铝板</w:t>
            </w:r>
          </w:p>
        </w:tc>
        <w:tc>
          <w:tcPr>
            <w:tcW w:w="655" w:type="pct"/>
            <w:shd w:val="clear" w:color="auto" w:fill="auto"/>
            <w:vAlign w:val="center"/>
          </w:tcPr>
          <w:p w14:paraId="2C872E6D">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0.4m*0.6m</w:t>
            </w:r>
          </w:p>
        </w:tc>
        <w:tc>
          <w:tcPr>
            <w:tcW w:w="441" w:type="pct"/>
            <w:shd w:val="clear" w:color="auto" w:fill="auto"/>
            <w:noWrap/>
            <w:vAlign w:val="center"/>
          </w:tcPr>
          <w:p w14:paraId="53E95BD1">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平方米</w:t>
            </w:r>
          </w:p>
        </w:tc>
        <w:tc>
          <w:tcPr>
            <w:tcW w:w="434" w:type="pct"/>
            <w:shd w:val="clear" w:color="auto" w:fill="auto"/>
            <w:vAlign w:val="center"/>
          </w:tcPr>
          <w:p w14:paraId="1FEC3108">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5</w:t>
            </w:r>
          </w:p>
        </w:tc>
        <w:tc>
          <w:tcPr>
            <w:tcW w:w="327" w:type="pct"/>
            <w:shd w:val="clear" w:color="auto" w:fill="auto"/>
            <w:noWrap/>
            <w:vAlign w:val="center"/>
          </w:tcPr>
          <w:p w14:paraId="7402415A">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0F6258C4">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11" w:type="pct"/>
            <w:shd w:val="clear" w:color="auto" w:fill="auto"/>
            <w:noWrap/>
            <w:vAlign w:val="center"/>
          </w:tcPr>
          <w:p w14:paraId="6F7EA7B4">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1AA050A9">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58848C45">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912" w:type="pct"/>
            <w:shd w:val="clear" w:color="auto" w:fill="auto"/>
            <w:noWrap/>
            <w:vAlign w:val="center"/>
          </w:tcPr>
          <w:p w14:paraId="13610A1E">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铝板</w:t>
            </w:r>
          </w:p>
        </w:tc>
      </w:tr>
      <w:tr w14:paraId="7E5B3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266" w:type="pct"/>
            <w:shd w:val="clear" w:color="auto" w:fill="auto"/>
            <w:vAlign w:val="center"/>
          </w:tcPr>
          <w:p w14:paraId="275AA209">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72</w:t>
            </w:r>
          </w:p>
        </w:tc>
        <w:tc>
          <w:tcPr>
            <w:tcW w:w="538" w:type="pct"/>
            <w:shd w:val="clear" w:color="auto" w:fill="auto"/>
            <w:vAlign w:val="center"/>
          </w:tcPr>
          <w:p w14:paraId="4514B585">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配电室责任人标识牌铝板</w:t>
            </w:r>
          </w:p>
        </w:tc>
        <w:tc>
          <w:tcPr>
            <w:tcW w:w="655" w:type="pct"/>
            <w:shd w:val="clear" w:color="auto" w:fill="auto"/>
            <w:vAlign w:val="center"/>
          </w:tcPr>
          <w:p w14:paraId="2855C8A0">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0.4m*0.6m</w:t>
            </w:r>
          </w:p>
        </w:tc>
        <w:tc>
          <w:tcPr>
            <w:tcW w:w="441" w:type="pct"/>
            <w:shd w:val="clear" w:color="auto" w:fill="auto"/>
            <w:noWrap/>
            <w:vAlign w:val="center"/>
          </w:tcPr>
          <w:p w14:paraId="17DC9F70">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平方米</w:t>
            </w:r>
          </w:p>
        </w:tc>
        <w:tc>
          <w:tcPr>
            <w:tcW w:w="434" w:type="pct"/>
            <w:shd w:val="clear" w:color="auto" w:fill="auto"/>
            <w:vAlign w:val="center"/>
          </w:tcPr>
          <w:p w14:paraId="3AD9E45E">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5</w:t>
            </w:r>
          </w:p>
        </w:tc>
        <w:tc>
          <w:tcPr>
            <w:tcW w:w="327" w:type="pct"/>
            <w:shd w:val="clear" w:color="auto" w:fill="auto"/>
            <w:noWrap/>
            <w:vAlign w:val="center"/>
          </w:tcPr>
          <w:p w14:paraId="09E8E2FC">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26DE7BBD">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11" w:type="pct"/>
            <w:shd w:val="clear" w:color="auto" w:fill="auto"/>
            <w:noWrap/>
            <w:vAlign w:val="center"/>
          </w:tcPr>
          <w:p w14:paraId="043727F6">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4DE9E116">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5DA198B4">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912" w:type="pct"/>
            <w:shd w:val="clear" w:color="auto" w:fill="auto"/>
            <w:noWrap/>
            <w:vAlign w:val="center"/>
          </w:tcPr>
          <w:p w14:paraId="087ABC74">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铝板+uv打印</w:t>
            </w:r>
          </w:p>
        </w:tc>
      </w:tr>
      <w:tr w14:paraId="3B410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266" w:type="pct"/>
            <w:shd w:val="clear" w:color="auto" w:fill="auto"/>
            <w:vAlign w:val="center"/>
          </w:tcPr>
          <w:p w14:paraId="6355D52B">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73</w:t>
            </w:r>
          </w:p>
        </w:tc>
        <w:tc>
          <w:tcPr>
            <w:tcW w:w="538" w:type="pct"/>
            <w:shd w:val="clear" w:color="auto" w:fill="auto"/>
            <w:vAlign w:val="center"/>
          </w:tcPr>
          <w:p w14:paraId="1B246E42">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施工现场作业告知牌铝板</w:t>
            </w:r>
          </w:p>
        </w:tc>
        <w:tc>
          <w:tcPr>
            <w:tcW w:w="655" w:type="pct"/>
            <w:shd w:val="clear" w:color="auto" w:fill="auto"/>
            <w:vAlign w:val="center"/>
          </w:tcPr>
          <w:p w14:paraId="389A954E">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0.4m*0.6m</w:t>
            </w:r>
          </w:p>
        </w:tc>
        <w:tc>
          <w:tcPr>
            <w:tcW w:w="441" w:type="pct"/>
            <w:shd w:val="clear" w:color="auto" w:fill="auto"/>
            <w:noWrap/>
            <w:vAlign w:val="center"/>
          </w:tcPr>
          <w:p w14:paraId="3D69FBDE">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平方米</w:t>
            </w:r>
          </w:p>
        </w:tc>
        <w:tc>
          <w:tcPr>
            <w:tcW w:w="434" w:type="pct"/>
            <w:shd w:val="clear" w:color="auto" w:fill="auto"/>
            <w:vAlign w:val="center"/>
          </w:tcPr>
          <w:p w14:paraId="6FCD5B14">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5</w:t>
            </w:r>
          </w:p>
        </w:tc>
        <w:tc>
          <w:tcPr>
            <w:tcW w:w="327" w:type="pct"/>
            <w:shd w:val="clear" w:color="auto" w:fill="auto"/>
            <w:noWrap/>
            <w:vAlign w:val="center"/>
          </w:tcPr>
          <w:p w14:paraId="69B00B97">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3A500C3C">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11" w:type="pct"/>
            <w:shd w:val="clear" w:color="auto" w:fill="auto"/>
            <w:noWrap/>
            <w:vAlign w:val="center"/>
          </w:tcPr>
          <w:p w14:paraId="3E0A310D">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62CB0745">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3CB1D4C6">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912" w:type="pct"/>
            <w:shd w:val="clear" w:color="auto" w:fill="auto"/>
            <w:noWrap/>
            <w:vAlign w:val="center"/>
          </w:tcPr>
          <w:p w14:paraId="62B51C62">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铝板</w:t>
            </w:r>
          </w:p>
        </w:tc>
      </w:tr>
      <w:tr w14:paraId="7EC3F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266" w:type="pct"/>
            <w:shd w:val="clear" w:color="auto" w:fill="auto"/>
            <w:vAlign w:val="center"/>
          </w:tcPr>
          <w:p w14:paraId="7426B672">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74</w:t>
            </w:r>
          </w:p>
        </w:tc>
        <w:tc>
          <w:tcPr>
            <w:tcW w:w="538" w:type="pct"/>
            <w:shd w:val="clear" w:color="auto" w:fill="auto"/>
            <w:vAlign w:val="center"/>
          </w:tcPr>
          <w:p w14:paraId="72C3337E">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安全生产警示组合牌铝板</w:t>
            </w:r>
          </w:p>
        </w:tc>
        <w:tc>
          <w:tcPr>
            <w:tcW w:w="655" w:type="pct"/>
            <w:shd w:val="clear" w:color="auto" w:fill="auto"/>
            <w:vAlign w:val="center"/>
          </w:tcPr>
          <w:p w14:paraId="0C604AC3">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0.85m*0.55m</w:t>
            </w:r>
          </w:p>
        </w:tc>
        <w:tc>
          <w:tcPr>
            <w:tcW w:w="441" w:type="pct"/>
            <w:shd w:val="clear" w:color="auto" w:fill="auto"/>
            <w:noWrap/>
            <w:vAlign w:val="center"/>
          </w:tcPr>
          <w:p w14:paraId="6E7E510E">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平方米</w:t>
            </w:r>
          </w:p>
        </w:tc>
        <w:tc>
          <w:tcPr>
            <w:tcW w:w="434" w:type="pct"/>
            <w:shd w:val="clear" w:color="auto" w:fill="auto"/>
            <w:vAlign w:val="center"/>
          </w:tcPr>
          <w:p w14:paraId="4C7D0DC3">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50</w:t>
            </w:r>
          </w:p>
        </w:tc>
        <w:tc>
          <w:tcPr>
            <w:tcW w:w="327" w:type="pct"/>
            <w:shd w:val="clear" w:color="auto" w:fill="auto"/>
            <w:noWrap/>
            <w:vAlign w:val="center"/>
          </w:tcPr>
          <w:p w14:paraId="2B52B629">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78F185E1">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11" w:type="pct"/>
            <w:shd w:val="clear" w:color="auto" w:fill="auto"/>
            <w:noWrap/>
            <w:vAlign w:val="center"/>
          </w:tcPr>
          <w:p w14:paraId="6A5EF67D">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4AE0629E">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4836BC00">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912" w:type="pct"/>
            <w:shd w:val="clear" w:color="auto" w:fill="auto"/>
            <w:noWrap/>
            <w:vAlign w:val="center"/>
          </w:tcPr>
          <w:p w14:paraId="3A24577C">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安全标识专用铝板</w:t>
            </w:r>
          </w:p>
        </w:tc>
      </w:tr>
      <w:tr w14:paraId="4232D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266" w:type="pct"/>
            <w:shd w:val="clear" w:color="auto" w:fill="auto"/>
            <w:vAlign w:val="center"/>
          </w:tcPr>
          <w:p w14:paraId="52C9DF39">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75</w:t>
            </w:r>
          </w:p>
        </w:tc>
        <w:tc>
          <w:tcPr>
            <w:tcW w:w="538" w:type="pct"/>
            <w:shd w:val="clear" w:color="auto" w:fill="auto"/>
            <w:vAlign w:val="center"/>
          </w:tcPr>
          <w:p w14:paraId="6DE6255B">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施工现场安全通道指示路标</w:t>
            </w:r>
          </w:p>
        </w:tc>
        <w:tc>
          <w:tcPr>
            <w:tcW w:w="655" w:type="pct"/>
            <w:shd w:val="clear" w:color="auto" w:fill="auto"/>
            <w:vAlign w:val="center"/>
          </w:tcPr>
          <w:p w14:paraId="235E46F8">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2m*2m</w:t>
            </w:r>
          </w:p>
        </w:tc>
        <w:tc>
          <w:tcPr>
            <w:tcW w:w="441" w:type="pct"/>
            <w:shd w:val="clear" w:color="auto" w:fill="auto"/>
            <w:noWrap/>
            <w:vAlign w:val="center"/>
          </w:tcPr>
          <w:p w14:paraId="231BDCCE">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套</w:t>
            </w:r>
          </w:p>
        </w:tc>
        <w:tc>
          <w:tcPr>
            <w:tcW w:w="434" w:type="pct"/>
            <w:shd w:val="clear" w:color="auto" w:fill="auto"/>
            <w:vAlign w:val="center"/>
          </w:tcPr>
          <w:p w14:paraId="217BEF0F">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20</w:t>
            </w:r>
          </w:p>
        </w:tc>
        <w:tc>
          <w:tcPr>
            <w:tcW w:w="327" w:type="pct"/>
            <w:shd w:val="clear" w:color="auto" w:fill="auto"/>
            <w:noWrap/>
            <w:vAlign w:val="center"/>
          </w:tcPr>
          <w:p w14:paraId="2BED64EA">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362FC276">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11" w:type="pct"/>
            <w:shd w:val="clear" w:color="auto" w:fill="auto"/>
            <w:noWrap/>
            <w:vAlign w:val="center"/>
          </w:tcPr>
          <w:p w14:paraId="187271B6">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7D7CEB92">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41EDB7E5">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912" w:type="pct"/>
            <w:shd w:val="clear" w:color="auto" w:fill="auto"/>
            <w:noWrap/>
            <w:vAlign w:val="center"/>
          </w:tcPr>
          <w:p w14:paraId="27C0E365">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4x4钢管+铁皮+钢架焊接+反光晶彩格+支腿</w:t>
            </w:r>
          </w:p>
        </w:tc>
      </w:tr>
      <w:tr w14:paraId="01D12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266" w:type="pct"/>
            <w:shd w:val="clear" w:color="auto" w:fill="auto"/>
            <w:vAlign w:val="center"/>
          </w:tcPr>
          <w:p w14:paraId="400F2BAA">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76</w:t>
            </w:r>
          </w:p>
        </w:tc>
        <w:tc>
          <w:tcPr>
            <w:tcW w:w="538" w:type="pct"/>
            <w:shd w:val="clear" w:color="auto" w:fill="auto"/>
            <w:vAlign w:val="center"/>
          </w:tcPr>
          <w:p w14:paraId="3195ADD6">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拌合站标语铁皮</w:t>
            </w:r>
          </w:p>
        </w:tc>
        <w:tc>
          <w:tcPr>
            <w:tcW w:w="655" w:type="pct"/>
            <w:shd w:val="clear" w:color="auto" w:fill="auto"/>
            <w:vAlign w:val="center"/>
          </w:tcPr>
          <w:p w14:paraId="63D4D310">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1.2m*0.7m</w:t>
            </w:r>
          </w:p>
        </w:tc>
        <w:tc>
          <w:tcPr>
            <w:tcW w:w="441" w:type="pct"/>
            <w:shd w:val="clear" w:color="auto" w:fill="auto"/>
            <w:noWrap/>
            <w:vAlign w:val="center"/>
          </w:tcPr>
          <w:p w14:paraId="602EDCC5">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个</w:t>
            </w:r>
          </w:p>
        </w:tc>
        <w:tc>
          <w:tcPr>
            <w:tcW w:w="434" w:type="pct"/>
            <w:shd w:val="clear" w:color="auto" w:fill="auto"/>
            <w:vAlign w:val="center"/>
          </w:tcPr>
          <w:p w14:paraId="522CB432">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50</w:t>
            </w:r>
          </w:p>
        </w:tc>
        <w:tc>
          <w:tcPr>
            <w:tcW w:w="327" w:type="pct"/>
            <w:shd w:val="clear" w:color="auto" w:fill="auto"/>
            <w:noWrap/>
            <w:vAlign w:val="center"/>
          </w:tcPr>
          <w:p w14:paraId="28C75611">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4B42F5AF">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11" w:type="pct"/>
            <w:shd w:val="clear" w:color="auto" w:fill="auto"/>
            <w:noWrap/>
            <w:vAlign w:val="center"/>
          </w:tcPr>
          <w:p w14:paraId="52A4C830">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60A043CD">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593CE273">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912" w:type="pct"/>
            <w:shd w:val="clear" w:color="auto" w:fill="auto"/>
            <w:noWrap/>
            <w:vAlign w:val="center"/>
          </w:tcPr>
          <w:p w14:paraId="48C50677">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4x4钢管+铁皮+uv打印</w:t>
            </w:r>
          </w:p>
        </w:tc>
      </w:tr>
      <w:tr w14:paraId="6941E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266" w:type="pct"/>
            <w:shd w:val="clear" w:color="auto" w:fill="auto"/>
            <w:vAlign w:val="center"/>
          </w:tcPr>
          <w:p w14:paraId="040CB492">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77</w:t>
            </w:r>
          </w:p>
        </w:tc>
        <w:tc>
          <w:tcPr>
            <w:tcW w:w="538" w:type="pct"/>
            <w:shd w:val="clear" w:color="auto" w:fill="auto"/>
            <w:vAlign w:val="center"/>
          </w:tcPr>
          <w:p w14:paraId="10A9476F">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拌合站标牌铁皮</w:t>
            </w:r>
          </w:p>
        </w:tc>
        <w:tc>
          <w:tcPr>
            <w:tcW w:w="655" w:type="pct"/>
            <w:shd w:val="clear" w:color="auto" w:fill="auto"/>
            <w:vAlign w:val="center"/>
          </w:tcPr>
          <w:p w14:paraId="6ADCA742">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1.5m*1.5m</w:t>
            </w:r>
          </w:p>
        </w:tc>
        <w:tc>
          <w:tcPr>
            <w:tcW w:w="441" w:type="pct"/>
            <w:shd w:val="clear" w:color="auto" w:fill="auto"/>
            <w:noWrap/>
            <w:vAlign w:val="center"/>
          </w:tcPr>
          <w:p w14:paraId="5D627709">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平方米</w:t>
            </w:r>
          </w:p>
        </w:tc>
        <w:tc>
          <w:tcPr>
            <w:tcW w:w="434" w:type="pct"/>
            <w:shd w:val="clear" w:color="auto" w:fill="auto"/>
            <w:vAlign w:val="center"/>
          </w:tcPr>
          <w:p w14:paraId="069DA688">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50</w:t>
            </w:r>
          </w:p>
        </w:tc>
        <w:tc>
          <w:tcPr>
            <w:tcW w:w="327" w:type="pct"/>
            <w:shd w:val="clear" w:color="auto" w:fill="auto"/>
            <w:noWrap/>
            <w:vAlign w:val="center"/>
          </w:tcPr>
          <w:p w14:paraId="64ADF71E">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330C6207">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11" w:type="pct"/>
            <w:shd w:val="clear" w:color="auto" w:fill="auto"/>
            <w:noWrap/>
            <w:vAlign w:val="center"/>
          </w:tcPr>
          <w:p w14:paraId="72389E3B">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69DD08DC">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598E5D3A">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912" w:type="pct"/>
            <w:shd w:val="clear" w:color="auto" w:fill="auto"/>
            <w:noWrap/>
            <w:vAlign w:val="center"/>
          </w:tcPr>
          <w:p w14:paraId="7E10BE72">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4x4钢管+铁皮+喷绘+安装</w:t>
            </w:r>
          </w:p>
        </w:tc>
      </w:tr>
      <w:tr w14:paraId="6E830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266" w:type="pct"/>
            <w:shd w:val="clear" w:color="auto" w:fill="auto"/>
            <w:vAlign w:val="center"/>
          </w:tcPr>
          <w:p w14:paraId="79D89DFC">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78</w:t>
            </w:r>
          </w:p>
        </w:tc>
        <w:tc>
          <w:tcPr>
            <w:tcW w:w="538" w:type="pct"/>
            <w:shd w:val="clear" w:color="auto" w:fill="auto"/>
            <w:vAlign w:val="center"/>
          </w:tcPr>
          <w:p w14:paraId="21ABAE4A">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项目部及钢筋加工棚铜牌</w:t>
            </w:r>
          </w:p>
        </w:tc>
        <w:tc>
          <w:tcPr>
            <w:tcW w:w="655" w:type="pct"/>
            <w:shd w:val="clear" w:color="auto" w:fill="auto"/>
            <w:vAlign w:val="center"/>
          </w:tcPr>
          <w:p w14:paraId="0EEED6CA">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2.4m*0.5m</w:t>
            </w:r>
          </w:p>
        </w:tc>
        <w:tc>
          <w:tcPr>
            <w:tcW w:w="441" w:type="pct"/>
            <w:shd w:val="clear" w:color="auto" w:fill="auto"/>
            <w:noWrap/>
            <w:vAlign w:val="center"/>
          </w:tcPr>
          <w:p w14:paraId="07290DC4">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套</w:t>
            </w:r>
          </w:p>
        </w:tc>
        <w:tc>
          <w:tcPr>
            <w:tcW w:w="434" w:type="pct"/>
            <w:shd w:val="clear" w:color="auto" w:fill="auto"/>
            <w:vAlign w:val="center"/>
          </w:tcPr>
          <w:p w14:paraId="03491BC9">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25</w:t>
            </w:r>
          </w:p>
        </w:tc>
        <w:tc>
          <w:tcPr>
            <w:tcW w:w="327" w:type="pct"/>
            <w:shd w:val="clear" w:color="auto" w:fill="auto"/>
            <w:noWrap/>
            <w:vAlign w:val="center"/>
          </w:tcPr>
          <w:p w14:paraId="5E4FE233">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6AFA62A1">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11" w:type="pct"/>
            <w:shd w:val="clear" w:color="auto" w:fill="auto"/>
            <w:noWrap/>
            <w:vAlign w:val="center"/>
          </w:tcPr>
          <w:p w14:paraId="14F52636">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323A5F08">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3B5345DE">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912" w:type="pct"/>
            <w:shd w:val="clear" w:color="auto" w:fill="auto"/>
            <w:noWrap/>
            <w:vAlign w:val="center"/>
          </w:tcPr>
          <w:p w14:paraId="5F957B50">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项目部及钢筋加工棚</w:t>
            </w:r>
          </w:p>
        </w:tc>
      </w:tr>
      <w:tr w14:paraId="3503F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266" w:type="pct"/>
            <w:shd w:val="clear" w:color="auto" w:fill="auto"/>
            <w:vAlign w:val="center"/>
          </w:tcPr>
          <w:p w14:paraId="33A38252">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79</w:t>
            </w:r>
          </w:p>
        </w:tc>
        <w:tc>
          <w:tcPr>
            <w:tcW w:w="538" w:type="pct"/>
            <w:shd w:val="clear" w:color="auto" w:fill="auto"/>
            <w:vAlign w:val="center"/>
          </w:tcPr>
          <w:p w14:paraId="3E4436BD">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拌合站铜牌</w:t>
            </w:r>
          </w:p>
        </w:tc>
        <w:tc>
          <w:tcPr>
            <w:tcW w:w="655" w:type="pct"/>
            <w:shd w:val="clear" w:color="auto" w:fill="auto"/>
            <w:vAlign w:val="center"/>
          </w:tcPr>
          <w:p w14:paraId="2B7DC1C5">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2.4m*0.5m</w:t>
            </w:r>
          </w:p>
        </w:tc>
        <w:tc>
          <w:tcPr>
            <w:tcW w:w="441" w:type="pct"/>
            <w:shd w:val="clear" w:color="auto" w:fill="auto"/>
            <w:noWrap/>
            <w:vAlign w:val="center"/>
          </w:tcPr>
          <w:p w14:paraId="2E924331">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套</w:t>
            </w:r>
          </w:p>
        </w:tc>
        <w:tc>
          <w:tcPr>
            <w:tcW w:w="434" w:type="pct"/>
            <w:shd w:val="clear" w:color="auto" w:fill="auto"/>
            <w:vAlign w:val="center"/>
          </w:tcPr>
          <w:p w14:paraId="672F2477">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25</w:t>
            </w:r>
          </w:p>
        </w:tc>
        <w:tc>
          <w:tcPr>
            <w:tcW w:w="327" w:type="pct"/>
            <w:shd w:val="clear" w:color="auto" w:fill="auto"/>
            <w:noWrap/>
            <w:vAlign w:val="center"/>
          </w:tcPr>
          <w:p w14:paraId="725F8161">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591EBE8F">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11" w:type="pct"/>
            <w:shd w:val="clear" w:color="auto" w:fill="auto"/>
            <w:noWrap/>
            <w:vAlign w:val="center"/>
          </w:tcPr>
          <w:p w14:paraId="45716D9C">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3001E0FD">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079CFC29">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912" w:type="pct"/>
            <w:shd w:val="clear" w:color="auto" w:fill="auto"/>
            <w:noWrap/>
            <w:vAlign w:val="center"/>
          </w:tcPr>
          <w:p w14:paraId="0A1CA292">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拌合站</w:t>
            </w:r>
          </w:p>
        </w:tc>
      </w:tr>
      <w:tr w14:paraId="72B05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266" w:type="pct"/>
            <w:shd w:val="clear" w:color="auto" w:fill="auto"/>
            <w:vAlign w:val="center"/>
          </w:tcPr>
          <w:p w14:paraId="399AD0A0">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80</w:t>
            </w:r>
          </w:p>
        </w:tc>
        <w:tc>
          <w:tcPr>
            <w:tcW w:w="538" w:type="pct"/>
            <w:shd w:val="clear" w:color="auto" w:fill="auto"/>
            <w:vAlign w:val="center"/>
          </w:tcPr>
          <w:p w14:paraId="14E91B9C">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led显示屏</w:t>
            </w:r>
          </w:p>
        </w:tc>
        <w:tc>
          <w:tcPr>
            <w:tcW w:w="655" w:type="pct"/>
            <w:shd w:val="clear" w:color="auto" w:fill="auto"/>
            <w:vAlign w:val="center"/>
          </w:tcPr>
          <w:p w14:paraId="773CC548">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3m*0.8m</w:t>
            </w:r>
          </w:p>
        </w:tc>
        <w:tc>
          <w:tcPr>
            <w:tcW w:w="441" w:type="pct"/>
            <w:shd w:val="clear" w:color="auto" w:fill="auto"/>
            <w:noWrap/>
            <w:vAlign w:val="center"/>
          </w:tcPr>
          <w:p w14:paraId="54FF8584">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平方米</w:t>
            </w:r>
          </w:p>
        </w:tc>
        <w:tc>
          <w:tcPr>
            <w:tcW w:w="434" w:type="pct"/>
            <w:shd w:val="clear" w:color="auto" w:fill="auto"/>
            <w:vAlign w:val="center"/>
          </w:tcPr>
          <w:p w14:paraId="0B18ACC5">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2.4</w:t>
            </w:r>
          </w:p>
        </w:tc>
        <w:tc>
          <w:tcPr>
            <w:tcW w:w="327" w:type="pct"/>
            <w:shd w:val="clear" w:color="auto" w:fill="auto"/>
            <w:noWrap/>
            <w:vAlign w:val="center"/>
          </w:tcPr>
          <w:p w14:paraId="435DFCC3">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2771D475">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11" w:type="pct"/>
            <w:shd w:val="clear" w:color="auto" w:fill="auto"/>
            <w:noWrap/>
            <w:vAlign w:val="center"/>
          </w:tcPr>
          <w:p w14:paraId="529918EB">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19ED79F7">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0CCDCBF9">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912" w:type="pct"/>
            <w:shd w:val="clear" w:color="auto" w:fill="auto"/>
            <w:noWrap/>
            <w:vAlign w:val="center"/>
          </w:tcPr>
          <w:p w14:paraId="216FC76F">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显示屏制作+安装</w:t>
            </w:r>
          </w:p>
        </w:tc>
      </w:tr>
      <w:tr w14:paraId="0A8B8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266" w:type="pct"/>
            <w:shd w:val="clear" w:color="auto" w:fill="auto"/>
            <w:vAlign w:val="center"/>
          </w:tcPr>
          <w:p w14:paraId="2330CB35">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81</w:t>
            </w:r>
          </w:p>
        </w:tc>
        <w:tc>
          <w:tcPr>
            <w:tcW w:w="538" w:type="pct"/>
            <w:shd w:val="clear" w:color="auto" w:fill="auto"/>
            <w:vAlign w:val="center"/>
          </w:tcPr>
          <w:p w14:paraId="56B9822D">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形象墙亚克力版</w:t>
            </w:r>
          </w:p>
        </w:tc>
        <w:tc>
          <w:tcPr>
            <w:tcW w:w="655" w:type="pct"/>
            <w:shd w:val="clear" w:color="auto" w:fill="auto"/>
            <w:vAlign w:val="center"/>
          </w:tcPr>
          <w:p w14:paraId="6D32083D">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1.2m*2m</w:t>
            </w:r>
          </w:p>
        </w:tc>
        <w:tc>
          <w:tcPr>
            <w:tcW w:w="441" w:type="pct"/>
            <w:shd w:val="clear" w:color="auto" w:fill="auto"/>
            <w:noWrap/>
            <w:vAlign w:val="center"/>
          </w:tcPr>
          <w:p w14:paraId="5E053E46">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套</w:t>
            </w:r>
          </w:p>
        </w:tc>
        <w:tc>
          <w:tcPr>
            <w:tcW w:w="434" w:type="pct"/>
            <w:shd w:val="clear" w:color="auto" w:fill="auto"/>
            <w:vAlign w:val="center"/>
          </w:tcPr>
          <w:p w14:paraId="3C929BC1">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1</w:t>
            </w:r>
          </w:p>
        </w:tc>
        <w:tc>
          <w:tcPr>
            <w:tcW w:w="327" w:type="pct"/>
            <w:shd w:val="clear" w:color="auto" w:fill="auto"/>
            <w:noWrap/>
            <w:vAlign w:val="center"/>
          </w:tcPr>
          <w:p w14:paraId="78D7E85E">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57D20D67">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11" w:type="pct"/>
            <w:shd w:val="clear" w:color="auto" w:fill="auto"/>
            <w:noWrap/>
            <w:vAlign w:val="center"/>
          </w:tcPr>
          <w:p w14:paraId="41E8390E">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5385983E">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2E9BDB92">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912" w:type="pct"/>
            <w:shd w:val="clear" w:color="auto" w:fill="auto"/>
            <w:noWrap/>
            <w:vAlign w:val="center"/>
          </w:tcPr>
          <w:p w14:paraId="1A26A6EE">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1公分亚克力+面板+安装</w:t>
            </w:r>
          </w:p>
        </w:tc>
      </w:tr>
      <w:tr w14:paraId="77297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266" w:type="pct"/>
            <w:shd w:val="clear" w:color="auto" w:fill="auto"/>
            <w:vAlign w:val="center"/>
          </w:tcPr>
          <w:p w14:paraId="3FD2679A">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82</w:t>
            </w:r>
          </w:p>
        </w:tc>
        <w:tc>
          <w:tcPr>
            <w:tcW w:w="538" w:type="pct"/>
            <w:shd w:val="clear" w:color="auto" w:fill="auto"/>
            <w:vAlign w:val="center"/>
          </w:tcPr>
          <w:p w14:paraId="0CFD8E85">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员工食堂钢架牌子</w:t>
            </w:r>
          </w:p>
        </w:tc>
        <w:tc>
          <w:tcPr>
            <w:tcW w:w="655" w:type="pct"/>
            <w:shd w:val="clear" w:color="auto" w:fill="auto"/>
            <w:vAlign w:val="center"/>
          </w:tcPr>
          <w:p w14:paraId="07CEEFBC">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0.65m*1.8m</w:t>
            </w:r>
          </w:p>
        </w:tc>
        <w:tc>
          <w:tcPr>
            <w:tcW w:w="441" w:type="pct"/>
            <w:shd w:val="clear" w:color="auto" w:fill="auto"/>
            <w:noWrap/>
            <w:vAlign w:val="center"/>
          </w:tcPr>
          <w:p w14:paraId="60C8B1C4">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套</w:t>
            </w:r>
          </w:p>
        </w:tc>
        <w:tc>
          <w:tcPr>
            <w:tcW w:w="434" w:type="pct"/>
            <w:shd w:val="clear" w:color="auto" w:fill="auto"/>
            <w:vAlign w:val="center"/>
          </w:tcPr>
          <w:p w14:paraId="6DD88494">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10</w:t>
            </w:r>
          </w:p>
        </w:tc>
        <w:tc>
          <w:tcPr>
            <w:tcW w:w="327" w:type="pct"/>
            <w:shd w:val="clear" w:color="auto" w:fill="auto"/>
            <w:noWrap/>
            <w:vAlign w:val="center"/>
          </w:tcPr>
          <w:p w14:paraId="6CB980B5">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13851EF0">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11" w:type="pct"/>
            <w:shd w:val="clear" w:color="auto" w:fill="auto"/>
            <w:noWrap/>
            <w:vAlign w:val="center"/>
          </w:tcPr>
          <w:p w14:paraId="041136F6">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25C534B1">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02ABA2D9">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912" w:type="pct"/>
            <w:shd w:val="clear" w:color="auto" w:fill="auto"/>
            <w:noWrap/>
            <w:vAlign w:val="center"/>
          </w:tcPr>
          <w:p w14:paraId="7F234817">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钢架+黑白布+安装</w:t>
            </w:r>
          </w:p>
        </w:tc>
      </w:tr>
      <w:tr w14:paraId="0050A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266" w:type="pct"/>
            <w:shd w:val="clear" w:color="auto" w:fill="auto"/>
            <w:vAlign w:val="center"/>
          </w:tcPr>
          <w:p w14:paraId="7F6F84B3">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合计</w:t>
            </w:r>
          </w:p>
        </w:tc>
        <w:tc>
          <w:tcPr>
            <w:tcW w:w="538" w:type="pct"/>
            <w:shd w:val="clear" w:color="auto" w:fill="auto"/>
            <w:vAlign w:val="center"/>
          </w:tcPr>
          <w:p w14:paraId="70E6E598">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p>
        </w:tc>
        <w:tc>
          <w:tcPr>
            <w:tcW w:w="655" w:type="pct"/>
            <w:shd w:val="clear" w:color="auto" w:fill="auto"/>
            <w:vAlign w:val="center"/>
          </w:tcPr>
          <w:p w14:paraId="20CFEF8E">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p>
        </w:tc>
        <w:tc>
          <w:tcPr>
            <w:tcW w:w="441" w:type="pct"/>
            <w:shd w:val="clear" w:color="auto" w:fill="auto"/>
            <w:noWrap/>
            <w:vAlign w:val="center"/>
          </w:tcPr>
          <w:p w14:paraId="46A3302F">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p>
        </w:tc>
        <w:tc>
          <w:tcPr>
            <w:tcW w:w="434" w:type="pct"/>
            <w:shd w:val="clear" w:color="auto" w:fill="auto"/>
            <w:vAlign w:val="center"/>
          </w:tcPr>
          <w:p w14:paraId="4FDFA877">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2057.2</w:t>
            </w:r>
          </w:p>
        </w:tc>
        <w:tc>
          <w:tcPr>
            <w:tcW w:w="327" w:type="pct"/>
            <w:shd w:val="clear" w:color="auto" w:fill="auto"/>
            <w:noWrap/>
            <w:vAlign w:val="center"/>
          </w:tcPr>
          <w:p w14:paraId="4B9150EC">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27731443">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11" w:type="pct"/>
            <w:shd w:val="clear" w:color="auto" w:fill="auto"/>
            <w:noWrap/>
            <w:vAlign w:val="center"/>
          </w:tcPr>
          <w:p w14:paraId="1A2F7836">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71C7F8A0">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03" w:type="pct"/>
            <w:shd w:val="clear" w:color="auto" w:fill="auto"/>
            <w:noWrap/>
            <w:vAlign w:val="center"/>
          </w:tcPr>
          <w:p w14:paraId="4D6BA81E">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912" w:type="pct"/>
            <w:shd w:val="clear" w:color="auto" w:fill="auto"/>
            <w:noWrap/>
            <w:vAlign w:val="center"/>
          </w:tcPr>
          <w:p w14:paraId="4979D9D6">
            <w:pPr>
              <w:keepNext w:val="0"/>
              <w:keepLines w:val="0"/>
              <w:pageBreakBefore w:val="0"/>
              <w:widowControl/>
              <w:kinsoku/>
              <w:wordWrap/>
              <w:overflowPunct/>
              <w:topLinePunct w:val="0"/>
              <w:autoSpaceDE/>
              <w:autoSpaceDN/>
              <w:bidi w:val="0"/>
              <w:adjustRightInd/>
              <w:snapToGrid w:val="0"/>
              <w:spacing w:line="24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r>
      <w:tr w14:paraId="26612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5000" w:type="pct"/>
            <w:gridSpan w:val="11"/>
            <w:shd w:val="clear" w:color="auto" w:fill="auto"/>
            <w:vAlign w:val="center"/>
          </w:tcPr>
          <w:p w14:paraId="26A6B8C0">
            <w:pPr>
              <w:widowControl/>
              <w:jc w:val="left"/>
              <w:rPr>
                <w:rFonts w:ascii="仿宋_GB2312" w:hAnsi="仿宋_GB2312" w:eastAsia="仿宋_GB2312" w:cs="仿宋_GB2312"/>
                <w:color w:val="000000" w:themeColor="text1"/>
                <w:sz w:val="18"/>
                <w:szCs w:val="18"/>
                <w:highlight w:val="none"/>
                <w14:textFill>
                  <w14:solidFill>
                    <w14:schemeClr w14:val="tx1"/>
                  </w14:solidFill>
                </w14:textFill>
              </w:rPr>
            </w:pPr>
            <w:r>
              <w:rPr>
                <w:rFonts w:hint="eastAsia" w:ascii="仿宋_GB2312" w:hAnsi="宋体" w:eastAsia="仿宋_GB2312"/>
                <w:b/>
                <w:bCs/>
                <w:color w:val="000000" w:themeColor="text1"/>
                <w:sz w:val="18"/>
                <w:szCs w:val="18"/>
                <w:highlight w:val="none"/>
                <w14:textFill>
                  <w14:solidFill>
                    <w14:schemeClr w14:val="tx1"/>
                  </w14:solidFill>
                </w14:textFill>
              </w:rPr>
              <w:t>不含增值税总价（暂定）</w:t>
            </w:r>
            <w:r>
              <w:rPr>
                <w:rFonts w:hint="eastAsia" w:ascii="仿宋_GB2312" w:hAnsi="宋体" w:eastAsia="仿宋_GB2312"/>
                <w:color w:val="000000" w:themeColor="text1"/>
                <w:sz w:val="18"/>
                <w:szCs w:val="18"/>
                <w:highlight w:val="none"/>
                <w14:textFill>
                  <w14:solidFill>
                    <w14:schemeClr w14:val="tx1"/>
                  </w14:solidFill>
                </w14:textFill>
              </w:rPr>
              <w:t>：人民币</w:t>
            </w:r>
            <w:r>
              <w:rPr>
                <w:rFonts w:hint="eastAsia" w:ascii="仿宋_GB2312" w:hAnsi="仿宋_GB2312" w:eastAsia="仿宋_GB2312" w:cs="仿宋_GB2312"/>
                <w:color w:val="000000" w:themeColor="text1"/>
                <w:sz w:val="18"/>
                <w:szCs w:val="18"/>
                <w:highlight w:val="none"/>
                <w:u w:val="single"/>
                <w14:textFill>
                  <w14:solidFill>
                    <w14:schemeClr w14:val="tx1"/>
                  </w14:solidFill>
                </w14:textFill>
              </w:rPr>
              <w:t xml:space="preserve"> </w:t>
            </w:r>
            <w:r>
              <w:rPr>
                <w:rFonts w:ascii="仿宋_GB2312" w:hAnsi="仿宋_GB2312" w:eastAsia="仿宋_GB2312" w:cs="仿宋_GB2312"/>
                <w:color w:val="000000" w:themeColor="text1"/>
                <w:sz w:val="18"/>
                <w:szCs w:val="18"/>
                <w:highlight w:val="none"/>
                <w:u w:val="single"/>
                <w14:textFill>
                  <w14:solidFill>
                    <w14:schemeClr w14:val="tx1"/>
                  </w14:solidFill>
                </w14:textFill>
              </w:rPr>
              <w:t xml:space="preserve">    </w:t>
            </w:r>
            <w:r>
              <w:rPr>
                <w:rFonts w:hint="eastAsia" w:ascii="仿宋_GB2312" w:hAnsi="宋体" w:eastAsia="仿宋_GB2312"/>
                <w:color w:val="000000" w:themeColor="text1"/>
                <w:sz w:val="18"/>
                <w:szCs w:val="18"/>
                <w:highlight w:val="none"/>
                <w14:textFill>
                  <w14:solidFill>
                    <w14:schemeClr w14:val="tx1"/>
                  </w14:solidFill>
                </w14:textFill>
              </w:rPr>
              <w:t>元（大写：</w:t>
            </w:r>
            <w:r>
              <w:rPr>
                <w:rFonts w:hint="eastAsia" w:ascii="仿宋_GB2312" w:hAnsi="仿宋_GB2312" w:eastAsia="仿宋_GB2312" w:cs="仿宋_GB2312"/>
                <w:color w:val="000000" w:themeColor="text1"/>
                <w:sz w:val="18"/>
                <w:szCs w:val="18"/>
                <w:highlight w:val="none"/>
                <w:u w:val="single"/>
                <w14:textFill>
                  <w14:solidFill>
                    <w14:schemeClr w14:val="tx1"/>
                  </w14:solidFill>
                </w14:textFill>
              </w:rPr>
              <w:t xml:space="preserve"> </w:t>
            </w:r>
            <w:r>
              <w:rPr>
                <w:rFonts w:ascii="仿宋_GB2312" w:hAnsi="仿宋_GB2312" w:eastAsia="仿宋_GB2312" w:cs="仿宋_GB2312"/>
                <w:color w:val="000000" w:themeColor="text1"/>
                <w:sz w:val="18"/>
                <w:szCs w:val="18"/>
                <w:highlight w:val="none"/>
                <w:u w:val="single"/>
                <w14:textFill>
                  <w14:solidFill>
                    <w14:schemeClr w14:val="tx1"/>
                  </w14:solidFill>
                </w14:textFill>
              </w:rPr>
              <w:t xml:space="preserve">   </w:t>
            </w:r>
            <w:r>
              <w:rPr>
                <w:rFonts w:hint="eastAsia" w:ascii="仿宋_GB2312" w:hAnsi="仿宋_GB2312" w:eastAsia="仿宋_GB2312" w:cs="仿宋_GB2312"/>
                <w:color w:val="000000" w:themeColor="text1"/>
                <w:sz w:val="18"/>
                <w:szCs w:val="18"/>
                <w:highlight w:val="none"/>
                <w:u w:val="single"/>
                <w14:textFill>
                  <w14:solidFill>
                    <w14:schemeClr w14:val="tx1"/>
                  </w14:solidFill>
                </w14:textFill>
              </w:rPr>
              <w:t xml:space="preserve"> </w:t>
            </w:r>
            <w:r>
              <w:rPr>
                <w:rFonts w:hint="eastAsia" w:ascii="仿宋_GB2312" w:hAnsi="宋体" w:eastAsia="仿宋_GB2312"/>
                <w:color w:val="000000" w:themeColor="text1"/>
                <w:sz w:val="18"/>
                <w:szCs w:val="18"/>
                <w:highlight w:val="none"/>
                <w14:textFill>
                  <w14:solidFill>
                    <w14:schemeClr w14:val="tx1"/>
                  </w14:solidFill>
                </w14:textFill>
              </w:rPr>
              <w:t>元 ）；</w:t>
            </w:r>
          </w:p>
        </w:tc>
      </w:tr>
      <w:tr w14:paraId="38CA1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5000" w:type="pct"/>
            <w:gridSpan w:val="11"/>
            <w:shd w:val="clear" w:color="auto" w:fill="auto"/>
            <w:vAlign w:val="center"/>
          </w:tcPr>
          <w:p w14:paraId="6E37E7C7">
            <w:pPr>
              <w:widowControl/>
              <w:jc w:val="left"/>
              <w:rPr>
                <w:rFonts w:ascii="仿宋_GB2312" w:hAnsi="仿宋_GB2312" w:eastAsia="仿宋_GB2312" w:cs="仿宋_GB2312"/>
                <w:color w:val="000000" w:themeColor="text1"/>
                <w:sz w:val="18"/>
                <w:szCs w:val="18"/>
                <w:highlight w:val="none"/>
                <w14:textFill>
                  <w14:solidFill>
                    <w14:schemeClr w14:val="tx1"/>
                  </w14:solidFill>
                </w14:textFill>
              </w:rPr>
            </w:pPr>
            <w:r>
              <w:rPr>
                <w:rFonts w:hint="eastAsia" w:ascii="仿宋_GB2312" w:hAnsi="宋体" w:eastAsia="仿宋_GB2312"/>
                <w:b/>
                <w:bCs/>
                <w:color w:val="000000" w:themeColor="text1"/>
                <w:sz w:val="18"/>
                <w:szCs w:val="18"/>
                <w:highlight w:val="none"/>
                <w14:textFill>
                  <w14:solidFill>
                    <w14:schemeClr w14:val="tx1"/>
                  </w14:solidFill>
                </w14:textFill>
              </w:rPr>
              <w:t>含增值税总价（暂定）</w:t>
            </w:r>
            <w:r>
              <w:rPr>
                <w:rFonts w:hint="eastAsia" w:ascii="仿宋_GB2312" w:hAnsi="宋体" w:eastAsia="仿宋_GB2312"/>
                <w:color w:val="000000" w:themeColor="text1"/>
                <w:sz w:val="18"/>
                <w:szCs w:val="18"/>
                <w:highlight w:val="none"/>
                <w14:textFill>
                  <w14:solidFill>
                    <w14:schemeClr w14:val="tx1"/>
                  </w14:solidFill>
                </w14:textFill>
              </w:rPr>
              <w:t>：</w:t>
            </w:r>
            <w:r>
              <w:rPr>
                <w:rFonts w:hint="eastAsia" w:ascii="仿宋_GB2312" w:hAnsi="仿宋_GB2312" w:eastAsia="仿宋_GB2312" w:cs="仿宋_GB2312"/>
                <w:color w:val="000000" w:themeColor="text1"/>
                <w:sz w:val="18"/>
                <w:szCs w:val="18"/>
                <w:highlight w:val="none"/>
                <w14:textFill>
                  <w14:solidFill>
                    <w14:schemeClr w14:val="tx1"/>
                  </w14:solidFill>
                </w14:textFill>
              </w:rPr>
              <w:t>不含增值税暂定总价*（1+增值税税率）=</w:t>
            </w:r>
            <w:r>
              <w:rPr>
                <w:rFonts w:hint="eastAsia" w:ascii="仿宋_GB2312" w:hAnsi="仿宋_GB2312" w:eastAsia="仿宋_GB2312" w:cs="仿宋_GB2312"/>
                <w:color w:val="000000" w:themeColor="text1"/>
                <w:sz w:val="18"/>
                <w:szCs w:val="18"/>
                <w:highlight w:val="none"/>
                <w:u w:val="single"/>
                <w14:textFill>
                  <w14:solidFill>
                    <w14:schemeClr w14:val="tx1"/>
                  </w14:solidFill>
                </w14:textFill>
              </w:rPr>
              <w:t xml:space="preserve">   </w:t>
            </w:r>
            <w:r>
              <w:rPr>
                <w:rFonts w:hint="eastAsia" w:ascii="仿宋_GB2312" w:hAnsi="仿宋_GB2312" w:eastAsia="仿宋_GB2312" w:cs="仿宋_GB2312"/>
                <w:color w:val="000000" w:themeColor="text1"/>
                <w:sz w:val="18"/>
                <w:szCs w:val="18"/>
                <w:highlight w:val="none"/>
                <w14:textFill>
                  <w14:solidFill>
                    <w14:schemeClr w14:val="tx1"/>
                  </w14:solidFill>
                </w14:textFill>
              </w:rPr>
              <w:t>元（大写：</w:t>
            </w:r>
            <w:r>
              <w:rPr>
                <w:rFonts w:hint="eastAsia" w:ascii="仿宋_GB2312" w:hAnsi="仿宋_GB2312" w:eastAsia="仿宋_GB2312" w:cs="仿宋_GB2312"/>
                <w:color w:val="000000" w:themeColor="text1"/>
                <w:sz w:val="18"/>
                <w:szCs w:val="18"/>
                <w:highlight w:val="none"/>
                <w:u w:val="single"/>
                <w14:textFill>
                  <w14:solidFill>
                    <w14:schemeClr w14:val="tx1"/>
                  </w14:solidFill>
                </w14:textFill>
              </w:rPr>
              <w:t xml:space="preserve">            </w:t>
            </w:r>
            <w:r>
              <w:rPr>
                <w:rFonts w:hint="eastAsia" w:ascii="仿宋_GB2312" w:hAnsi="仿宋_GB2312" w:eastAsia="仿宋_GB2312" w:cs="仿宋_GB2312"/>
                <w:color w:val="000000" w:themeColor="text1"/>
                <w:sz w:val="18"/>
                <w:szCs w:val="18"/>
                <w:highlight w:val="none"/>
                <w14:textFill>
                  <w14:solidFill>
                    <w14:schemeClr w14:val="tx1"/>
                  </w14:solidFill>
                </w14:textFill>
              </w:rPr>
              <w:t>元）</w:t>
            </w:r>
          </w:p>
        </w:tc>
      </w:tr>
      <w:permEnd w:id="9"/>
    </w:tbl>
    <w:p w14:paraId="748A5529">
      <w:pPr>
        <w:pStyle w:val="12"/>
        <w:spacing w:line="400" w:lineRule="atLeast"/>
        <w:ind w:left="479" w:leftChars="228"/>
        <w:rPr>
          <w:rFonts w:hint="eastAsia"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说明：</w:t>
      </w:r>
    </w:p>
    <w:p w14:paraId="4C42371A">
      <w:pPr>
        <w:pStyle w:val="12"/>
        <w:numPr>
          <w:ilvl w:val="0"/>
          <w:numId w:val="2"/>
        </w:numPr>
        <w:spacing w:line="400" w:lineRule="atLeast"/>
        <w:ind w:firstLine="482" w:firstLineChars="200"/>
        <w:rPr>
          <w:rFonts w:hint="eastAsia" w:ascii="仿宋_GB2312" w:hAnsi="仿宋_GB2312" w:eastAsia="仿宋_GB2312" w:cs="仿宋_GB2312"/>
          <w:color w:val="000000" w:themeColor="text1"/>
          <w:highlight w:val="yellow"/>
          <w14:textFill>
            <w14:solidFill>
              <w14:schemeClr w14:val="tx1"/>
            </w14:solidFill>
          </w14:textFill>
        </w:rPr>
      </w:pPr>
      <w:r>
        <w:rPr>
          <w:rFonts w:hint="eastAsia" w:ascii="仿宋_GB2312" w:hAnsi="仿宋_GB2312" w:eastAsia="仿宋_GB2312" w:cs="仿宋_GB2312"/>
          <w:b/>
          <w:bCs/>
          <w:color w:val="000000" w:themeColor="text1"/>
          <w:highlight w:val="yellow"/>
          <w14:textFill>
            <w14:solidFill>
              <w14:schemeClr w14:val="tx1"/>
            </w14:solidFill>
          </w14:textFill>
        </w:rPr>
        <w:t>合同单价：</w:t>
      </w:r>
      <w:r>
        <w:rPr>
          <w:rFonts w:hint="eastAsia" w:ascii="仿宋_GB2312" w:hAnsi="仿宋_GB2312" w:eastAsia="仿宋_GB2312" w:cs="仿宋_GB2312"/>
          <w:color w:val="000000" w:themeColor="text1"/>
          <w:highlight w:val="yellow"/>
          <w14:textFill>
            <w14:solidFill>
              <w14:schemeClr w14:val="tx1"/>
            </w14:solidFill>
          </w14:textFill>
        </w:rPr>
        <w:t>本合同综合单价适用第</w:t>
      </w:r>
      <w:permStart w:id="10" w:edGrp="everyone"/>
      <w:r>
        <w:rPr>
          <w:rFonts w:hint="eastAsia" w:ascii="仿宋_GB2312" w:hAnsi="仿宋_GB2312" w:eastAsia="仿宋_GB2312" w:cs="仿宋_GB2312"/>
          <w:color w:val="000000" w:themeColor="text1"/>
          <w:highlight w:val="yellow"/>
          <w:u w:val="single"/>
          <w14:textFill>
            <w14:solidFill>
              <w14:schemeClr w14:val="tx1"/>
            </w14:solidFill>
          </w14:textFill>
        </w:rPr>
        <w:t xml:space="preserve">   1.1  </w:t>
      </w:r>
      <w:permEnd w:id="10"/>
      <w:r>
        <w:rPr>
          <w:rFonts w:hint="eastAsia" w:ascii="仿宋_GB2312" w:hAnsi="仿宋_GB2312" w:eastAsia="仿宋_GB2312" w:cs="仿宋_GB2312"/>
          <w:color w:val="000000" w:themeColor="text1"/>
          <w:highlight w:val="yellow"/>
          <w14:textFill>
            <w14:solidFill>
              <w14:schemeClr w14:val="tx1"/>
            </w14:solidFill>
          </w14:textFill>
        </w:rPr>
        <w:t>条</w:t>
      </w:r>
    </w:p>
    <w:p w14:paraId="7B9BC213">
      <w:pPr>
        <w:pStyle w:val="12"/>
        <w:numPr>
          <w:ilvl w:val="255"/>
          <w:numId w:val="0"/>
        </w:numPr>
        <w:spacing w:line="400" w:lineRule="atLeast"/>
        <w:ind w:firstLine="482" w:firstLineChars="200"/>
        <w:outlineLvl w:val="2"/>
        <w:rPr>
          <w:rFonts w:hint="eastAsia" w:ascii="仿宋_GB2312" w:hAnsi="仿宋_GB2312" w:eastAsia="仿宋_GB2312" w:cs="仿宋_GB2312"/>
          <w:b/>
          <w:bCs/>
          <w:color w:val="000000" w:themeColor="text1"/>
          <w:highlight w:val="none"/>
          <w:u w:val="singl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1.</w:t>
      </w:r>
      <w:r>
        <w:rPr>
          <w:rFonts w:hint="eastAsia" w:ascii="仿宋_GB2312" w:hAnsi="仿宋_GB2312" w:eastAsia="仿宋_GB2312" w:cs="仿宋_GB2312"/>
          <w:b/>
          <w:bCs/>
          <w:color w:val="000000" w:themeColor="text1"/>
          <w:highlight w:val="none"/>
          <w:lang w:val="en-US" w:eastAsia="zh-CN"/>
          <w14:textFill>
            <w14:solidFill>
              <w14:schemeClr w14:val="tx1"/>
            </w14:solidFill>
          </w14:textFill>
        </w:rPr>
        <w:t>1</w:t>
      </w:r>
      <w:r>
        <w:rPr>
          <w:rFonts w:hint="eastAsia" w:ascii="仿宋_GB2312" w:hAnsi="仿宋_GB2312" w:eastAsia="仿宋_GB2312" w:cs="仿宋_GB2312"/>
          <w:b/>
          <w:bCs/>
          <w:color w:val="000000" w:themeColor="text1"/>
          <w:highlight w:val="none"/>
          <w14:textFill>
            <w14:solidFill>
              <w14:schemeClr w14:val="tx1"/>
            </w14:solidFill>
          </w14:textFill>
        </w:rPr>
        <w:t>本合同为</w:t>
      </w:r>
      <w:r>
        <w:rPr>
          <w:rFonts w:hint="eastAsia" w:ascii="仿宋_GB2312" w:hAnsi="仿宋_GB2312" w:eastAsia="仿宋_GB2312" w:cs="仿宋_GB2312"/>
          <w:b/>
          <w:bCs/>
          <w:color w:val="000000" w:themeColor="text1"/>
          <w:highlight w:val="none"/>
          <w:lang w:eastAsia="zh-Hans"/>
          <w14:textFill>
            <w14:solidFill>
              <w14:schemeClr w14:val="tx1"/>
            </w14:solidFill>
          </w14:textFill>
        </w:rPr>
        <w:t>固定</w:t>
      </w:r>
      <w:r>
        <w:rPr>
          <w:rFonts w:hint="eastAsia" w:ascii="仿宋_GB2312" w:hAnsi="仿宋_GB2312" w:eastAsia="仿宋_GB2312" w:cs="仿宋_GB2312"/>
          <w:b/>
          <w:bCs/>
          <w:color w:val="000000" w:themeColor="text1"/>
          <w:highlight w:val="none"/>
          <w14:textFill>
            <w14:solidFill>
              <w14:schemeClr w14:val="tx1"/>
            </w14:solidFill>
          </w14:textFill>
        </w:rPr>
        <w:t>单价合同；</w:t>
      </w:r>
      <w:r>
        <w:rPr>
          <w:rFonts w:hint="eastAsia" w:ascii="仿宋_GB2312" w:hAnsi="仿宋_GB2312" w:eastAsia="仿宋_GB2312" w:cs="仿宋_GB2312"/>
          <w:b/>
          <w:bCs/>
          <w:color w:val="000000" w:themeColor="text1"/>
          <w:highlight w:val="none"/>
          <w:u w:val="single"/>
          <w14:textFill>
            <w14:solidFill>
              <w14:schemeClr w14:val="tx1"/>
            </w14:solidFill>
          </w14:textFill>
        </w:rPr>
        <w:t>不</w:t>
      </w:r>
      <w:bookmarkStart w:id="10" w:name="_Hlk127188815"/>
      <w:r>
        <w:rPr>
          <w:rFonts w:hint="eastAsia" w:ascii="仿宋_GB2312" w:hAnsi="仿宋_GB2312" w:eastAsia="仿宋_GB2312" w:cs="仿宋_GB2312"/>
          <w:b/>
          <w:bCs/>
          <w:color w:val="000000" w:themeColor="text1"/>
          <w:highlight w:val="none"/>
          <w:u w:val="single"/>
          <w14:textFill>
            <w14:solidFill>
              <w14:schemeClr w14:val="tx1"/>
            </w14:solidFill>
          </w14:textFill>
        </w:rPr>
        <w:t>含增值税综合单价为物资运至工地的单价包括</w:t>
      </w:r>
      <w:r>
        <w:rPr>
          <w:rFonts w:hint="eastAsia" w:ascii="仿宋_GB2312" w:hAnsi="仿宋_GB2312" w:eastAsia="仿宋_GB2312" w:cs="仿宋_GB2312"/>
          <w:b/>
          <w:bCs/>
          <w:color w:val="000000" w:themeColor="text1"/>
          <w:highlight w:val="none"/>
          <w:u w:val="single"/>
          <w:lang w:val="en-US" w:eastAsia="zh-CN"/>
          <w14:textFill>
            <w14:solidFill>
              <w14:schemeClr w14:val="tx1"/>
            </w14:solidFill>
          </w14:textFill>
        </w:rPr>
        <w:t>但不限于</w:t>
      </w:r>
      <w:r>
        <w:rPr>
          <w:rFonts w:hint="eastAsia" w:ascii="仿宋_GB2312" w:hAnsi="仿宋_GB2312" w:eastAsia="仿宋_GB2312" w:cs="仿宋_GB2312"/>
          <w:b/>
          <w:bCs/>
          <w:color w:val="000000" w:themeColor="text1"/>
          <w:highlight w:val="none"/>
          <w:u w:val="single"/>
          <w14:textFill>
            <w14:solidFill>
              <w14:schemeClr w14:val="tx1"/>
            </w14:solidFill>
          </w14:textFill>
        </w:rPr>
        <w:t>材料费（或设备费）、包装回收费、卸货前损耗费、安装指导费、调试费、测试费（如有）、卸货前保管费（如有）、税金、包装费、上车人力及机械资费（由乙方自行协调，甲方只进行指定场地和材料验收工作）、出库费、出厂检测费（包括但不限于到场后的第三方检测费用）</w:t>
      </w:r>
      <w:r>
        <w:rPr>
          <w:rFonts w:hint="eastAsia" w:ascii="仿宋_GB2312" w:hAnsi="仿宋_GB2312" w:eastAsia="仿宋_GB2312" w:cs="仿宋_GB2312"/>
          <w:b/>
          <w:bCs/>
          <w:color w:val="000000" w:themeColor="text1"/>
          <w:highlight w:val="none"/>
          <w:u w:val="single"/>
          <w:lang w:eastAsia="zh-CN"/>
          <w14:textFill>
            <w14:solidFill>
              <w14:schemeClr w14:val="tx1"/>
            </w14:solidFill>
          </w14:textFill>
        </w:rPr>
        <w:t>、码放费、保险费、</w:t>
      </w:r>
      <w:r>
        <w:rPr>
          <w:rFonts w:hint="eastAsia" w:ascii="仿宋_GB2312" w:hAnsi="仿宋_GB2312" w:eastAsia="仿宋_GB2312" w:cs="仿宋_GB2312"/>
          <w:b/>
          <w:bCs/>
          <w:color w:val="000000" w:themeColor="text1"/>
          <w:highlight w:val="none"/>
          <w:u w:val="single"/>
          <w:lang w:val="en-US" w:eastAsia="zh-CN"/>
          <w14:textFill>
            <w14:solidFill>
              <w14:schemeClr w14:val="tx1"/>
            </w14:solidFill>
          </w14:textFill>
        </w:rPr>
        <w:t>中转</w:t>
      </w:r>
      <w:r>
        <w:rPr>
          <w:rFonts w:hint="eastAsia" w:ascii="仿宋_GB2312" w:hAnsi="仿宋_GB2312" w:eastAsia="仿宋_GB2312" w:cs="仿宋_GB2312"/>
          <w:b/>
          <w:bCs/>
          <w:color w:val="000000" w:themeColor="text1"/>
          <w:highlight w:val="none"/>
          <w:u w:val="single"/>
          <w:lang w:eastAsia="zh-CN"/>
          <w14:textFill>
            <w14:solidFill>
              <w14:schemeClr w14:val="tx1"/>
            </w14:solidFill>
          </w14:textFill>
        </w:rPr>
        <w:t>仓储费、驻厂监造费、运输造成的道路污染的清理及维修费用、</w:t>
      </w:r>
      <w:r>
        <w:rPr>
          <w:rFonts w:hint="eastAsia" w:ascii="仿宋_GB2312" w:hAnsi="仿宋_GB2312" w:eastAsia="仿宋_GB2312" w:cs="仿宋_GB2312"/>
          <w:b/>
          <w:bCs/>
          <w:color w:val="000000" w:themeColor="text1"/>
          <w:highlight w:val="none"/>
          <w:u w:val="single"/>
          <w14:textFill>
            <w14:solidFill>
              <w14:schemeClr w14:val="tx1"/>
            </w14:solidFill>
          </w14:textFill>
        </w:rPr>
        <w:t>出库吊装费、运输费、过江过桥费、高速公路费等，含工地卸货挂钩卸车人工费</w:t>
      </w:r>
      <w:r>
        <w:rPr>
          <w:rFonts w:hint="eastAsia" w:ascii="仿宋_GB2312" w:hAnsi="仿宋_GB2312" w:eastAsia="仿宋_GB2312" w:cs="仿宋_GB2312"/>
          <w:b/>
          <w:bCs/>
          <w:color w:val="000000" w:themeColor="text1"/>
          <w:highlight w:val="none"/>
          <w:u w:val="single"/>
          <w:lang w:eastAsia="zh-CN"/>
          <w14:textFill>
            <w14:solidFill>
              <w14:schemeClr w14:val="tx1"/>
            </w14:solidFill>
          </w14:textFill>
        </w:rPr>
        <w:t>、</w:t>
      </w:r>
      <w:r>
        <w:rPr>
          <w:rFonts w:hint="eastAsia" w:ascii="仿宋_GB2312" w:hAnsi="仿宋_GB2312" w:eastAsia="仿宋_GB2312" w:cs="仿宋_GB2312"/>
          <w:b/>
          <w:bCs/>
          <w:color w:val="000000" w:themeColor="text1"/>
          <w:highlight w:val="none"/>
          <w:u w:val="single"/>
          <w:lang w:val="en-US" w:eastAsia="zh-CN"/>
          <w14:textFill>
            <w14:solidFill>
              <w14:schemeClr w14:val="tx1"/>
            </w14:solidFill>
          </w14:textFill>
        </w:rPr>
        <w:t>资料费、财务费、</w:t>
      </w:r>
      <w:r>
        <w:rPr>
          <w:rFonts w:hint="eastAsia" w:ascii="仿宋_GB2312" w:hAnsi="仿宋_GB2312" w:eastAsia="仿宋_GB2312" w:cs="仿宋_GB2312"/>
          <w:b/>
          <w:bCs/>
          <w:color w:val="000000" w:themeColor="text1"/>
          <w:highlight w:val="none"/>
          <w:u w:val="single"/>
          <w14:textFill>
            <w14:solidFill>
              <w14:schemeClr w14:val="tx1"/>
            </w14:solidFill>
          </w14:textFill>
        </w:rPr>
        <w:t>乙方合理的利润、管理费、市场价格波动带来的风险、向有关部门缴纳的各项费用以及政策性文件所规定的各项应有费用等乙方履行本合同规定义务的全部价款与费税</w:t>
      </w:r>
      <w:r>
        <w:rPr>
          <w:rFonts w:hint="eastAsia" w:ascii="仿宋_GB2312" w:hAnsi="仿宋_GB2312" w:eastAsia="仿宋_GB2312" w:cs="仿宋_GB2312"/>
          <w:b/>
          <w:bCs/>
          <w:color w:val="000000" w:themeColor="text1"/>
          <w:highlight w:val="none"/>
          <w:u w:val="single"/>
          <w:lang w:val="en-US" w:eastAsia="zh-CN"/>
          <w14:textFill>
            <w14:solidFill>
              <w14:schemeClr w14:val="tx1"/>
            </w14:solidFill>
          </w14:textFill>
        </w:rPr>
        <w:t>等一切费用</w:t>
      </w:r>
      <w:r>
        <w:rPr>
          <w:rFonts w:hint="eastAsia" w:ascii="仿宋_GB2312" w:hAnsi="仿宋_GB2312" w:eastAsia="仿宋_GB2312" w:cs="仿宋_GB2312"/>
          <w:b/>
          <w:bCs/>
          <w:color w:val="000000" w:themeColor="text1"/>
          <w:highlight w:val="none"/>
          <w:u w:val="single"/>
          <w14:textFill>
            <w14:solidFill>
              <w14:schemeClr w14:val="tx1"/>
            </w14:solidFill>
          </w14:textFill>
        </w:rPr>
        <w:t>乙方不得以任何理由向甲方另行索要其它费用，除本合同规定的因素外，不得因政府政策变动、市场环境改变、增值税以外其他税费税率调整等而调整。除合同条款另有约定外，乙方在合同签订前和签订时已确定采用的专利、专有技术、技术秘密的使用费已包含在签约合同价中。</w:t>
      </w:r>
      <w:r>
        <w:rPr>
          <w:rFonts w:hint="eastAsia" w:ascii="仿宋_GB2312" w:hAnsi="仿宋_GB2312" w:eastAsia="仿宋_GB2312" w:cs="仿宋_GB2312"/>
          <w:b/>
          <w:bCs/>
          <w:color w:val="000000" w:themeColor="text1"/>
          <w:highlight w:val="none"/>
          <w14:textFill>
            <w14:solidFill>
              <w14:schemeClr w14:val="tx1"/>
            </w14:solidFill>
          </w14:textFill>
        </w:rPr>
        <w:t>“</w:t>
      </w:r>
      <w:r>
        <w:rPr>
          <w:rFonts w:hint="eastAsia" w:ascii="仿宋_GB2312" w:hAnsi="仿宋_GB2312" w:eastAsia="仿宋_GB2312" w:cs="仿宋_GB2312"/>
          <w:b/>
          <w:bCs/>
          <w:color w:val="000000" w:themeColor="text1"/>
          <w:highlight w:val="none"/>
          <w:lang w:val="en-US" w:eastAsia="zh-CN"/>
          <w14:textFill>
            <w14:solidFill>
              <w14:schemeClr w14:val="tx1"/>
            </w14:solidFill>
          </w14:textFill>
        </w:rPr>
        <w:t>不含税</w:t>
      </w:r>
      <w:r>
        <w:rPr>
          <w:rFonts w:hint="eastAsia" w:ascii="仿宋_GB2312" w:hAnsi="仿宋_GB2312" w:eastAsia="仿宋_GB2312" w:cs="仿宋_GB2312"/>
          <w:b/>
          <w:bCs/>
          <w:color w:val="000000" w:themeColor="text1"/>
          <w:highlight w:val="none"/>
          <w14:textFill>
            <w14:solidFill>
              <w14:schemeClr w14:val="tx1"/>
            </w14:solidFill>
          </w14:textFill>
        </w:rPr>
        <w:t>综合单价”为固定单价，即不受市场变化影响，且无论进场数量多少价格亦不发生变化</w:t>
      </w:r>
      <w:r>
        <w:rPr>
          <w:rFonts w:hint="eastAsia" w:ascii="仿宋_GB2312" w:hAnsi="仿宋_GB2312" w:eastAsia="仿宋_GB2312" w:cs="仿宋_GB2312"/>
          <w:b/>
          <w:bCs/>
          <w:color w:val="000000" w:themeColor="text1"/>
          <w:highlight w:val="none"/>
          <w:lang w:eastAsia="zh-CN"/>
          <w14:textFill>
            <w14:solidFill>
              <w14:schemeClr w14:val="tx1"/>
            </w14:solidFill>
          </w14:textFill>
        </w:rPr>
        <w:t>。</w:t>
      </w:r>
    </w:p>
    <w:p w14:paraId="7809F5FA">
      <w:pPr>
        <w:pStyle w:val="12"/>
        <w:numPr>
          <w:ilvl w:val="0"/>
          <w:numId w:val="0"/>
        </w:numPr>
        <w:spacing w:before="120" w:beforeLines="50" w:after="120" w:afterLines="50" w:line="400" w:lineRule="atLeast"/>
        <w:ind w:firstLine="482" w:firstLineChars="200"/>
        <w:outlineLvl w:val="0"/>
        <w:rPr>
          <w:rFonts w:hint="default" w:ascii="仿宋_GB2312" w:hAnsi="仿宋_GB2312" w:eastAsia="仿宋_GB2312" w:cs="仿宋_GB2312"/>
          <w:b/>
          <w:bCs/>
          <w:color w:val="000000" w:themeColor="text1"/>
          <w:highlight w:val="none"/>
          <w:u w:val="single"/>
          <w:lang w:val="en-US" w:eastAsia="zh-CN"/>
          <w14:textFill>
            <w14:solidFill>
              <w14:schemeClr w14:val="tx1"/>
            </w14:solidFill>
          </w14:textFill>
        </w:rPr>
      </w:pPr>
      <w:r>
        <w:rPr>
          <w:rFonts w:hint="eastAsia" w:ascii="仿宋_GB2312" w:hAnsi="仿宋_GB2312" w:eastAsia="仿宋_GB2312" w:cs="仿宋_GB2312"/>
          <w:b/>
          <w:bCs/>
          <w:color w:val="000000" w:themeColor="text1"/>
          <w:highlight w:val="none"/>
          <w:lang w:val="en-US" w:eastAsia="zh-CN"/>
          <w14:textFill>
            <w14:solidFill>
              <w14:schemeClr w14:val="tx1"/>
            </w14:solidFill>
          </w14:textFill>
        </w:rPr>
        <w:t>1.2</w:t>
      </w:r>
      <w:r>
        <w:rPr>
          <w:rFonts w:hint="eastAsia" w:ascii="仿宋_GB2312" w:hAnsi="仿宋_GB2312" w:eastAsia="仿宋_GB2312" w:cs="仿宋_GB2312"/>
          <w:b/>
          <w:bCs/>
          <w:color w:val="000000" w:themeColor="text1"/>
          <w:kern w:val="0"/>
          <w:sz w:val="24"/>
          <w:szCs w:val="24"/>
          <w:highlight w:val="none"/>
          <w14:textFill>
            <w14:solidFill>
              <w14:schemeClr w14:val="tx1"/>
            </w14:solidFill>
          </w14:textFill>
        </w:rPr>
        <w:t>其他：</w:t>
      </w:r>
      <w:permStart w:id="11" w:edGrp="everyone"/>
      <w:r>
        <w:rPr>
          <w:rFonts w:hint="eastAsia" w:ascii="仿宋_GB2312" w:hAnsi="仿宋_GB2312" w:eastAsia="仿宋_GB2312" w:cs="仿宋_GB2312"/>
          <w:b/>
          <w:bCs/>
          <w:color w:val="000000" w:themeColor="text1"/>
          <w:kern w:val="0"/>
          <w:sz w:val="24"/>
          <w:szCs w:val="24"/>
          <w:highlight w:val="none"/>
          <w:u w:val="single"/>
          <w:lang w:val="en-US" w:eastAsia="zh-CN"/>
          <w14:textFill>
            <w14:solidFill>
              <w14:schemeClr w14:val="tx1"/>
            </w14:solidFill>
          </w14:textFill>
        </w:rPr>
        <w:t xml:space="preserve">                     /                              </w:t>
      </w:r>
      <w:permEnd w:id="11"/>
    </w:p>
    <w:p w14:paraId="4F20F2F5">
      <w:pPr>
        <w:pStyle w:val="12"/>
        <w:numPr>
          <w:ilvl w:val="0"/>
          <w:numId w:val="2"/>
        </w:numPr>
        <w:spacing w:line="400" w:lineRule="atLeast"/>
        <w:ind w:firstLine="482" w:firstLineChars="200"/>
        <w:rPr>
          <w:rFonts w:hint="eastAsia" w:ascii="仿宋_GB2312" w:hAnsi="仿宋_GB2312" w:eastAsia="仿宋_GB2312" w:cs="仿宋_GB2312"/>
          <w:b/>
          <w:bCs/>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lang w:val="en-US" w:eastAsia="zh-CN"/>
          <w14:textFill>
            <w14:solidFill>
              <w14:schemeClr w14:val="tx1"/>
            </w14:solidFill>
          </w14:textFill>
        </w:rPr>
        <w:t>乙方所供物资必须为</w:t>
      </w:r>
      <w:permStart w:id="12" w:edGrp="everyone"/>
      <w:r>
        <w:rPr>
          <w:rFonts w:hint="eastAsia" w:ascii="仿宋_GB2312" w:hAnsi="仿宋_GB2312" w:eastAsia="仿宋_GB2312" w:cs="仿宋_GB2312"/>
          <w:b/>
          <w:bCs/>
          <w:color w:val="000000" w:themeColor="text1"/>
          <w:highlight w:val="none"/>
          <w:u w:val="single"/>
          <w:lang w:val="en-US" w:eastAsia="zh-CN"/>
          <w14:textFill>
            <w14:solidFill>
              <w14:schemeClr w14:val="tx1"/>
            </w14:solidFill>
          </w14:textFill>
        </w:rPr>
        <w:t xml:space="preserve">         /            </w:t>
      </w:r>
      <w:permEnd w:id="12"/>
      <w:r>
        <w:rPr>
          <w:rFonts w:hint="eastAsia" w:ascii="仿宋_GB2312" w:hAnsi="仿宋_GB2312" w:eastAsia="仿宋_GB2312" w:cs="仿宋_GB2312"/>
          <w:b/>
          <w:bCs/>
          <w:color w:val="000000" w:themeColor="text1"/>
          <w:highlight w:val="none"/>
          <w:lang w:val="en-US" w:eastAsia="zh-CN"/>
          <w14:textFill>
            <w14:solidFill>
              <w14:schemeClr w14:val="tx1"/>
            </w14:solidFill>
          </w14:textFill>
        </w:rPr>
        <w:t>公司生产产品。</w:t>
      </w:r>
    </w:p>
    <w:p w14:paraId="4AAF5B27">
      <w:pPr>
        <w:pStyle w:val="12"/>
        <w:numPr>
          <w:ilvl w:val="0"/>
          <w:numId w:val="2"/>
        </w:numPr>
        <w:spacing w:line="400" w:lineRule="atLeast"/>
        <w:ind w:firstLine="482" w:firstLineChars="200"/>
        <w:rPr>
          <w:rFonts w:ascii="仿宋_GB2312" w:hAnsi="仿宋_GB2312" w:eastAsia="仿宋_GB2312" w:cs="仿宋_GB2312"/>
          <w:b/>
          <w:bCs/>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合同工程量：</w:t>
      </w:r>
    </w:p>
    <w:p w14:paraId="47DCD1C2">
      <w:pPr>
        <w:pStyle w:val="12"/>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lang w:val="en-US" w:eastAsia="zh-CN"/>
          <w14:textFill>
            <w14:solidFill>
              <w14:schemeClr w14:val="tx1"/>
            </w14:solidFill>
          </w14:textFill>
        </w:rPr>
        <w:t>3.1</w:t>
      </w:r>
      <w:r>
        <w:rPr>
          <w:rFonts w:hint="eastAsia" w:ascii="仿宋_GB2312" w:hAnsi="仿宋_GB2312" w:eastAsia="仿宋_GB2312" w:cs="仿宋_GB2312"/>
          <w:color w:val="000000" w:themeColor="text1"/>
          <w:highlight w:val="none"/>
          <w14:textFill>
            <w14:solidFill>
              <w14:schemeClr w14:val="tx1"/>
            </w14:solidFill>
          </w14:textFill>
        </w:rPr>
        <w:t>本合同中约定货物工程量为暂定数量；甲乙双方最终结算数量以甲方最终签收的实际数量，并依据合同约定扣除不合格产品、损失等费用后的书面结算数额为准，</w:t>
      </w:r>
      <w:r>
        <w:rPr>
          <w:rFonts w:hint="eastAsia" w:ascii="仿宋_GB2312" w:hAnsi="仿宋_GB2312" w:eastAsia="仿宋_GB2312" w:cs="仿宋_GB2312"/>
          <w:b/>
          <w:bCs/>
          <w:color w:val="000000" w:themeColor="text1"/>
          <w:highlight w:val="none"/>
          <w14:textFill>
            <w14:solidFill>
              <w14:schemeClr w14:val="tx1"/>
            </w14:solidFill>
          </w14:textFill>
        </w:rPr>
        <w:t>乙方不得以合同暂定数量或合同暂定总金额为依据要求甲方支付任何款项，否则按合同第二部分第二条违约条款承担违约责任。</w:t>
      </w:r>
      <w:bookmarkEnd w:id="10"/>
      <w:r>
        <w:rPr>
          <w:rFonts w:hint="eastAsia" w:ascii="仿宋_GB2312" w:hAnsi="仿宋_GB2312" w:eastAsia="仿宋_GB2312" w:cs="仿宋_GB2312"/>
          <w:b/>
          <w:bCs/>
          <w:color w:val="000000" w:themeColor="text1"/>
          <w:highlight w:val="none"/>
          <w14:textFill>
            <w14:solidFill>
              <w14:schemeClr w14:val="tx1"/>
            </w14:solidFill>
          </w14:textFill>
        </w:rPr>
        <w:t xml:space="preserve">   </w:t>
      </w:r>
    </w:p>
    <w:p w14:paraId="7655C09B">
      <w:pPr>
        <w:pStyle w:val="12"/>
        <w:numPr>
          <w:ilvl w:val="0"/>
          <w:numId w:val="1"/>
        </w:numPr>
        <w:spacing w:before="120" w:beforeLines="50" w:after="120" w:afterLines="50" w:line="400" w:lineRule="atLeast"/>
        <w:ind w:firstLine="482" w:firstLineChars="200"/>
        <w:outlineLvl w:val="0"/>
        <w:rPr>
          <w:rFonts w:ascii="仿宋_GB2312" w:hAnsi="仿宋_GB2312" w:eastAsia="仿宋_GB2312" w:cs="仿宋_GB2312"/>
          <w:b/>
          <w:bCs/>
          <w:color w:val="000000" w:themeColor="text1"/>
          <w:highlight w:val="none"/>
          <w14:textFill>
            <w14:solidFill>
              <w14:schemeClr w14:val="tx1"/>
            </w14:solidFill>
          </w14:textFill>
        </w:rPr>
      </w:pPr>
      <w:bookmarkStart w:id="11" w:name="_Toc23444"/>
      <w:bookmarkStart w:id="12" w:name="_Toc15703"/>
      <w:bookmarkStart w:id="13" w:name="_Toc13168"/>
      <w:r>
        <w:rPr>
          <w:rFonts w:hint="eastAsia" w:ascii="仿宋_GB2312" w:hAnsi="仿宋_GB2312" w:eastAsia="仿宋_GB2312" w:cs="仿宋_GB2312"/>
          <w:b/>
          <w:bCs/>
          <w:color w:val="000000" w:themeColor="text1"/>
          <w:highlight w:val="none"/>
          <w14:textFill>
            <w14:solidFill>
              <w14:schemeClr w14:val="tx1"/>
            </w14:solidFill>
          </w14:textFill>
        </w:rPr>
        <w:t>货物供应</w:t>
      </w:r>
      <w:bookmarkEnd w:id="11"/>
      <w:bookmarkEnd w:id="12"/>
      <w:bookmarkEnd w:id="13"/>
    </w:p>
    <w:p w14:paraId="1E8E635C">
      <w:pPr>
        <w:pStyle w:val="12"/>
        <w:spacing w:line="400" w:lineRule="atLeast"/>
        <w:ind w:firstLine="482"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1、交货方式：</w:t>
      </w:r>
      <w:r>
        <w:rPr>
          <w:rFonts w:hint="eastAsia" w:ascii="仿宋_GB2312" w:hAnsi="仿宋_GB2312" w:eastAsia="仿宋_GB2312" w:cs="仿宋_GB2312"/>
          <w:color w:val="000000" w:themeColor="text1"/>
          <w:highlight w:val="none"/>
          <w14:textFill>
            <w14:solidFill>
              <w14:schemeClr w14:val="tx1"/>
            </w14:solidFill>
          </w14:textFill>
        </w:rPr>
        <w:t>双方协商一致，执行第</w:t>
      </w:r>
      <w:permStart w:id="13" w:edGrp="everyone"/>
      <w:r>
        <w:rPr>
          <w:rFonts w:hint="eastAsia" w:ascii="仿宋_GB2312" w:hAnsi="仿宋_GB2312" w:eastAsia="仿宋_GB2312" w:cs="仿宋_GB2312"/>
          <w:color w:val="000000" w:themeColor="text1"/>
          <w:highlight w:val="none"/>
          <w:u w:val="single"/>
          <w14:textFill>
            <w14:solidFill>
              <w14:schemeClr w14:val="tx1"/>
            </w14:solidFill>
          </w14:textFill>
        </w:rPr>
        <w:t xml:space="preserve">  </w:t>
      </w:r>
      <w:r>
        <w:rPr>
          <w:rFonts w:hint="eastAsia" w:ascii="仿宋_GB2312" w:hAnsi="仿宋_GB2312" w:eastAsia="仿宋_GB2312" w:cs="仿宋_GB2312"/>
          <w:color w:val="000000" w:themeColor="text1"/>
          <w:highlight w:val="none"/>
          <w:u w:val="single"/>
          <w:lang w:val="en-US" w:eastAsia="zh-CN"/>
          <w14:textFill>
            <w14:solidFill>
              <w14:schemeClr w14:val="tx1"/>
            </w14:solidFill>
          </w14:textFill>
        </w:rPr>
        <w:t xml:space="preserve"> 1.1 </w:t>
      </w:r>
      <w:r>
        <w:rPr>
          <w:rFonts w:hint="eastAsia" w:ascii="仿宋_GB2312" w:hAnsi="仿宋_GB2312" w:eastAsia="仿宋_GB2312" w:cs="仿宋_GB2312"/>
          <w:color w:val="000000" w:themeColor="text1"/>
          <w:highlight w:val="none"/>
          <w:u w:val="single"/>
          <w14:textFill>
            <w14:solidFill>
              <w14:schemeClr w14:val="tx1"/>
            </w14:solidFill>
          </w14:textFill>
        </w:rPr>
        <w:t xml:space="preserve"> </w:t>
      </w:r>
      <w:permEnd w:id="13"/>
      <w:r>
        <w:rPr>
          <w:rFonts w:hint="eastAsia" w:ascii="仿宋_GB2312" w:hAnsi="仿宋_GB2312" w:eastAsia="仿宋_GB2312" w:cs="仿宋_GB2312"/>
          <w:color w:val="000000" w:themeColor="text1"/>
          <w:highlight w:val="none"/>
          <w14:textFill>
            <w14:solidFill>
              <w14:schemeClr w14:val="tx1"/>
            </w14:solidFill>
          </w14:textFill>
        </w:rPr>
        <w:t>种交货方式；</w:t>
      </w:r>
    </w:p>
    <w:p w14:paraId="3AAFC54C">
      <w:pPr>
        <w:pStyle w:val="12"/>
        <w:spacing w:line="400" w:lineRule="atLeast"/>
        <w:ind w:firstLine="482"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1.1送货卸车：</w:t>
      </w:r>
      <w:r>
        <w:rPr>
          <w:rFonts w:hint="eastAsia" w:ascii="仿宋_GB2312" w:hAnsi="仿宋_GB2312" w:eastAsia="仿宋_GB2312" w:cs="仿宋_GB2312"/>
          <w:color w:val="000000" w:themeColor="text1"/>
          <w:highlight w:val="none"/>
          <w14:textFill>
            <w14:solidFill>
              <w14:schemeClr w14:val="tx1"/>
            </w14:solidFill>
          </w14:textFill>
        </w:rPr>
        <w:t>乙方送货至甲方指定地点；合同综合单价已含卸车费用，卸车工作由乙方负责，若由甲方负责卸车，发生的相应费用结算款中扣除。</w:t>
      </w:r>
    </w:p>
    <w:p w14:paraId="69087D49">
      <w:pPr>
        <w:pStyle w:val="12"/>
        <w:spacing w:line="400" w:lineRule="atLeast"/>
        <w:ind w:firstLine="482" w:firstLineChars="200"/>
        <w:rPr>
          <w:rFonts w:hint="eastAsia"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1.2送货不卸车：</w:t>
      </w:r>
      <w:r>
        <w:rPr>
          <w:rFonts w:hint="eastAsia" w:ascii="仿宋_GB2312" w:hAnsi="仿宋_GB2312" w:eastAsia="仿宋_GB2312" w:cs="仿宋_GB2312"/>
          <w:color w:val="000000" w:themeColor="text1"/>
          <w:highlight w:val="none"/>
          <w14:textFill>
            <w14:solidFill>
              <w14:schemeClr w14:val="tx1"/>
            </w14:solidFill>
          </w14:textFill>
        </w:rPr>
        <w:t>合同综合单价不含卸车费用，卸车工作由甲方组织。</w:t>
      </w:r>
    </w:p>
    <w:p w14:paraId="1AA75640">
      <w:pPr>
        <w:pStyle w:val="12"/>
        <w:spacing w:line="400" w:lineRule="atLeast"/>
        <w:ind w:firstLine="482" w:firstLineChars="200"/>
        <w:rPr>
          <w:rFonts w:hint="default" w:ascii="仿宋_GB2312" w:hAnsi="仿宋_GB2312" w:eastAsia="仿宋_GB2312" w:cs="仿宋_GB2312"/>
          <w:b/>
          <w:bCs/>
          <w:color w:val="000000" w:themeColor="text1"/>
          <w:highlight w:val="none"/>
          <w:u w:val="single"/>
          <w:lang w:val="en-US" w:eastAsia="zh-CN"/>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1.3其他</w:t>
      </w:r>
      <w:permStart w:id="14" w:edGrp="everyone"/>
      <w:r>
        <w:rPr>
          <w:rFonts w:hint="eastAsia" w:ascii="仿宋_GB2312" w:hAnsi="仿宋_GB2312" w:eastAsia="仿宋_GB2312" w:cs="仿宋_GB2312"/>
          <w:b/>
          <w:bCs/>
          <w:color w:val="000000" w:themeColor="text1"/>
          <w:highlight w:val="none"/>
          <w:u w:val="single"/>
          <w:lang w:val="en-US" w:eastAsia="zh-CN"/>
          <w14:textFill>
            <w14:solidFill>
              <w14:schemeClr w14:val="tx1"/>
            </w14:solidFill>
          </w14:textFill>
        </w:rPr>
        <w:t xml:space="preserve">         /          </w:t>
      </w:r>
    </w:p>
    <w:permEnd w:id="14"/>
    <w:p w14:paraId="165EDFFB">
      <w:pPr>
        <w:pStyle w:val="12"/>
        <w:spacing w:line="400" w:lineRule="atLeast"/>
        <w:ind w:firstLine="482" w:firstLineChars="200"/>
        <w:outlineLvl w:val="1"/>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2、交货时间：</w:t>
      </w:r>
      <w:r>
        <w:rPr>
          <w:rFonts w:hint="eastAsia" w:ascii="仿宋_GB2312" w:hAnsi="仿宋_GB2312" w:eastAsia="仿宋_GB2312" w:cs="仿宋_GB2312"/>
          <w:color w:val="000000" w:themeColor="text1"/>
          <w:highlight w:val="none"/>
          <w14:textFill>
            <w14:solidFill>
              <w14:schemeClr w14:val="tx1"/>
            </w14:solidFill>
          </w14:textFill>
        </w:rPr>
        <w:t>甲方施工现场材料负责人提前</w:t>
      </w:r>
      <w:permStart w:id="15" w:edGrp="everyone"/>
      <w:r>
        <w:rPr>
          <w:rFonts w:hint="eastAsia" w:ascii="仿宋_GB2312" w:hAnsi="仿宋_GB2312" w:eastAsia="仿宋_GB2312" w:cs="仿宋_GB2312"/>
          <w:color w:val="000000" w:themeColor="text1"/>
          <w:highlight w:val="none"/>
          <w:u w:val="single"/>
          <w14:textFill>
            <w14:solidFill>
              <w14:schemeClr w14:val="tx1"/>
            </w14:solidFill>
          </w14:textFill>
        </w:rPr>
        <w:t xml:space="preserve">  </w:t>
      </w:r>
      <w:r>
        <w:rPr>
          <w:rFonts w:hint="eastAsia" w:ascii="仿宋_GB2312" w:hAnsi="仿宋_GB2312" w:eastAsia="仿宋_GB2312" w:cs="仿宋_GB2312"/>
          <w:color w:val="000000" w:themeColor="text1"/>
          <w:highlight w:val="none"/>
          <w:u w:val="single"/>
          <w:lang w:val="en-US" w:eastAsia="zh-CN"/>
          <w14:textFill>
            <w14:solidFill>
              <w14:schemeClr w14:val="tx1"/>
            </w14:solidFill>
          </w14:textFill>
        </w:rPr>
        <w:t>5</w:t>
      </w:r>
      <w:r>
        <w:rPr>
          <w:rFonts w:hint="eastAsia" w:ascii="仿宋_GB2312" w:hAnsi="仿宋_GB2312" w:eastAsia="仿宋_GB2312" w:cs="仿宋_GB2312"/>
          <w:color w:val="000000" w:themeColor="text1"/>
          <w:highlight w:val="none"/>
          <w:u w:val="single"/>
          <w14:textFill>
            <w14:solidFill>
              <w14:schemeClr w14:val="tx1"/>
            </w14:solidFill>
          </w14:textFill>
        </w:rPr>
        <w:t xml:space="preserve"> </w:t>
      </w:r>
      <w:permEnd w:id="15"/>
      <w:r>
        <w:rPr>
          <w:rFonts w:hint="eastAsia" w:ascii="仿宋_GB2312" w:hAnsi="仿宋_GB2312" w:eastAsia="仿宋_GB2312" w:cs="仿宋_GB2312"/>
          <w:color w:val="000000" w:themeColor="text1"/>
          <w:highlight w:val="none"/>
          <w14:textFill>
            <w14:solidFill>
              <w14:schemeClr w14:val="tx1"/>
            </w14:solidFill>
          </w14:textFill>
        </w:rPr>
        <w:t>天向乙方提供每批次的需用计划（云筑网订单、计划联系函、电子邮件等），乙方根据甲方所提供的需用计划及时将货物配送至甲方指定堆场。</w:t>
      </w:r>
      <w:r>
        <w:rPr>
          <w:rFonts w:hint="eastAsia" w:ascii="仿宋_GB2312" w:hAnsi="仿宋_GB2312" w:eastAsia="仿宋_GB2312" w:cs="仿宋_GB2312"/>
          <w:b/>
          <w:bCs/>
          <w:color w:val="000000" w:themeColor="text1"/>
          <w:highlight w:val="none"/>
          <w14:textFill>
            <w14:solidFill>
              <w14:schemeClr w14:val="tx1"/>
            </w14:solidFill>
          </w14:textFill>
        </w:rPr>
        <w:t>乙方延期供货次数不超过2次，否则乙方按合同第二部分第二条违约条款承担违约责任。乙方不得因甲方更改需用计划及要求乙方延期交货而向甲方提出索赔</w:t>
      </w:r>
      <w:r>
        <w:rPr>
          <w:rFonts w:hint="eastAsia" w:ascii="仿宋_GB2312" w:hAnsi="仿宋_GB2312" w:eastAsia="仿宋_GB2312" w:cs="仿宋_GB2312"/>
          <w:color w:val="000000" w:themeColor="text1"/>
          <w:highlight w:val="none"/>
          <w14:textFill>
            <w14:solidFill>
              <w14:schemeClr w14:val="tx1"/>
            </w14:solidFill>
          </w14:textFill>
        </w:rPr>
        <w:t>。</w:t>
      </w:r>
      <w:r>
        <w:rPr>
          <w:rFonts w:hint="eastAsia" w:ascii="仿宋_GB2312" w:hAnsi="仿宋_GB2312" w:eastAsia="仿宋_GB2312" w:cs="仿宋_GB2312"/>
          <w:b/>
          <w:bCs/>
          <w:color w:val="000000" w:themeColor="text1"/>
          <w:highlight w:val="none"/>
          <w14:textFill>
            <w14:solidFill>
              <w14:schemeClr w14:val="tx1"/>
            </w14:solidFill>
          </w14:textFill>
        </w:rPr>
        <w:t>根据工程项目施工需要，甲方对所采购物资的数量和送货时间如有变更，及时书面通知乙方，乙方按变更后的数量和送货时间供货，新增或减少的物资价格不变。</w:t>
      </w:r>
    </w:p>
    <w:p w14:paraId="427A5FC5">
      <w:pPr>
        <w:pStyle w:val="12"/>
        <w:spacing w:line="400" w:lineRule="atLeast"/>
        <w:ind w:firstLine="482" w:firstLineChars="200"/>
        <w:outlineLvl w:val="1"/>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3、交货地点：</w:t>
      </w:r>
      <w:permStart w:id="16" w:edGrp="everyone"/>
      <w:r>
        <w:rPr>
          <w:rFonts w:hint="eastAsia" w:ascii="仿宋_GB2312" w:hAnsi="仿宋_GB2312" w:eastAsia="仿宋_GB2312" w:cs="仿宋_GB2312"/>
          <w:color w:val="000000" w:themeColor="text1"/>
          <w:highlight w:val="none"/>
          <w:u w:val="single"/>
          <w14:textFill>
            <w14:solidFill>
              <w14:schemeClr w14:val="tx1"/>
            </w14:solidFill>
          </w14:textFill>
        </w:rPr>
        <w:t xml:space="preserve"> 西藏自治区那曲市嘉黎县尼屋乡堆巴村施工现场。</w:t>
      </w:r>
      <w:permEnd w:id="16"/>
      <w:r>
        <w:rPr>
          <w:rFonts w:hint="eastAsia" w:ascii="仿宋_GB2312" w:hAnsi="仿宋_GB2312" w:eastAsia="仿宋_GB2312" w:cs="仿宋_GB2312"/>
          <w:color w:val="000000" w:themeColor="text1"/>
          <w:highlight w:val="none"/>
          <w:u w:val="single"/>
          <w14:textFill>
            <w14:solidFill>
              <w14:schemeClr w14:val="tx1"/>
            </w14:solidFill>
          </w14:textFill>
        </w:rPr>
        <w:t>。</w:t>
      </w:r>
    </w:p>
    <w:p w14:paraId="769A0C3E">
      <w:pPr>
        <w:pStyle w:val="12"/>
        <w:spacing w:line="400" w:lineRule="atLeast"/>
        <w:ind w:firstLine="482" w:firstLineChars="200"/>
        <w:rPr>
          <w:rFonts w:ascii="仿宋_GB2312" w:hAnsi="仿宋_GB2312" w:eastAsia="仿宋_GB2312" w:cs="仿宋_GB2312"/>
          <w:b/>
          <w:bCs/>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4、交货内容：</w:t>
      </w:r>
      <w:permStart w:id="17" w:edGrp="everyone"/>
      <w:r>
        <w:rPr>
          <w:rFonts w:hint="eastAsia" w:ascii="仿宋_GB2312" w:hAnsi="仿宋_GB2312" w:eastAsia="仿宋_GB2312" w:cs="仿宋_GB2312"/>
          <w:b/>
          <w:bCs/>
          <w:color w:val="000000" w:themeColor="text1"/>
          <w:highlight w:val="none"/>
          <w:u w:val="single"/>
          <w:lang w:val="en-US" w:eastAsia="zh-CN"/>
          <w14:textFill>
            <w14:solidFill>
              <w14:schemeClr w14:val="tx1"/>
            </w14:solidFill>
          </w14:textFill>
        </w:rPr>
        <w:t>产品质量证明书、出厂检验报告、送货单</w:t>
      </w:r>
      <w:r>
        <w:rPr>
          <w:rFonts w:hint="eastAsia" w:ascii="仿宋_GB2312" w:hAnsi="仿宋_GB2312" w:eastAsia="仿宋_GB2312" w:cs="仿宋_GB2312"/>
          <w:color w:val="000000" w:themeColor="text1"/>
          <w:highlight w:val="none"/>
          <w:u w:val="single"/>
          <w14:textFill>
            <w14:solidFill>
              <w14:schemeClr w14:val="tx1"/>
            </w14:solidFill>
          </w14:textFill>
        </w:rPr>
        <w:t xml:space="preserve">        </w:t>
      </w:r>
      <w:permEnd w:id="17"/>
      <w:r>
        <w:rPr>
          <w:rFonts w:hint="eastAsia" w:ascii="仿宋_GB2312" w:hAnsi="仿宋_GB2312" w:eastAsia="仿宋_GB2312" w:cs="仿宋_GB2312"/>
          <w:color w:val="000000" w:themeColor="text1"/>
          <w:highlight w:val="none"/>
          <w14:textFill>
            <w14:solidFill>
              <w14:schemeClr w14:val="tx1"/>
            </w14:solidFill>
          </w14:textFill>
        </w:rPr>
        <w:t>。</w:t>
      </w:r>
    </w:p>
    <w:p w14:paraId="0D5784B2">
      <w:pPr>
        <w:pStyle w:val="12"/>
        <w:spacing w:line="400" w:lineRule="atLeast"/>
        <w:ind w:firstLine="482" w:firstLineChars="200"/>
        <w:rPr>
          <w:rFonts w:ascii="仿宋_GB2312" w:hAnsi="仿宋_GB2312" w:eastAsia="仿宋_GB2312" w:cs="仿宋_GB2312"/>
          <w:b/>
          <w:bCs/>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5、双方代表：</w:t>
      </w:r>
    </w:p>
    <w:p w14:paraId="622E74A9">
      <w:pPr>
        <w:spacing w:line="400" w:lineRule="atLeast"/>
        <w:ind w:firstLine="480" w:firstLineChars="200"/>
        <w:rPr>
          <w:rFonts w:ascii="仿宋_GB2312" w:hAnsi="仿宋_GB2312" w:eastAsia="仿宋_GB2312" w:cs="仿宋_GB2312"/>
          <w:color w:val="000000" w:themeColor="text1"/>
          <w:kern w:val="0"/>
          <w:sz w:val="24"/>
          <w:szCs w:val="24"/>
          <w:highlight w:val="none"/>
          <w14:textFill>
            <w14:solidFill>
              <w14:schemeClr w14:val="tx1"/>
            </w14:solidFill>
          </w14:textFill>
        </w:rPr>
      </w:pPr>
      <w:r>
        <w:rPr>
          <w:rFonts w:hint="eastAsia" w:ascii="仿宋_GB2312" w:hAnsi="仿宋_GB2312" w:eastAsia="仿宋_GB2312" w:cs="仿宋_GB2312"/>
          <w:color w:val="000000" w:themeColor="text1"/>
          <w:kern w:val="0"/>
          <w:sz w:val="24"/>
          <w:szCs w:val="24"/>
          <w:highlight w:val="none"/>
          <w14:textFill>
            <w14:solidFill>
              <w14:schemeClr w14:val="tx1"/>
            </w14:solidFill>
          </w14:textFill>
        </w:rPr>
        <w:t>甲方指定收货联系人：</w:t>
      </w:r>
      <w:permStart w:id="18" w:edGrp="everyone"/>
      <w:r>
        <w:rPr>
          <w:rFonts w:hint="eastAsia" w:ascii="仿宋_GB2312" w:hAnsi="仿宋_GB2312" w:eastAsia="仿宋_GB2312" w:cs="仿宋_GB2312"/>
          <w:color w:val="000000" w:themeColor="text1"/>
          <w:kern w:val="0"/>
          <w:sz w:val="24"/>
          <w:szCs w:val="24"/>
          <w:highlight w:val="none"/>
          <w:u w:val="single"/>
          <w14:textFill>
            <w14:solidFill>
              <w14:schemeClr w14:val="tx1"/>
            </w14:solidFill>
          </w14:textFill>
        </w:rPr>
        <w:t xml:space="preserve"> </w:t>
      </w:r>
      <w:r>
        <w:rPr>
          <w:rFonts w:hint="eastAsia" w:ascii="仿宋_GB2312" w:hAnsi="仿宋_GB2312" w:eastAsia="仿宋_GB2312" w:cs="仿宋_GB2312"/>
          <w:color w:val="000000" w:themeColor="text1"/>
          <w:kern w:val="0"/>
          <w:sz w:val="24"/>
          <w:szCs w:val="24"/>
          <w:highlight w:val="none"/>
          <w:u w:val="single"/>
          <w:lang w:val="en-US" w:eastAsia="zh-CN"/>
          <w14:textFill>
            <w14:solidFill>
              <w14:schemeClr w14:val="tx1"/>
            </w14:solidFill>
          </w14:textFill>
        </w:rPr>
        <w:t>季富通</w:t>
      </w:r>
      <w:r>
        <w:rPr>
          <w:rFonts w:hint="eastAsia" w:ascii="仿宋_GB2312" w:hAnsi="仿宋_GB2312" w:eastAsia="仿宋_GB2312" w:cs="仿宋_GB2312"/>
          <w:color w:val="000000" w:themeColor="text1"/>
          <w:kern w:val="0"/>
          <w:sz w:val="24"/>
          <w:szCs w:val="24"/>
          <w:highlight w:val="none"/>
          <w:u w:val="single"/>
          <w14:textFill>
            <w14:solidFill>
              <w14:schemeClr w14:val="tx1"/>
            </w14:solidFill>
          </w14:textFill>
        </w:rPr>
        <w:t xml:space="preserve"> </w:t>
      </w:r>
      <w:permEnd w:id="18"/>
      <w:r>
        <w:rPr>
          <w:rFonts w:hint="eastAsia" w:ascii="仿宋_GB2312" w:hAnsi="仿宋_GB2312" w:eastAsia="仿宋_GB2312" w:cs="仿宋_GB2312"/>
          <w:color w:val="000000" w:themeColor="text1"/>
          <w:kern w:val="0"/>
          <w:sz w:val="24"/>
          <w:szCs w:val="24"/>
          <w:highlight w:val="none"/>
          <w14:textFill>
            <w14:solidFill>
              <w14:schemeClr w14:val="tx1"/>
            </w14:solidFill>
          </w14:textFill>
        </w:rPr>
        <w:t>，电话：</w:t>
      </w:r>
      <w:permStart w:id="19" w:edGrp="everyone"/>
      <w:r>
        <w:rPr>
          <w:rFonts w:hint="eastAsia" w:ascii="仿宋_GB2312" w:hAnsi="仿宋_GB2312" w:eastAsia="仿宋_GB2312" w:cs="仿宋_GB2312"/>
          <w:color w:val="000000" w:themeColor="text1"/>
          <w:kern w:val="0"/>
          <w:sz w:val="24"/>
          <w:szCs w:val="24"/>
          <w:highlight w:val="none"/>
          <w:u w:val="single"/>
          <w:lang w:val="en-US" w:eastAsia="zh-CN"/>
          <w14:textFill>
            <w14:solidFill>
              <w14:schemeClr w14:val="tx1"/>
            </w14:solidFill>
          </w14:textFill>
        </w:rPr>
        <w:t>15294242783</w:t>
      </w:r>
      <w:permEnd w:id="19"/>
      <w:r>
        <w:rPr>
          <w:rFonts w:hint="eastAsia" w:ascii="仿宋_GB2312" w:hAnsi="仿宋_GB2312" w:eastAsia="仿宋_GB2312" w:cs="仿宋_GB2312"/>
          <w:color w:val="000000" w:themeColor="text1"/>
          <w:kern w:val="0"/>
          <w:sz w:val="24"/>
          <w:szCs w:val="24"/>
          <w:highlight w:val="none"/>
          <w14:textFill>
            <w14:solidFill>
              <w14:schemeClr w14:val="tx1"/>
            </w14:solidFill>
          </w14:textFill>
        </w:rPr>
        <w:t>，电子邮箱：</w:t>
      </w:r>
      <w:permStart w:id="20" w:edGrp="everyone"/>
      <w:r>
        <w:rPr>
          <w:rFonts w:hint="eastAsia" w:ascii="仿宋_GB2312" w:hAnsi="仿宋_GB2312" w:eastAsia="仿宋_GB2312" w:cs="仿宋_GB2312"/>
          <w:color w:val="000000" w:themeColor="text1"/>
          <w:kern w:val="0"/>
          <w:sz w:val="24"/>
          <w:szCs w:val="24"/>
          <w:highlight w:val="none"/>
          <w:u w:val="single"/>
          <w14:textFill>
            <w14:solidFill>
              <w14:schemeClr w14:val="tx1"/>
            </w14:solidFill>
          </w14:textFill>
        </w:rPr>
        <w:t xml:space="preserve">  </w:t>
      </w:r>
      <w:r>
        <w:rPr>
          <w:rFonts w:hint="eastAsia" w:ascii="仿宋_GB2312" w:hAnsi="仿宋_GB2312" w:eastAsia="仿宋_GB2312" w:cs="仿宋_GB2312"/>
          <w:color w:val="000000" w:themeColor="text1"/>
          <w:kern w:val="0"/>
          <w:sz w:val="24"/>
          <w:szCs w:val="24"/>
          <w:highlight w:val="none"/>
          <w:u w:val="single"/>
          <w:lang w:val="en-US" w:eastAsia="zh-CN"/>
          <w14:textFill>
            <w14:solidFill>
              <w14:schemeClr w14:val="tx1"/>
            </w14:solidFill>
          </w14:textFill>
        </w:rPr>
        <w:t>/</w:t>
      </w:r>
      <w:r>
        <w:rPr>
          <w:rFonts w:hint="eastAsia" w:ascii="仿宋_GB2312" w:hAnsi="仿宋_GB2312" w:eastAsia="仿宋_GB2312" w:cs="仿宋_GB2312"/>
          <w:color w:val="000000" w:themeColor="text1"/>
          <w:kern w:val="0"/>
          <w:sz w:val="24"/>
          <w:szCs w:val="24"/>
          <w:highlight w:val="none"/>
          <w:u w:val="single"/>
          <w14:textFill>
            <w14:solidFill>
              <w14:schemeClr w14:val="tx1"/>
            </w14:solidFill>
          </w14:textFill>
        </w:rPr>
        <w:t xml:space="preserve">  </w:t>
      </w:r>
      <w:permEnd w:id="20"/>
      <w:r>
        <w:rPr>
          <w:rFonts w:hint="eastAsia" w:ascii="仿宋_GB2312" w:hAnsi="仿宋_GB2312" w:eastAsia="仿宋_GB2312" w:cs="仿宋_GB2312"/>
          <w:color w:val="000000" w:themeColor="text1"/>
          <w:kern w:val="0"/>
          <w:sz w:val="24"/>
          <w:szCs w:val="24"/>
          <w:highlight w:val="none"/>
          <w14:textFill>
            <w14:solidFill>
              <w14:schemeClr w14:val="tx1"/>
            </w14:solidFill>
          </w14:textFill>
        </w:rPr>
        <w:t>。</w:t>
      </w:r>
    </w:p>
    <w:p w14:paraId="2E89F966">
      <w:pPr>
        <w:spacing w:line="400" w:lineRule="atLeast"/>
        <w:ind w:firstLine="480" w:firstLineChars="200"/>
        <w:rPr>
          <w:rFonts w:ascii="仿宋_GB2312" w:hAnsi="仿宋_GB2312" w:eastAsia="仿宋_GB2312" w:cs="仿宋_GB2312"/>
          <w:color w:val="000000" w:themeColor="text1"/>
          <w:kern w:val="0"/>
          <w:sz w:val="24"/>
          <w:szCs w:val="24"/>
          <w:highlight w:val="none"/>
          <w14:textFill>
            <w14:solidFill>
              <w14:schemeClr w14:val="tx1"/>
            </w14:solidFill>
          </w14:textFill>
        </w:rPr>
      </w:pPr>
      <w:r>
        <w:rPr>
          <w:rFonts w:hint="eastAsia" w:ascii="仿宋_GB2312" w:hAnsi="仿宋_GB2312" w:eastAsia="仿宋_GB2312" w:cs="仿宋_GB2312"/>
          <w:color w:val="000000" w:themeColor="text1"/>
          <w:kern w:val="0"/>
          <w:sz w:val="24"/>
          <w:szCs w:val="24"/>
          <w:highlight w:val="none"/>
          <w14:textFill>
            <w14:solidFill>
              <w14:schemeClr w14:val="tx1"/>
            </w14:solidFill>
          </w14:textFill>
        </w:rPr>
        <w:t>乙方指定发货联系人：</w:t>
      </w:r>
      <w:permStart w:id="21" w:edGrp="everyone"/>
      <w:r>
        <w:rPr>
          <w:rFonts w:hint="eastAsia" w:ascii="仿宋_GB2312" w:hAnsi="仿宋_GB2312" w:eastAsia="仿宋_GB2312" w:cs="仿宋_GB2312"/>
          <w:color w:val="000000" w:themeColor="text1"/>
          <w:kern w:val="0"/>
          <w:sz w:val="24"/>
          <w:szCs w:val="24"/>
          <w:highlight w:val="none"/>
          <w:u w:val="single"/>
          <w14:textFill>
            <w14:solidFill>
              <w14:schemeClr w14:val="tx1"/>
            </w14:solidFill>
          </w14:textFill>
        </w:rPr>
        <w:t xml:space="preserve">     </w:t>
      </w:r>
      <w:permEnd w:id="21"/>
      <w:r>
        <w:rPr>
          <w:rFonts w:hint="eastAsia" w:ascii="仿宋_GB2312" w:hAnsi="仿宋_GB2312" w:eastAsia="仿宋_GB2312" w:cs="仿宋_GB2312"/>
          <w:color w:val="000000" w:themeColor="text1"/>
          <w:kern w:val="0"/>
          <w:sz w:val="24"/>
          <w:szCs w:val="24"/>
          <w:highlight w:val="none"/>
          <w14:textFill>
            <w14:solidFill>
              <w14:schemeClr w14:val="tx1"/>
            </w14:solidFill>
          </w14:textFill>
        </w:rPr>
        <w:t>，电话：</w:t>
      </w:r>
      <w:permStart w:id="22" w:edGrp="everyone"/>
      <w:r>
        <w:rPr>
          <w:rFonts w:hint="eastAsia" w:ascii="仿宋_GB2312" w:hAnsi="仿宋_GB2312" w:eastAsia="仿宋_GB2312" w:cs="仿宋_GB2312"/>
          <w:color w:val="000000" w:themeColor="text1"/>
          <w:kern w:val="0"/>
          <w:sz w:val="24"/>
          <w:szCs w:val="24"/>
          <w:highlight w:val="none"/>
          <w:u w:val="single"/>
          <w14:textFill>
            <w14:solidFill>
              <w14:schemeClr w14:val="tx1"/>
            </w14:solidFill>
          </w14:textFill>
        </w:rPr>
        <w:t xml:space="preserve">    </w:t>
      </w:r>
      <w:permEnd w:id="22"/>
      <w:r>
        <w:rPr>
          <w:rFonts w:hint="eastAsia" w:ascii="仿宋_GB2312" w:hAnsi="仿宋_GB2312" w:eastAsia="仿宋_GB2312" w:cs="仿宋_GB2312"/>
          <w:color w:val="000000" w:themeColor="text1"/>
          <w:kern w:val="0"/>
          <w:sz w:val="24"/>
          <w:szCs w:val="24"/>
          <w:highlight w:val="none"/>
          <w14:textFill>
            <w14:solidFill>
              <w14:schemeClr w14:val="tx1"/>
            </w14:solidFill>
          </w14:textFill>
        </w:rPr>
        <w:t>，电子邮箱：</w:t>
      </w:r>
      <w:permStart w:id="23" w:edGrp="everyone"/>
      <w:r>
        <w:rPr>
          <w:rFonts w:hint="eastAsia" w:ascii="仿宋_GB2312" w:hAnsi="仿宋_GB2312" w:eastAsia="仿宋_GB2312" w:cs="仿宋_GB2312"/>
          <w:color w:val="000000" w:themeColor="text1"/>
          <w:kern w:val="0"/>
          <w:sz w:val="24"/>
          <w:szCs w:val="24"/>
          <w:highlight w:val="none"/>
          <w:u w:val="single"/>
          <w14:textFill>
            <w14:solidFill>
              <w14:schemeClr w14:val="tx1"/>
            </w14:solidFill>
          </w14:textFill>
        </w:rPr>
        <w:t xml:space="preserve">    </w:t>
      </w:r>
      <w:permEnd w:id="23"/>
      <w:r>
        <w:rPr>
          <w:rFonts w:hint="eastAsia" w:ascii="仿宋_GB2312" w:hAnsi="仿宋_GB2312" w:eastAsia="仿宋_GB2312" w:cs="仿宋_GB2312"/>
          <w:color w:val="000000" w:themeColor="text1"/>
          <w:kern w:val="0"/>
          <w:sz w:val="24"/>
          <w:szCs w:val="24"/>
          <w:highlight w:val="none"/>
          <w14:textFill>
            <w14:solidFill>
              <w14:schemeClr w14:val="tx1"/>
            </w14:solidFill>
          </w14:textFill>
        </w:rPr>
        <w:t>。</w:t>
      </w:r>
    </w:p>
    <w:p w14:paraId="4DB93353">
      <w:pPr>
        <w:pStyle w:val="12"/>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bookmarkStart w:id="14" w:name="_Hlk126833838"/>
      <w:r>
        <w:rPr>
          <w:rFonts w:hint="eastAsia" w:ascii="仿宋_GB2312" w:hAnsi="仿宋_GB2312" w:eastAsia="仿宋_GB2312" w:cs="仿宋_GB2312"/>
          <w:color w:val="000000" w:themeColor="text1"/>
          <w:highlight w:val="none"/>
          <w14:textFill>
            <w14:solidFill>
              <w14:schemeClr w14:val="tx1"/>
            </w14:solidFill>
          </w14:textFill>
        </w:rPr>
        <w:t>合同双方更换代表时应及时书面通知对方，保证货物交接顺利。</w:t>
      </w:r>
      <w:r>
        <w:rPr>
          <w:rFonts w:hint="eastAsia" w:ascii="仿宋_GB2312" w:hAnsi="仿宋_GB2312" w:eastAsia="仿宋_GB2312" w:cs="仿宋_GB2312"/>
          <w:b/>
          <w:bCs/>
          <w:color w:val="000000" w:themeColor="text1"/>
          <w:highlight w:val="none"/>
          <w14:textFill>
            <w14:solidFill>
              <w14:schemeClr w14:val="tx1"/>
            </w14:solidFill>
          </w14:textFill>
        </w:rPr>
        <w:t>甲方已明确要求与指定发货联系人交接，若乙方实际发货为非指定联系人，视为乙方对实际发货人授权委托，当批次供货完成后7个工作日内乙方应为该实际发货人向甲方补充出具书面授权委托书，并承担本合同项下的义务和责任。</w:t>
      </w:r>
      <w:r>
        <w:rPr>
          <w:rFonts w:hint="eastAsia" w:ascii="仿宋_GB2312" w:hAnsi="仿宋_GB2312" w:eastAsia="仿宋_GB2312" w:cs="仿宋_GB2312"/>
          <w:color w:val="000000" w:themeColor="text1"/>
          <w:highlight w:val="none"/>
          <w14:textFill>
            <w14:solidFill>
              <w14:schemeClr w14:val="tx1"/>
            </w14:solidFill>
          </w14:textFill>
        </w:rPr>
        <w:t>为避免货物供应争议，甲方保留拒绝乙方非指定联系人供货的权利，由此产生的费用由乙方承担。甲乙双方授权内容详见附件一、附件二</w:t>
      </w:r>
      <w:bookmarkEnd w:id="14"/>
      <w:r>
        <w:rPr>
          <w:rFonts w:hint="eastAsia" w:ascii="仿宋_GB2312" w:hAnsi="仿宋_GB2312" w:eastAsia="仿宋_GB2312" w:cs="仿宋_GB2312"/>
          <w:color w:val="000000" w:themeColor="text1"/>
          <w:highlight w:val="none"/>
          <w14:textFill>
            <w14:solidFill>
              <w14:schemeClr w14:val="tx1"/>
            </w14:solidFill>
          </w14:textFill>
        </w:rPr>
        <w:t>。</w:t>
      </w:r>
    </w:p>
    <w:p w14:paraId="6C99587B">
      <w:pPr>
        <w:pStyle w:val="12"/>
        <w:spacing w:line="400" w:lineRule="atLeast"/>
        <w:ind w:firstLine="482" w:firstLineChars="200"/>
        <w:rPr>
          <w:rFonts w:hint="default" w:ascii="仿宋_GB2312" w:hAnsi="仿宋_GB2312" w:eastAsia="仿宋_GB2312" w:cs="仿宋_GB2312"/>
          <w:b/>
          <w:bCs/>
          <w:color w:val="000000" w:themeColor="text1"/>
          <w:highlight w:val="none"/>
          <w:lang w:val="en-US" w:eastAsia="zh-CN"/>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6、运输要求：</w:t>
      </w:r>
      <w:r>
        <w:rPr>
          <w:rFonts w:hint="eastAsia" w:ascii="仿宋_GB2312" w:hAnsi="仿宋_GB2312" w:eastAsia="仿宋_GB2312" w:cs="仿宋_GB2312"/>
          <w:b/>
          <w:bCs/>
          <w:color w:val="000000" w:themeColor="text1"/>
          <w:highlight w:val="none"/>
          <w:lang w:eastAsia="zh-CN"/>
          <w14:textFill>
            <w14:solidFill>
              <w14:schemeClr w14:val="tx1"/>
            </w14:solidFill>
          </w14:textFill>
        </w:rPr>
        <w:t>（</w:t>
      </w:r>
      <w:r>
        <w:rPr>
          <w:rFonts w:hint="eastAsia" w:ascii="仿宋_GB2312" w:hAnsi="仿宋_GB2312" w:eastAsia="仿宋_GB2312" w:cs="仿宋_GB2312"/>
          <w:b/>
          <w:bCs/>
          <w:color w:val="000000" w:themeColor="text1"/>
          <w:highlight w:val="none"/>
          <w:lang w:val="en-US" w:eastAsia="zh-CN"/>
          <w14:textFill>
            <w14:solidFill>
              <w14:schemeClr w14:val="tx1"/>
            </w14:solidFill>
          </w14:textFill>
        </w:rPr>
        <w:t>本条款适用于乙方负责运输情形）</w:t>
      </w:r>
    </w:p>
    <w:p w14:paraId="77798E79">
      <w:pPr>
        <w:pStyle w:val="12"/>
        <w:spacing w:line="400" w:lineRule="atLeast"/>
        <w:ind w:firstLine="482"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6.1运输形式：</w:t>
      </w:r>
      <w:r>
        <w:rPr>
          <w:rFonts w:hint="eastAsia" w:ascii="仿宋_GB2312" w:hAnsi="仿宋_GB2312" w:eastAsia="仿宋_GB2312" w:cs="仿宋_GB2312"/>
          <w:color w:val="000000" w:themeColor="text1"/>
          <w:highlight w:val="none"/>
          <w14:textFill>
            <w14:solidFill>
              <w14:schemeClr w14:val="tx1"/>
            </w14:solidFill>
          </w14:textFill>
        </w:rPr>
        <w:t>乙方须组织专用的运输工具将货物运至甲方指定的地点（工程所在地或甲方指定的其他地点），并应当和甲方共同协商，合理安排送货路线、停车地点。</w:t>
      </w:r>
    </w:p>
    <w:p w14:paraId="09369747">
      <w:pPr>
        <w:pStyle w:val="12"/>
        <w:spacing w:line="400" w:lineRule="atLeast"/>
        <w:ind w:firstLine="482" w:firstLineChars="200"/>
        <w:rPr>
          <w:rFonts w:hint="eastAsia" w:ascii="仿宋_GB2312" w:hAnsi="仿宋_GB2312" w:eastAsia="仿宋_GB2312" w:cs="仿宋_GB2312"/>
          <w:b/>
          <w:bCs/>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6.2注意事项：</w:t>
      </w:r>
      <w:r>
        <w:rPr>
          <w:rFonts w:hint="eastAsia" w:ascii="仿宋_GB2312" w:hAnsi="仿宋_GB2312" w:eastAsia="仿宋_GB2312" w:cs="仿宋_GB2312"/>
          <w:color w:val="000000" w:themeColor="text1"/>
          <w:highlight w:val="none"/>
          <w14:textFill>
            <w14:solidFill>
              <w14:schemeClr w14:val="tx1"/>
            </w14:solidFill>
          </w14:textFill>
        </w:rPr>
        <w:t>乙方应自行勘察现场，熟悉施工现场位置和周围环境，货物运输过程中，要遵守工程所在地政府的有关道路交通、环保卫生等方面的规定。乙方负责与政府有关管理部门协调沟通，保障车辆在工程所在区域顺利通行至施工现场，并承担因违反有关规定造成的一切责任和经济损失，乙方保证甲方免予承担由此造成的任何法律责任，若甲方因此遭受到任何责任或损失，乙方需赔偿给甲方。</w:t>
      </w:r>
      <w:bookmarkStart w:id="15" w:name="_Hlk127189046"/>
      <w:r>
        <w:rPr>
          <w:rFonts w:hint="eastAsia" w:ascii="仿宋_GB2312" w:hAnsi="仿宋_GB2312" w:eastAsia="仿宋_GB2312" w:cs="仿宋_GB2312"/>
          <w:b/>
          <w:bCs/>
          <w:color w:val="000000" w:themeColor="text1"/>
          <w:highlight w:val="none"/>
          <w14:textFill>
            <w14:solidFill>
              <w14:schemeClr w14:val="tx1"/>
            </w14:solidFill>
          </w14:textFill>
        </w:rPr>
        <w:t>乙方无法按甲方要求将产品送到指定地点卸货的，甲方有权不予验收，由此给甲方造成的损失由乙方承担</w:t>
      </w:r>
      <w:bookmarkEnd w:id="15"/>
      <w:r>
        <w:rPr>
          <w:rFonts w:hint="eastAsia" w:ascii="仿宋_GB2312" w:hAnsi="仿宋_GB2312" w:eastAsia="仿宋_GB2312" w:cs="仿宋_GB2312"/>
          <w:b/>
          <w:bCs/>
          <w:color w:val="000000" w:themeColor="text1"/>
          <w:highlight w:val="none"/>
          <w14:textFill>
            <w14:solidFill>
              <w14:schemeClr w14:val="tx1"/>
            </w14:solidFill>
          </w14:textFill>
        </w:rPr>
        <w:t>。</w:t>
      </w:r>
    </w:p>
    <w:p w14:paraId="08F39C42">
      <w:pPr>
        <w:pStyle w:val="12"/>
        <w:spacing w:line="400" w:lineRule="atLeast"/>
        <w:ind w:firstLine="480" w:firstLineChars="200"/>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t>6.3货物的装车、运输、车辆返回全过程出现的安全事故或其它任何意外均由乙方承担责任。装车和运输途中的物资品质发生变化或丢失由乙方负责，由此造成的损失由乙方承担。</w:t>
      </w:r>
    </w:p>
    <w:p w14:paraId="34204581">
      <w:pPr>
        <w:pStyle w:val="12"/>
        <w:spacing w:line="400" w:lineRule="atLeast"/>
        <w:ind w:firstLine="480" w:firstLineChars="200"/>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t>6.4乙方应对运输人员进行安全管理和安全教育，运输人员遵守交通法规。</w:t>
      </w:r>
    </w:p>
    <w:p w14:paraId="52453B0F">
      <w:pPr>
        <w:pStyle w:val="12"/>
        <w:spacing w:line="400" w:lineRule="atLeast"/>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t>应当给负责运送货物的车辆办理交强险及商业保险。如因运载车辆事故、卸货等</w:t>
      </w:r>
    </w:p>
    <w:p w14:paraId="1DD67A31">
      <w:pPr>
        <w:pStyle w:val="12"/>
        <w:spacing w:line="400" w:lineRule="atLeast"/>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t>原因导致的乙方及任何第三方的人身伤害及经济损失均由乙方负责，并补偿甲方</w:t>
      </w:r>
    </w:p>
    <w:p w14:paraId="211DB85F">
      <w:pPr>
        <w:pStyle w:val="12"/>
        <w:spacing w:line="400" w:lineRule="atLeast"/>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t>及其他方因此造成的损失。</w:t>
      </w:r>
    </w:p>
    <w:p w14:paraId="2E7EAD02">
      <w:pPr>
        <w:pStyle w:val="12"/>
        <w:spacing w:line="400" w:lineRule="atLeast"/>
        <w:ind w:firstLine="480" w:firstLineChars="200"/>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t>6.5乙方必须保证运输人员不得阻止现场验收人员进行质量检验，不得阻止到达甲方指定地点的运输车辆过磅，卸料时必须服从甲方现场管理人员的安排和指挥。不合格的物资必须在规定时间内无条件运走调换，否则按废弃物处理，损失由乙方承担。</w:t>
      </w:r>
    </w:p>
    <w:p w14:paraId="0EAD72BD">
      <w:pPr>
        <w:pStyle w:val="12"/>
        <w:spacing w:line="400" w:lineRule="atLeast"/>
        <w:ind w:firstLine="480" w:firstLineChars="200"/>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t>6.6乙方不得利用遥控等科技手段控制磅秤增加物资重量，不得进行任何形式的弄虚作假行为。一经发现，甲方将按发现作弊或弄虚作假数量占本批次运输物资百分比扣除发现作弊日前物资进场总数量对应的货款，并交由公安机关处理。</w:t>
      </w:r>
    </w:p>
    <w:p w14:paraId="4F8F9E84">
      <w:pPr>
        <w:pStyle w:val="12"/>
        <w:spacing w:line="400" w:lineRule="atLeast"/>
        <w:ind w:firstLine="480" w:firstLineChars="200"/>
        <w:rPr>
          <w:rFonts w:hint="eastAsia" w:ascii="仿宋_GB2312" w:hAnsi="仿宋_GB2312" w:eastAsia="仿宋_GB2312" w:cs="仿宋_GB2312"/>
          <w:b w:val="0"/>
          <w:bCs w:val="0"/>
          <w:color w:val="000000" w:themeColor="text1"/>
          <w:highlight w:val="none"/>
          <w14:textFill>
            <w14:solidFill>
              <w14:schemeClr w14:val="tx1"/>
            </w14:solidFill>
          </w14:textFill>
        </w:rPr>
      </w:pPr>
      <w:r>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t>6.7</w:t>
      </w:r>
      <w:r>
        <w:rPr>
          <w:rFonts w:hint="eastAsia" w:ascii="仿宋_GB2312" w:hAnsi="仿宋_GB2312" w:eastAsia="仿宋_GB2312" w:cs="仿宋_GB2312"/>
          <w:b w:val="0"/>
          <w:bCs w:val="0"/>
          <w:color w:val="000000" w:themeColor="text1"/>
          <w:highlight w:val="none"/>
          <w14:textFill>
            <w14:solidFill>
              <w14:schemeClr w14:val="tx1"/>
            </w14:solidFill>
          </w14:textFill>
        </w:rPr>
        <w:t>乙方保证在运输和卸货过程中应采取相应的环保措施，符合国家环保要求。车辆在进入项目现场要保证不沾泥土和脏物，车辆出入项目现场必须在项目大门内现场洗车。乙方在卸货过程中保证噪声白天小于或等于</w:t>
      </w:r>
      <w:r>
        <w:rPr>
          <w:rFonts w:hint="eastAsia" w:ascii="仿宋_GB2312" w:hAnsi="仿宋_GB2312" w:eastAsia="仿宋_GB2312" w:cs="仿宋_GB2312"/>
          <w:color w:val="000000" w:themeColor="text1"/>
          <w:kern w:val="0"/>
          <w:sz w:val="24"/>
          <w:szCs w:val="24"/>
          <w:highlight w:val="none"/>
          <w:u w:val="none"/>
          <w:lang w:val="en-US" w:eastAsia="zh-CN"/>
          <w14:textFill>
            <w14:solidFill>
              <w14:schemeClr w14:val="tx1"/>
            </w14:solidFill>
          </w14:textFill>
        </w:rPr>
        <w:t>85</w:t>
      </w:r>
      <w:r>
        <w:rPr>
          <w:rFonts w:hint="eastAsia" w:ascii="仿宋_GB2312" w:hAnsi="仿宋_GB2312" w:eastAsia="仿宋_GB2312" w:cs="仿宋_GB2312"/>
          <w:b w:val="0"/>
          <w:bCs w:val="0"/>
          <w:color w:val="000000" w:themeColor="text1"/>
          <w:highlight w:val="none"/>
          <w14:textFill>
            <w14:solidFill>
              <w14:schemeClr w14:val="tx1"/>
            </w14:solidFill>
          </w14:textFill>
        </w:rPr>
        <w:t>dB、夜间小于或等于</w:t>
      </w:r>
      <w:r>
        <w:rPr>
          <w:rFonts w:hint="eastAsia" w:ascii="仿宋_GB2312" w:hAnsi="仿宋_GB2312" w:eastAsia="仿宋_GB2312" w:cs="仿宋_GB2312"/>
          <w:color w:val="000000" w:themeColor="text1"/>
          <w:kern w:val="0"/>
          <w:sz w:val="24"/>
          <w:szCs w:val="24"/>
          <w:highlight w:val="none"/>
          <w:u w:val="none"/>
          <w:lang w:val="en-US" w:eastAsia="zh-CN"/>
          <w14:textFill>
            <w14:solidFill>
              <w14:schemeClr w14:val="tx1"/>
            </w14:solidFill>
          </w14:textFill>
        </w:rPr>
        <w:t>55</w:t>
      </w:r>
      <w:r>
        <w:rPr>
          <w:rFonts w:hint="eastAsia" w:ascii="仿宋_GB2312" w:hAnsi="仿宋_GB2312" w:eastAsia="仿宋_GB2312" w:cs="仿宋_GB2312"/>
          <w:b w:val="0"/>
          <w:bCs w:val="0"/>
          <w:color w:val="000000" w:themeColor="text1"/>
          <w:highlight w:val="none"/>
          <w14:textFill>
            <w14:solidFill>
              <w14:schemeClr w14:val="tx1"/>
            </w14:solidFill>
          </w14:textFill>
        </w:rPr>
        <w:t>dB。乙方保证乙方人员以及车辆进入本工地现场，应遵守现场的一切卫生环保、文明施工的规定，因违反环保要求所造成的一切罚款由乙方承担。</w:t>
      </w:r>
    </w:p>
    <w:p w14:paraId="70A80171">
      <w:pPr>
        <w:pStyle w:val="12"/>
        <w:spacing w:line="400" w:lineRule="atLeast"/>
        <w:ind w:firstLine="482" w:firstLineChars="200"/>
        <w:rPr>
          <w:rFonts w:ascii="仿宋_GB2312" w:hAnsi="仿宋_GB2312" w:eastAsia="仿宋_GB2312" w:cs="仿宋_GB2312"/>
          <w:b/>
          <w:bCs/>
          <w:color w:val="auto"/>
          <w:highlight w:val="none"/>
        </w:rPr>
      </w:pPr>
      <w:r>
        <w:rPr>
          <w:rFonts w:hint="eastAsia" w:ascii="仿宋_GB2312" w:hAnsi="仿宋_GB2312" w:eastAsia="仿宋_GB2312" w:cs="仿宋_GB2312"/>
          <w:b/>
          <w:bCs/>
          <w:color w:val="auto"/>
          <w:highlight w:val="none"/>
        </w:rPr>
        <w:t>7、货物包装：</w:t>
      </w:r>
    </w:p>
    <w:p w14:paraId="518D1973">
      <w:pPr>
        <w:spacing w:line="400" w:lineRule="atLeast"/>
        <w:ind w:firstLine="482" w:firstLineChars="2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b/>
          <w:bCs/>
          <w:color w:val="auto"/>
          <w:sz w:val="24"/>
          <w:szCs w:val="24"/>
          <w:highlight w:val="none"/>
        </w:rPr>
        <w:t>7.1包装标准：</w:t>
      </w:r>
      <w:r>
        <w:rPr>
          <w:rFonts w:hint="eastAsia" w:ascii="仿宋_GB2312" w:hAnsi="仿宋_GB2312" w:eastAsia="仿宋_GB2312" w:cs="仿宋_GB2312"/>
          <w:color w:val="auto"/>
          <w:sz w:val="24"/>
          <w:szCs w:val="24"/>
          <w:highlight w:val="none"/>
        </w:rPr>
        <w:t>乙方按照国家或业务主管部门的技术规定执行（标准代号、标准编号及标准名称为</w:t>
      </w:r>
      <w:permStart w:id="24" w:edGrp="everyone"/>
      <w:r>
        <w:rPr>
          <w:rFonts w:hint="eastAsia" w:ascii="仿宋_GB2312" w:hAnsi="仿宋_GB2312" w:eastAsia="仿宋_GB2312" w:cs="仿宋_GB2312"/>
          <w:color w:val="auto"/>
          <w:sz w:val="24"/>
          <w:szCs w:val="24"/>
          <w:highlight w:val="none"/>
          <w:u w:val="single"/>
        </w:rPr>
        <w:t xml:space="preserve">    /  </w:t>
      </w:r>
      <w:permEnd w:id="24"/>
      <w:r>
        <w:rPr>
          <w:rFonts w:hint="eastAsia" w:ascii="仿宋_GB2312" w:hAnsi="仿宋_GB2312" w:eastAsia="仿宋_GB2312" w:cs="仿宋_GB2312"/>
          <w:color w:val="auto"/>
          <w:sz w:val="24"/>
          <w:szCs w:val="24"/>
          <w:highlight w:val="none"/>
        </w:rPr>
        <w:t>）；没有上述标准的，或虽有上述标准，但甲方对包装有特殊要求，按如下约定执行：</w:t>
      </w:r>
      <w:permStart w:id="25" w:edGrp="everyone"/>
      <w:r>
        <w:rPr>
          <w:rFonts w:hint="eastAsia" w:ascii="仿宋_GB2312" w:hAnsi="仿宋_GB2312" w:eastAsia="仿宋_GB2312" w:cs="仿宋_GB2312"/>
          <w:color w:val="auto"/>
          <w:sz w:val="24"/>
          <w:szCs w:val="24"/>
          <w:highlight w:val="none"/>
          <w:u w:val="single"/>
        </w:rPr>
        <w:t xml:space="preserve">   / </w:t>
      </w:r>
      <w:permEnd w:id="25"/>
      <w:r>
        <w:rPr>
          <w:rFonts w:hint="eastAsia" w:ascii="仿宋_GB2312" w:hAnsi="仿宋_GB2312" w:eastAsia="仿宋_GB2312" w:cs="仿宋_GB2312"/>
          <w:color w:val="auto"/>
          <w:sz w:val="24"/>
          <w:szCs w:val="24"/>
          <w:highlight w:val="none"/>
          <w:u w:val="single"/>
        </w:rPr>
        <w:t xml:space="preserve"> </w:t>
      </w:r>
      <w:r>
        <w:rPr>
          <w:rFonts w:hint="eastAsia" w:ascii="仿宋_GB2312" w:hAnsi="仿宋_GB2312" w:eastAsia="仿宋_GB2312" w:cs="仿宋_GB2312"/>
          <w:color w:val="auto"/>
          <w:sz w:val="24"/>
          <w:szCs w:val="24"/>
          <w:highlight w:val="none"/>
        </w:rPr>
        <w:t>。</w:t>
      </w:r>
    </w:p>
    <w:p w14:paraId="21370332">
      <w:pPr>
        <w:pStyle w:val="12"/>
        <w:spacing w:line="400" w:lineRule="atLeast"/>
        <w:ind w:firstLine="482" w:firstLineChars="200"/>
        <w:rPr>
          <w:rFonts w:ascii="仿宋_GB2312" w:hAnsi="仿宋_GB2312" w:eastAsia="仿宋_GB2312" w:cs="仿宋_GB2312"/>
          <w:color w:val="auto"/>
          <w:highlight w:val="none"/>
        </w:rPr>
      </w:pPr>
      <w:r>
        <w:rPr>
          <w:rFonts w:hint="eastAsia" w:ascii="仿宋_GB2312" w:hAnsi="仿宋_GB2312" w:eastAsia="仿宋_GB2312" w:cs="仿宋_GB2312"/>
          <w:b/>
          <w:bCs/>
          <w:color w:val="auto"/>
          <w:highlight w:val="none"/>
        </w:rPr>
        <w:t>7.2包装回收：</w:t>
      </w:r>
      <w:r>
        <w:rPr>
          <w:rFonts w:hint="eastAsia" w:ascii="仿宋_GB2312" w:hAnsi="仿宋_GB2312" w:eastAsia="仿宋_GB2312" w:cs="仿宋_GB2312"/>
          <w:color w:val="auto"/>
          <w:highlight w:val="none"/>
          <w:u w:val="single"/>
        </w:rPr>
        <w:t>乙方无特别注明视为无包装物回收，有包装物回收时乙方应在收到甲方通知7天内完成包装回收。</w:t>
      </w:r>
    </w:p>
    <w:p w14:paraId="534D54E4">
      <w:pPr>
        <w:pStyle w:val="12"/>
        <w:spacing w:line="400" w:lineRule="atLeast"/>
        <w:ind w:firstLine="482" w:firstLineChars="200"/>
        <w:outlineLvl w:val="1"/>
        <w:rPr>
          <w:rFonts w:ascii="仿宋_GB2312" w:hAnsi="仿宋_GB2312" w:eastAsia="仿宋_GB2312" w:cs="仿宋_GB2312"/>
          <w:color w:val="auto"/>
          <w:highlight w:val="none"/>
        </w:rPr>
      </w:pPr>
      <w:r>
        <w:rPr>
          <w:rFonts w:hint="eastAsia" w:ascii="仿宋_GB2312" w:hAnsi="仿宋_GB2312" w:eastAsia="仿宋_GB2312" w:cs="仿宋_GB2312"/>
          <w:b/>
          <w:bCs/>
          <w:color w:val="auto"/>
          <w:highlight w:val="none"/>
        </w:rPr>
        <w:t>8、安装要求：</w:t>
      </w:r>
      <w:r>
        <w:rPr>
          <w:rFonts w:hint="eastAsia" w:ascii="仿宋_GB2312" w:hAnsi="仿宋_GB2312" w:eastAsia="仿宋_GB2312" w:cs="仿宋_GB2312"/>
          <w:color w:val="auto"/>
          <w:highlight w:val="none"/>
        </w:rPr>
        <w:t>若货物附带安装工作内容，单价已综合考虑不另计价，具体安装内容及要求如下：</w:t>
      </w:r>
      <w:permStart w:id="26" w:edGrp="everyone"/>
      <w:r>
        <w:rPr>
          <w:rFonts w:hint="eastAsia" w:ascii="仿宋_GB2312" w:hAnsi="仿宋_GB2312" w:eastAsia="仿宋_GB2312" w:cs="仿宋_GB2312"/>
          <w:color w:val="auto"/>
          <w:highlight w:val="none"/>
          <w:u w:val="single"/>
        </w:rPr>
        <w:t xml:space="preserve">   /  </w:t>
      </w:r>
      <w:permEnd w:id="26"/>
      <w:r>
        <w:rPr>
          <w:rFonts w:hint="eastAsia" w:ascii="仿宋_GB2312" w:hAnsi="仿宋_GB2312" w:eastAsia="仿宋_GB2312" w:cs="仿宋_GB2312"/>
          <w:color w:val="auto"/>
          <w:highlight w:val="none"/>
          <w:u w:val="single"/>
        </w:rPr>
        <w:t xml:space="preserve"> </w:t>
      </w:r>
      <w:r>
        <w:rPr>
          <w:rFonts w:hint="eastAsia" w:ascii="仿宋_GB2312" w:hAnsi="仿宋_GB2312" w:eastAsia="仿宋_GB2312" w:cs="仿宋_GB2312"/>
          <w:color w:val="auto"/>
          <w:highlight w:val="none"/>
        </w:rPr>
        <w:t>。</w:t>
      </w:r>
    </w:p>
    <w:p w14:paraId="64ACC81B">
      <w:pPr>
        <w:pStyle w:val="12"/>
        <w:spacing w:line="400" w:lineRule="atLeast"/>
        <w:ind w:firstLine="482" w:firstLineChars="200"/>
        <w:outlineLvl w:val="1"/>
        <w:rPr>
          <w:rFonts w:ascii="仿宋_GB2312" w:hAnsi="仿宋_GB2312" w:eastAsia="仿宋_GB2312" w:cs="仿宋_GB2312"/>
          <w:color w:val="auto"/>
          <w:highlight w:val="none"/>
        </w:rPr>
      </w:pPr>
      <w:r>
        <w:rPr>
          <w:rFonts w:hint="eastAsia" w:ascii="仿宋_GB2312" w:hAnsi="仿宋_GB2312" w:eastAsia="仿宋_GB2312" w:cs="仿宋_GB2312"/>
          <w:b/>
          <w:bCs/>
          <w:color w:val="auto"/>
          <w:highlight w:val="none"/>
        </w:rPr>
        <w:t>9、货物意外灭失风险：</w:t>
      </w:r>
      <w:r>
        <w:rPr>
          <w:rFonts w:hint="eastAsia" w:ascii="仿宋_GB2312" w:hAnsi="仿宋_GB2312" w:eastAsia="仿宋_GB2312" w:cs="仿宋_GB2312"/>
          <w:color w:val="auto"/>
          <w:highlight w:val="none"/>
        </w:rPr>
        <w:t>乙方须负责货物正式交货前的安全、保卫、防火、防盗工作，包括运输途中、装货中的人身和货物的安全，在正式交货前，包括运输途中、装货中如有人身伤害或货物受损失均由乙方负责。货物直至乙方送交甲方指定的交货地点，完成上述条款事项，经甲方验收合格入库，并办理验收手续后，该货物的毁损、灭失的风险方由乙方转移至甲方。</w:t>
      </w:r>
    </w:p>
    <w:p w14:paraId="2B453DA7">
      <w:pPr>
        <w:pStyle w:val="12"/>
        <w:numPr>
          <w:ilvl w:val="0"/>
          <w:numId w:val="1"/>
        </w:numPr>
        <w:spacing w:before="120" w:beforeLines="50" w:after="120" w:afterLines="50" w:line="400" w:lineRule="atLeast"/>
        <w:ind w:firstLine="482" w:firstLineChars="200"/>
        <w:outlineLvl w:val="0"/>
        <w:rPr>
          <w:rFonts w:ascii="仿宋_GB2312" w:hAnsi="仿宋_GB2312" w:eastAsia="仿宋_GB2312" w:cs="仿宋_GB2312"/>
          <w:b/>
          <w:bCs/>
          <w:color w:val="auto"/>
          <w:highlight w:val="none"/>
        </w:rPr>
      </w:pPr>
      <w:bookmarkStart w:id="16" w:name="_Toc15437"/>
      <w:bookmarkStart w:id="17" w:name="_Toc12447"/>
      <w:bookmarkStart w:id="18" w:name="_Toc29361"/>
      <w:r>
        <w:rPr>
          <w:rFonts w:hint="eastAsia" w:ascii="仿宋_GB2312" w:hAnsi="仿宋_GB2312" w:eastAsia="仿宋_GB2312" w:cs="仿宋_GB2312"/>
          <w:b/>
          <w:bCs/>
          <w:color w:val="auto"/>
          <w:highlight w:val="none"/>
        </w:rPr>
        <w:t>货物质量</w:t>
      </w:r>
      <w:bookmarkEnd w:id="16"/>
      <w:bookmarkEnd w:id="17"/>
      <w:bookmarkEnd w:id="18"/>
    </w:p>
    <w:p w14:paraId="15B7A066">
      <w:pPr>
        <w:pStyle w:val="12"/>
        <w:spacing w:line="400" w:lineRule="atLeast"/>
        <w:ind w:firstLine="482" w:firstLineChars="200"/>
        <w:rPr>
          <w:rFonts w:ascii="仿宋_GB2312" w:hAnsi="仿宋_GB2312" w:eastAsia="仿宋_GB2312" w:cs="仿宋_GB2312"/>
          <w:b/>
          <w:bCs/>
          <w:color w:val="auto"/>
          <w:highlight w:val="none"/>
        </w:rPr>
      </w:pPr>
      <w:r>
        <w:rPr>
          <w:rFonts w:hint="eastAsia" w:ascii="仿宋_GB2312" w:hAnsi="仿宋_GB2312" w:eastAsia="仿宋_GB2312" w:cs="仿宋_GB2312"/>
          <w:b/>
          <w:bCs/>
          <w:color w:val="auto"/>
          <w:highlight w:val="none"/>
        </w:rPr>
        <w:t>1、质量要求及技术标准：</w:t>
      </w:r>
    </w:p>
    <w:p w14:paraId="406E5DEB">
      <w:pPr>
        <w:pStyle w:val="12"/>
        <w:spacing w:line="400" w:lineRule="atLeast"/>
        <w:ind w:firstLine="480" w:firstLineChars="200"/>
        <w:outlineLvl w:val="1"/>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1.1按照国家标准执行（标准代号、标准编号及标准名称为</w:t>
      </w:r>
      <w:permStart w:id="27" w:edGrp="everyone"/>
      <w:r>
        <w:rPr>
          <w:rFonts w:hint="eastAsia" w:ascii="仿宋_GB2312" w:hAnsi="仿宋_GB2312" w:eastAsia="仿宋_GB2312" w:cs="仿宋_GB2312"/>
          <w:color w:val="auto"/>
          <w:highlight w:val="none"/>
          <w:u w:val="single"/>
        </w:rPr>
        <w:t xml:space="preserve">  </w:t>
      </w:r>
      <w:r>
        <w:rPr>
          <w:rFonts w:hint="eastAsia" w:ascii="仿宋_GB2312" w:hAnsi="仿宋_GB2312" w:eastAsia="仿宋_GB2312" w:cs="仿宋_GB2312"/>
          <w:color w:val="auto"/>
          <w:highlight w:val="none"/>
          <w:u w:val="single"/>
          <w:lang w:val="en-US" w:eastAsia="zh-CN"/>
        </w:rPr>
        <w:t xml:space="preserve">/   </w:t>
      </w:r>
      <w:r>
        <w:rPr>
          <w:rFonts w:hint="eastAsia" w:ascii="仿宋_GB2312" w:hAnsi="仿宋_GB2312" w:eastAsia="仿宋_GB2312" w:cs="仿宋_GB2312"/>
          <w:color w:val="auto"/>
          <w:highlight w:val="none"/>
          <w:u w:val="single"/>
        </w:rPr>
        <w:t xml:space="preserve"> </w:t>
      </w:r>
      <w:permEnd w:id="27"/>
      <w:r>
        <w:rPr>
          <w:rFonts w:hint="eastAsia" w:ascii="仿宋_GB2312" w:hAnsi="仿宋_GB2312" w:eastAsia="仿宋_GB2312" w:cs="仿宋_GB2312"/>
          <w:color w:val="auto"/>
          <w:highlight w:val="none"/>
        </w:rPr>
        <w:t>）。</w:t>
      </w:r>
    </w:p>
    <w:p w14:paraId="0AAD8622">
      <w:pPr>
        <w:pStyle w:val="12"/>
        <w:spacing w:line="400" w:lineRule="atLeast"/>
        <w:ind w:firstLine="480" w:firstLineChars="200"/>
        <w:outlineLvl w:val="1"/>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1.2无国家标准而有部颁标准的，按部颁标准执行。</w:t>
      </w:r>
    </w:p>
    <w:p w14:paraId="440C241D">
      <w:pPr>
        <w:pStyle w:val="12"/>
        <w:spacing w:line="400" w:lineRule="atLeast"/>
        <w:ind w:firstLine="480" w:firstLineChars="200"/>
        <w:outlineLvl w:val="1"/>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1.3无国家和部颁标准的，按企业标准执行。</w:t>
      </w:r>
    </w:p>
    <w:p w14:paraId="194071B3">
      <w:pPr>
        <w:pStyle w:val="12"/>
        <w:spacing w:line="400" w:lineRule="atLeast"/>
        <w:ind w:firstLine="480" w:firstLineChars="200"/>
        <w:outlineLvl w:val="1"/>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1.4没有上述标准的，或虽有上述标准，但甲方有特殊要求的，按甲乙双方在合同中商定的技术条件、样品或补充的技术要求执行（具体要求</w:t>
      </w:r>
      <w:permStart w:id="28" w:edGrp="everyone"/>
      <w:r>
        <w:rPr>
          <w:rFonts w:hint="eastAsia" w:ascii="仿宋_GB2312" w:hAnsi="仿宋_GB2312" w:eastAsia="仿宋_GB2312" w:cs="仿宋_GB2312"/>
          <w:color w:val="auto"/>
          <w:highlight w:val="none"/>
          <w:u w:val="single"/>
        </w:rPr>
        <w:t xml:space="preserve"> </w:t>
      </w:r>
      <w:r>
        <w:rPr>
          <w:rFonts w:hint="eastAsia" w:ascii="仿宋_GB2312" w:hAnsi="仿宋_GB2312" w:eastAsia="仿宋_GB2312" w:cs="仿宋_GB2312"/>
          <w:color w:val="auto"/>
          <w:highlight w:val="none"/>
          <w:u w:val="single"/>
          <w:lang w:val="en-US" w:eastAsia="zh-CN"/>
        </w:rPr>
        <w:t>若有图纸，需满足施工图纸要求，且须满足中华人民共和国国家、地方及行业最新颁布的相关标准及技术规范，如果规范、标准、要求适用于同一种情况，则以标准高者为准。</w:t>
      </w:r>
      <w:r>
        <w:rPr>
          <w:rFonts w:hint="eastAsia" w:ascii="仿宋_GB2312" w:hAnsi="仿宋_GB2312" w:eastAsia="仿宋_GB2312" w:cs="仿宋_GB2312"/>
          <w:color w:val="auto"/>
          <w:highlight w:val="none"/>
        </w:rPr>
        <w:t xml:space="preserve"> </w:t>
      </w:r>
      <w:permEnd w:id="28"/>
      <w:r>
        <w:rPr>
          <w:rFonts w:hint="eastAsia" w:ascii="仿宋_GB2312" w:hAnsi="仿宋_GB2312" w:eastAsia="仿宋_GB2312" w:cs="仿宋_GB2312"/>
          <w:color w:val="auto"/>
          <w:highlight w:val="none"/>
        </w:rPr>
        <w:t>）。</w:t>
      </w:r>
    </w:p>
    <w:p w14:paraId="3D9F0FF1">
      <w:pPr>
        <w:pStyle w:val="12"/>
        <w:spacing w:line="400" w:lineRule="atLeast"/>
        <w:ind w:firstLine="480" w:firstLineChars="200"/>
        <w:outlineLvl w:val="1"/>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rPr>
        <w:t>1.5如乙方有通过国家相关质量体系认证的企业标准，且其标准高于上述标准的，按乙方企业标准执行。产品必须满足中华人民共和国国家、地方及行业最新颁布的相关标准及技术规范，如果规范、标准、要求适用于同一种情况，则以标准高者为准</w:t>
      </w:r>
      <w:r>
        <w:rPr>
          <w:rFonts w:hint="eastAsia" w:ascii="仿宋_GB2312" w:hAnsi="仿宋_GB2312" w:eastAsia="仿宋_GB2312" w:cs="仿宋_GB2312"/>
          <w:color w:val="auto"/>
          <w:highlight w:val="none"/>
          <w:lang w:eastAsia="zh-CN"/>
        </w:rPr>
        <w:t>。</w:t>
      </w:r>
    </w:p>
    <w:p w14:paraId="78CEA718">
      <w:pPr>
        <w:pStyle w:val="12"/>
        <w:spacing w:line="400" w:lineRule="atLeast"/>
        <w:ind w:firstLine="480" w:firstLineChars="200"/>
        <w:outlineLvl w:val="1"/>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1.6其他：</w:t>
      </w:r>
      <w:permStart w:id="29" w:edGrp="everyone"/>
      <w:r>
        <w:rPr>
          <w:rFonts w:hint="eastAsia" w:ascii="仿宋_GB2312" w:hAnsi="仿宋_GB2312" w:eastAsia="仿宋_GB2312" w:cs="仿宋_GB2312"/>
          <w:color w:val="auto"/>
          <w:highlight w:val="none"/>
        </w:rPr>
        <w:t xml:space="preserve"> </w:t>
      </w:r>
      <w:r>
        <w:rPr>
          <w:rFonts w:hint="eastAsia" w:ascii="仿宋_GB2312" w:hAnsi="仿宋_GB2312" w:eastAsia="仿宋_GB2312" w:cs="仿宋_GB2312"/>
          <w:color w:val="auto"/>
          <w:highlight w:val="none"/>
          <w:u w:val="single"/>
        </w:rPr>
        <w:t xml:space="preserve">/                  </w:t>
      </w:r>
      <w:permEnd w:id="29"/>
      <w:r>
        <w:rPr>
          <w:rFonts w:hint="eastAsia" w:ascii="仿宋_GB2312" w:hAnsi="仿宋_GB2312" w:eastAsia="仿宋_GB2312" w:cs="仿宋_GB2312"/>
          <w:color w:val="auto"/>
          <w:highlight w:val="none"/>
        </w:rPr>
        <w:t>。</w:t>
      </w:r>
    </w:p>
    <w:p w14:paraId="0D5661AB">
      <w:pPr>
        <w:pStyle w:val="12"/>
        <w:spacing w:line="400" w:lineRule="atLeast"/>
        <w:ind w:firstLine="482" w:firstLineChars="200"/>
        <w:outlineLvl w:val="1"/>
        <w:rPr>
          <w:rFonts w:ascii="仿宋_GB2312" w:hAnsi="仿宋_GB2312" w:eastAsia="仿宋_GB2312" w:cs="仿宋_GB2312"/>
          <w:color w:val="auto"/>
          <w:highlight w:val="none"/>
        </w:rPr>
      </w:pPr>
      <w:r>
        <w:rPr>
          <w:rFonts w:hint="eastAsia" w:ascii="仿宋_GB2312" w:hAnsi="仿宋_GB2312" w:eastAsia="仿宋_GB2312" w:cs="仿宋_GB2312"/>
          <w:b/>
          <w:bCs/>
          <w:color w:val="auto"/>
          <w:highlight w:val="none"/>
        </w:rPr>
        <w:t>2、货物附件清单：</w:t>
      </w:r>
      <w:r>
        <w:rPr>
          <w:rFonts w:hint="eastAsia" w:ascii="仿宋_GB2312" w:hAnsi="仿宋_GB2312" w:eastAsia="仿宋_GB2312" w:cs="仿宋_GB2312"/>
          <w:color w:val="auto"/>
          <w:highlight w:val="none"/>
        </w:rPr>
        <w:t>乙方应按甲方要求在交货时提供货物附件清单：</w:t>
      </w:r>
      <w:permStart w:id="30" w:edGrp="everyone"/>
      <w:r>
        <w:rPr>
          <w:rFonts w:hint="eastAsia" w:ascii="仿宋_GB2312" w:hAnsi="仿宋_GB2312" w:eastAsia="仿宋_GB2312" w:cs="仿宋_GB2312"/>
          <w:color w:val="auto"/>
          <w:highlight w:val="none"/>
          <w:u w:val="single"/>
        </w:rPr>
        <w:t>产品质量证明书、出厂合格证、产品检验报告、国家强制性产品认证书、产品质量免检证书、产品生产许可证、管理体系认证证书、装箱单、发货单等</w:t>
      </w:r>
      <w:r>
        <w:rPr>
          <w:rFonts w:hint="eastAsia" w:ascii="仿宋_GB2312" w:hAnsi="仿宋_GB2312" w:eastAsia="仿宋_GB2312" w:cs="仿宋_GB2312"/>
          <w:color w:val="auto"/>
          <w:highlight w:val="none"/>
          <w:u w:val="single"/>
          <w:lang w:val="en-US" w:eastAsia="zh-CN"/>
        </w:rPr>
        <w:t>以及</w:t>
      </w:r>
      <w:r>
        <w:rPr>
          <w:rFonts w:hint="eastAsia" w:ascii="仿宋_GB2312" w:hAnsi="仿宋_GB2312" w:eastAsia="仿宋_GB2312" w:cs="仿宋_GB2312"/>
          <w:color w:val="auto"/>
          <w:highlight w:val="none"/>
          <w:u w:val="single"/>
        </w:rPr>
        <w:t>甲方为完成计量、竣工资料等所需要的所有资料，并及时交送到甲方指定负责人处，乙方提供资料均需在有效期内</w:t>
      </w:r>
      <w:permEnd w:id="30"/>
      <w:r>
        <w:rPr>
          <w:rFonts w:hint="eastAsia" w:ascii="仿宋_GB2312" w:hAnsi="仿宋_GB2312" w:eastAsia="仿宋_GB2312" w:cs="仿宋_GB2312"/>
          <w:color w:val="auto"/>
          <w:highlight w:val="none"/>
          <w:u w:val="single"/>
        </w:rPr>
        <w:t>。</w:t>
      </w:r>
      <w:r>
        <w:rPr>
          <w:rFonts w:hint="eastAsia" w:ascii="仿宋_GB2312" w:hAnsi="仿宋_GB2312" w:eastAsia="仿宋_GB2312" w:cs="仿宋_GB2312"/>
          <w:color w:val="auto"/>
          <w:highlight w:val="none"/>
        </w:rPr>
        <w:t>附件清单明确附件内容及份数同时加印乙方签章于收货时一并交由甲方核验，否则甲方不予办理收料手续。</w:t>
      </w:r>
    </w:p>
    <w:p w14:paraId="4833F580">
      <w:pPr>
        <w:pStyle w:val="12"/>
        <w:spacing w:line="400" w:lineRule="atLeast"/>
        <w:ind w:firstLine="482" w:firstLineChars="200"/>
        <w:outlineLvl w:val="1"/>
        <w:rPr>
          <w:rFonts w:ascii="仿宋_GB2312" w:hAnsi="仿宋_GB2312" w:eastAsia="仿宋_GB2312" w:cs="仿宋_GB2312"/>
          <w:color w:val="auto"/>
          <w:highlight w:val="none"/>
        </w:rPr>
      </w:pPr>
      <w:r>
        <w:rPr>
          <w:rFonts w:hint="eastAsia" w:ascii="仿宋_GB2312" w:hAnsi="仿宋_GB2312" w:eastAsia="仿宋_GB2312" w:cs="仿宋_GB2312"/>
          <w:b/>
          <w:bCs/>
          <w:color w:val="auto"/>
          <w:highlight w:val="none"/>
        </w:rPr>
        <w:t>3、货物质量保修期：</w:t>
      </w:r>
      <w:r>
        <w:rPr>
          <w:rFonts w:hint="eastAsia" w:ascii="仿宋_GB2312" w:hAnsi="仿宋_GB2312" w:eastAsia="仿宋_GB2312" w:cs="仿宋_GB2312"/>
          <w:color w:val="auto"/>
          <w:highlight w:val="none"/>
        </w:rPr>
        <w:t>按下列第</w:t>
      </w:r>
      <w:permStart w:id="31" w:edGrp="everyone"/>
      <w:r>
        <w:rPr>
          <w:rFonts w:hint="eastAsia" w:ascii="仿宋_GB2312" w:hAnsi="仿宋_GB2312" w:eastAsia="仿宋_GB2312" w:cs="仿宋_GB2312"/>
          <w:color w:val="auto"/>
          <w:highlight w:val="none"/>
          <w:u w:val="single"/>
        </w:rPr>
        <w:t xml:space="preserve"> </w:t>
      </w:r>
      <w:r>
        <w:rPr>
          <w:rFonts w:hint="eastAsia" w:ascii="仿宋_GB2312" w:hAnsi="仿宋_GB2312" w:eastAsia="仿宋_GB2312" w:cs="仿宋_GB2312"/>
          <w:color w:val="auto"/>
          <w:highlight w:val="none"/>
          <w:u w:val="single"/>
          <w:lang w:val="en-US" w:eastAsia="zh-CN"/>
        </w:rPr>
        <w:t>3.3</w:t>
      </w:r>
      <w:r>
        <w:rPr>
          <w:rFonts w:hint="eastAsia" w:ascii="仿宋_GB2312" w:hAnsi="仿宋_GB2312" w:eastAsia="仿宋_GB2312" w:cs="仿宋_GB2312"/>
          <w:color w:val="auto"/>
          <w:highlight w:val="none"/>
          <w:u w:val="single"/>
        </w:rPr>
        <w:t xml:space="preserve"> </w:t>
      </w:r>
      <w:permEnd w:id="31"/>
      <w:r>
        <w:rPr>
          <w:rFonts w:hint="eastAsia" w:ascii="仿宋_GB2312" w:hAnsi="仿宋_GB2312" w:eastAsia="仿宋_GB2312" w:cs="仿宋_GB2312"/>
          <w:color w:val="auto"/>
          <w:highlight w:val="none"/>
        </w:rPr>
        <w:t>项执行（如货物明示或设计的质量保修期/缺陷责任期较长的，以较长者为准）：</w:t>
      </w:r>
    </w:p>
    <w:p w14:paraId="722EC853">
      <w:pPr>
        <w:pStyle w:val="12"/>
        <w:spacing w:line="400" w:lineRule="atLeast"/>
        <w:ind w:firstLine="480" w:firstLineChars="200"/>
        <w:rPr>
          <w:rFonts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3.1质量保修期无</w:t>
      </w:r>
    </w:p>
    <w:p w14:paraId="6D5A36AF">
      <w:pPr>
        <w:pStyle w:val="12"/>
        <w:spacing w:line="400" w:lineRule="atLeast"/>
        <w:ind w:firstLine="480" w:firstLineChars="200"/>
        <w:rPr>
          <w:rFonts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3.2质量保修期为</w:t>
      </w:r>
      <w:permStart w:id="32" w:edGrp="everyone"/>
      <w:r>
        <w:rPr>
          <w:rFonts w:hint="eastAsia" w:ascii="仿宋_GB2312" w:hAnsi="仿宋_GB2312" w:eastAsia="仿宋_GB2312" w:cs="仿宋_GB2312"/>
          <w:color w:val="auto"/>
          <w:highlight w:val="none"/>
          <w:u w:val="single"/>
        </w:rPr>
        <w:t xml:space="preserve">  /   </w:t>
      </w:r>
      <w:permEnd w:id="32"/>
      <w:r>
        <w:rPr>
          <w:rFonts w:hint="eastAsia" w:ascii="仿宋_GB2312" w:hAnsi="仿宋_GB2312" w:eastAsia="仿宋_GB2312" w:cs="仿宋_GB2312"/>
          <w:color w:val="auto"/>
          <w:highlight w:val="none"/>
        </w:rPr>
        <w:t>个月，自货物进场验收合格之日起算；</w:t>
      </w:r>
    </w:p>
    <w:p w14:paraId="25ACB3C3">
      <w:pPr>
        <w:pStyle w:val="12"/>
        <w:spacing w:line="400" w:lineRule="atLeast"/>
        <w:ind w:firstLine="480" w:firstLineChars="200"/>
        <w:rPr>
          <w:rFonts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3.3质量保修期为</w:t>
      </w:r>
      <w:permStart w:id="33" w:edGrp="everyone"/>
      <w:r>
        <w:rPr>
          <w:rFonts w:hint="eastAsia" w:ascii="仿宋_GB2312" w:hAnsi="仿宋_GB2312" w:eastAsia="仿宋_GB2312" w:cs="仿宋_GB2312"/>
          <w:color w:val="auto"/>
          <w:highlight w:val="none"/>
          <w:u w:val="single"/>
        </w:rPr>
        <w:t xml:space="preserve">  </w:t>
      </w:r>
      <w:r>
        <w:rPr>
          <w:rFonts w:hint="eastAsia" w:ascii="仿宋_GB2312" w:hAnsi="仿宋_GB2312" w:eastAsia="仿宋_GB2312" w:cs="仿宋_GB2312"/>
          <w:color w:val="auto"/>
          <w:highlight w:val="none"/>
          <w:u w:val="single"/>
          <w:lang w:val="en-US" w:eastAsia="zh-CN"/>
        </w:rPr>
        <w:t>6</w:t>
      </w:r>
      <w:r>
        <w:rPr>
          <w:rFonts w:hint="eastAsia" w:ascii="仿宋_GB2312" w:hAnsi="仿宋_GB2312" w:eastAsia="仿宋_GB2312" w:cs="仿宋_GB2312"/>
          <w:color w:val="auto"/>
          <w:highlight w:val="none"/>
          <w:u w:val="single"/>
        </w:rPr>
        <w:t xml:space="preserve">  </w:t>
      </w:r>
      <w:permEnd w:id="33"/>
      <w:r>
        <w:rPr>
          <w:rFonts w:hint="eastAsia" w:ascii="仿宋_GB2312" w:hAnsi="仿宋_GB2312" w:eastAsia="仿宋_GB2312" w:cs="仿宋_GB2312"/>
          <w:color w:val="auto"/>
          <w:highlight w:val="none"/>
        </w:rPr>
        <w:t>个月，从工程（送货地工程）竣工验收合格之日（以业主颁发竣工证书所载日期为准）起计算；</w:t>
      </w:r>
    </w:p>
    <w:p w14:paraId="4AFA9E3B">
      <w:pPr>
        <w:pStyle w:val="12"/>
        <w:spacing w:line="400" w:lineRule="atLeast"/>
        <w:ind w:firstLine="480" w:firstLineChars="200"/>
        <w:rPr>
          <w:rFonts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所有货物须保证满足现场使用要求，如货物在质量保修期内出现质量瑕疵或者缺陷的，由乙方按照甲方的时间要求免费维修或者更换，经甲方要求整改一次仍无法达到合同要求时，甲方可自行或委托第三方代为履行，并以实际发生费用从乙方的应付款中扣除。</w:t>
      </w:r>
    </w:p>
    <w:p w14:paraId="52CA03F6">
      <w:pPr>
        <w:pStyle w:val="12"/>
        <w:numPr>
          <w:ilvl w:val="0"/>
          <w:numId w:val="1"/>
        </w:numPr>
        <w:spacing w:before="120" w:beforeLines="50" w:after="120" w:afterLines="50" w:line="400" w:lineRule="atLeast"/>
        <w:ind w:firstLine="482" w:firstLineChars="200"/>
        <w:outlineLvl w:val="0"/>
        <w:rPr>
          <w:rFonts w:ascii="仿宋_GB2312" w:hAnsi="仿宋_GB2312" w:eastAsia="仿宋_GB2312" w:cs="仿宋_GB2312"/>
          <w:b/>
          <w:bCs/>
          <w:color w:val="000000" w:themeColor="text1"/>
          <w:highlight w:val="none"/>
          <w14:textFill>
            <w14:solidFill>
              <w14:schemeClr w14:val="tx1"/>
            </w14:solidFill>
          </w14:textFill>
        </w:rPr>
      </w:pPr>
      <w:bookmarkStart w:id="19" w:name="_Toc22036"/>
      <w:bookmarkStart w:id="20" w:name="_Toc3621"/>
      <w:bookmarkStart w:id="21" w:name="_Toc12481"/>
      <w:r>
        <w:rPr>
          <w:rFonts w:hint="eastAsia" w:ascii="仿宋_GB2312" w:hAnsi="仿宋_GB2312" w:eastAsia="仿宋_GB2312" w:cs="仿宋_GB2312"/>
          <w:b/>
          <w:bCs/>
          <w:color w:val="000000" w:themeColor="text1"/>
          <w:highlight w:val="none"/>
          <w14:textFill>
            <w14:solidFill>
              <w14:schemeClr w14:val="tx1"/>
            </w14:solidFill>
          </w14:textFill>
        </w:rPr>
        <w:t>货物验收</w:t>
      </w:r>
      <w:bookmarkEnd w:id="19"/>
      <w:bookmarkEnd w:id="20"/>
      <w:bookmarkEnd w:id="21"/>
    </w:p>
    <w:p w14:paraId="47107D5D">
      <w:pPr>
        <w:pStyle w:val="12"/>
        <w:numPr>
          <w:ilvl w:val="0"/>
          <w:numId w:val="3"/>
        </w:numPr>
        <w:spacing w:line="400" w:lineRule="atLeast"/>
        <w:ind w:firstLine="482" w:firstLineChars="200"/>
        <w:jc w:val="both"/>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验收人员：</w:t>
      </w:r>
      <w:r>
        <w:rPr>
          <w:rFonts w:hint="eastAsia" w:ascii="仿宋_GB2312" w:hAnsi="仿宋_GB2312" w:eastAsia="仿宋_GB2312" w:cs="仿宋_GB2312"/>
          <w:color w:val="auto"/>
          <w:highlight w:val="none"/>
        </w:rPr>
        <w:t>货物进场需由甲方物资管理人员</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lang w:val="en-US" w:eastAsia="zh-CN"/>
        </w:rPr>
        <w:t>不少于2人</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rPr>
        <w:t>、</w:t>
      </w:r>
      <w:bookmarkStart w:id="22" w:name="_Hlk127189311"/>
      <w:r>
        <w:rPr>
          <w:rFonts w:hint="eastAsia" w:ascii="仿宋_GB2312" w:hAnsi="仿宋_GB2312" w:eastAsia="仿宋_GB2312" w:cs="仿宋_GB2312"/>
          <w:color w:val="auto"/>
          <w:highlight w:val="none"/>
        </w:rPr>
        <w:t>现场责任</w:t>
      </w:r>
      <w:bookmarkEnd w:id="22"/>
      <w:r>
        <w:rPr>
          <w:rFonts w:hint="eastAsia" w:ascii="仿宋_GB2312" w:hAnsi="仿宋_GB2312" w:eastAsia="仿宋_GB2312" w:cs="仿宋_GB2312"/>
          <w:color w:val="auto"/>
          <w:highlight w:val="none"/>
        </w:rPr>
        <w:t>工程师、分包单位和乙方发货联系人共同完成现场验收，现场验收不代表货物质量合格，质量是否合格需要进一步复核确定。</w:t>
      </w:r>
    </w:p>
    <w:p w14:paraId="6D07D633">
      <w:pPr>
        <w:pStyle w:val="12"/>
        <w:numPr>
          <w:ilvl w:val="0"/>
          <w:numId w:val="3"/>
        </w:numPr>
        <w:spacing w:line="400" w:lineRule="atLeast"/>
        <w:ind w:firstLine="482" w:firstLineChars="200"/>
        <w:jc w:val="both"/>
        <w:outlineLvl w:val="1"/>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验收方式：</w:t>
      </w:r>
      <w:r>
        <w:rPr>
          <w:rFonts w:hint="eastAsia" w:ascii="仿宋_GB2312" w:hAnsi="仿宋_GB2312" w:eastAsia="仿宋_GB2312" w:cs="仿宋_GB2312"/>
          <w:color w:val="000000" w:themeColor="text1"/>
          <w:highlight w:val="none"/>
          <w:u w:val="single"/>
          <w14:textFill>
            <w14:solidFill>
              <w14:schemeClr w14:val="tx1"/>
            </w14:solidFill>
          </w14:textFill>
        </w:rPr>
        <w:t>以智能地磅、云筑收验货系统为主要载体，结合视频监控系统，完成核对凭证、外观质量验收、数量验收和检测报告四步验收，甲方收货联系人出具</w:t>
      </w:r>
      <w:r>
        <w:rPr>
          <w:rFonts w:hint="eastAsia" w:ascii="仿宋_GB2312" w:hAnsi="仿宋_GB2312" w:eastAsia="仿宋_GB2312" w:cs="仿宋_GB2312"/>
          <w:color w:val="000000" w:themeColor="text1"/>
          <w:highlight w:val="none"/>
          <w:u w:val="single"/>
          <w:lang w:val="en-US" w:eastAsia="zh-CN"/>
          <w14:textFill>
            <w14:solidFill>
              <w14:schemeClr w14:val="tx1"/>
            </w14:solidFill>
          </w14:textFill>
        </w:rPr>
        <w:t>过磅单、</w:t>
      </w:r>
      <w:r>
        <w:rPr>
          <w:rFonts w:hint="eastAsia" w:ascii="仿宋_GB2312" w:hAnsi="仿宋_GB2312" w:eastAsia="仿宋_GB2312" w:cs="仿宋_GB2312"/>
          <w:color w:val="000000" w:themeColor="text1"/>
          <w:highlight w:val="none"/>
          <w:u w:val="single"/>
          <w14:textFill>
            <w14:solidFill>
              <w14:schemeClr w14:val="tx1"/>
            </w14:solidFill>
          </w14:textFill>
        </w:rPr>
        <w:t>收料单，甲方收货联系人及乙方发货联系人双方签字后视为验收完成。</w:t>
      </w:r>
    </w:p>
    <w:p w14:paraId="43FFA877">
      <w:pPr>
        <w:pStyle w:val="12"/>
        <w:numPr>
          <w:ilvl w:val="0"/>
          <w:numId w:val="3"/>
        </w:numPr>
        <w:spacing w:line="400" w:lineRule="atLeast"/>
        <w:ind w:firstLine="482" w:firstLineChars="200"/>
        <w:outlineLvl w:val="1"/>
        <w:rPr>
          <w:rFonts w:ascii="仿宋_GB2312" w:hAnsi="仿宋_GB2312" w:eastAsia="仿宋_GB2312" w:cs="仿宋_GB2312"/>
          <w:b/>
          <w:bCs/>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数量验收：</w:t>
      </w:r>
    </w:p>
    <w:p w14:paraId="35D57DD7">
      <w:pPr>
        <w:pStyle w:val="12"/>
        <w:spacing w:line="400" w:lineRule="atLeast"/>
        <w:ind w:firstLine="482" w:firstLineChars="200"/>
        <w:rPr>
          <w:rFonts w:ascii="仿宋_GB2312" w:hAnsi="仿宋_GB2312" w:eastAsia="仿宋_GB2312" w:cs="仿宋_GB2312"/>
          <w:highlight w:val="none"/>
        </w:rPr>
      </w:pPr>
      <w:r>
        <w:rPr>
          <w:rFonts w:hint="eastAsia" w:ascii="仿宋_GB2312" w:hAnsi="仿宋_GB2312" w:eastAsia="仿宋_GB2312" w:cs="仿宋_GB2312"/>
          <w:b/>
          <w:bCs/>
          <w:color w:val="000000" w:themeColor="text1"/>
          <w:highlight w:val="none"/>
          <w14:textFill>
            <w14:solidFill>
              <w14:schemeClr w14:val="tx1"/>
            </w14:solidFill>
          </w14:textFill>
        </w:rPr>
        <w:t>3.1数量验收方式：</w:t>
      </w:r>
      <w:r>
        <w:rPr>
          <w:rFonts w:hint="eastAsia" w:ascii="仿宋_GB2312" w:hAnsi="仿宋_GB2312" w:eastAsia="仿宋_GB2312" w:cs="仿宋_GB2312"/>
          <w:highlight w:val="none"/>
        </w:rPr>
        <w:t>甲乙双方在交货现场以</w:t>
      </w:r>
      <w:permStart w:id="34" w:edGrp="everyone"/>
      <w:r>
        <w:rPr>
          <w:rFonts w:hint="eastAsia" w:ascii="仿宋_GB2312" w:hAnsi="仿宋_GB2312" w:eastAsia="仿宋_GB2312" w:cs="仿宋_GB2312"/>
          <w:highlight w:val="none"/>
          <w:lang w:eastAsia="zh-CN"/>
        </w:rPr>
        <w:t>□</w:t>
      </w:r>
      <w:permEnd w:id="34"/>
      <w:r>
        <w:rPr>
          <w:rFonts w:hint="eastAsia" w:ascii="仿宋_GB2312" w:hAnsi="仿宋_GB2312" w:eastAsia="仿宋_GB2312" w:cs="仿宋_GB2312"/>
          <w:highlight w:val="none"/>
        </w:rPr>
        <w:t>过磅</w:t>
      </w:r>
      <w:r>
        <w:rPr>
          <w:rFonts w:hint="eastAsia" w:ascii="仿宋_GB2312" w:hAnsi="仿宋_GB2312" w:eastAsia="仿宋_GB2312" w:cs="仿宋_GB2312"/>
          <w:highlight w:val="none"/>
          <w:lang w:val="en-US" w:eastAsia="zh-CN"/>
        </w:rPr>
        <w:t>/</w:t>
      </w:r>
      <w:permStart w:id="35" w:edGrp="everyone"/>
      <w:r>
        <w:rPr>
          <w:rFonts w:hint="eastAsia" w:ascii="仿宋_GB2312" w:hAnsi="仿宋_GB2312" w:eastAsia="仿宋_GB2312" w:cs="仿宋_GB2312"/>
          <w:highlight w:val="none"/>
          <w:lang w:eastAsia="zh-CN"/>
        </w:rPr>
        <w:t>☑</w:t>
      </w:r>
      <w:permEnd w:id="35"/>
      <w:r>
        <w:rPr>
          <w:rFonts w:hint="eastAsia" w:ascii="仿宋_GB2312" w:hAnsi="仿宋_GB2312" w:eastAsia="仿宋_GB2312" w:cs="仿宋_GB2312"/>
          <w:highlight w:val="none"/>
        </w:rPr>
        <w:t xml:space="preserve"> 计件</w:t>
      </w:r>
      <w:r>
        <w:rPr>
          <w:rFonts w:hint="eastAsia" w:ascii="仿宋_GB2312" w:hAnsi="仿宋_GB2312" w:eastAsia="仿宋_GB2312" w:cs="仿宋_GB2312"/>
          <w:highlight w:val="none"/>
          <w:lang w:val="en-US" w:eastAsia="zh-CN"/>
        </w:rPr>
        <w:t>/</w:t>
      </w:r>
      <w:permStart w:id="36" w:edGrp="everyone"/>
      <w:r>
        <w:rPr>
          <w:rFonts w:hint="eastAsia" w:ascii="仿宋_GB2312" w:hAnsi="仿宋_GB2312" w:eastAsia="仿宋_GB2312" w:cs="仿宋_GB2312"/>
          <w:highlight w:val="none"/>
          <w:lang w:eastAsia="zh-CN"/>
        </w:rPr>
        <w:t>☑</w:t>
      </w:r>
      <w:r>
        <w:rPr>
          <w:rFonts w:hint="eastAsia" w:ascii="仿宋_GB2312" w:hAnsi="仿宋_GB2312" w:eastAsia="仿宋_GB2312" w:cs="仿宋_GB2312"/>
          <w:highlight w:val="none"/>
        </w:rPr>
        <w:t xml:space="preserve"> </w:t>
      </w:r>
      <w:permEnd w:id="36"/>
      <w:r>
        <w:rPr>
          <w:rFonts w:hint="eastAsia" w:ascii="仿宋_GB2312" w:hAnsi="仿宋_GB2312" w:eastAsia="仿宋_GB2312" w:cs="仿宋_GB2312"/>
          <w:highlight w:val="none"/>
        </w:rPr>
        <w:t>检尺</w:t>
      </w:r>
      <w:r>
        <w:rPr>
          <w:rFonts w:hint="eastAsia" w:ascii="仿宋_GB2312" w:hAnsi="仿宋_GB2312" w:eastAsia="仿宋_GB2312" w:cs="仿宋_GB2312"/>
          <w:highlight w:val="none"/>
          <w:lang w:val="en-US" w:eastAsia="zh-CN"/>
        </w:rPr>
        <w:t>/</w:t>
      </w:r>
      <w:permStart w:id="37" w:edGrp="everyone"/>
      <w:r>
        <w:rPr>
          <w:rFonts w:hint="eastAsia" w:ascii="仿宋_GB2312" w:hAnsi="仿宋_GB2312" w:eastAsia="仿宋_GB2312" w:cs="仿宋_GB2312"/>
          <w:highlight w:val="none"/>
        </w:rPr>
        <w:t xml:space="preserve">□ </w:t>
      </w:r>
      <w:permEnd w:id="37"/>
      <w:r>
        <w:rPr>
          <w:rFonts w:hint="eastAsia" w:ascii="仿宋_GB2312" w:hAnsi="仿宋_GB2312" w:eastAsia="仿宋_GB2312" w:cs="仿宋_GB2312"/>
          <w:highlight w:val="none"/>
        </w:rPr>
        <w:t>其他计量方式</w:t>
      </w:r>
      <w:permStart w:id="38" w:edGrp="everyone"/>
      <w:r>
        <w:rPr>
          <w:rFonts w:hint="eastAsia" w:ascii="仿宋_GB2312" w:hAnsi="仿宋_GB2312" w:eastAsia="仿宋_GB2312" w:cs="仿宋_GB2312"/>
          <w:highlight w:val="none"/>
          <w:u w:val="single"/>
        </w:rPr>
        <w:t xml:space="preserve">     </w:t>
      </w:r>
      <w:r>
        <w:rPr>
          <w:rFonts w:hint="eastAsia" w:ascii="仿宋_GB2312" w:hAnsi="仿宋_GB2312" w:eastAsia="仿宋_GB2312" w:cs="仿宋_GB2312"/>
          <w:highlight w:val="none"/>
          <w:u w:val="single"/>
          <w:lang w:val="en-US" w:eastAsia="zh-CN"/>
        </w:rPr>
        <w:t>/</w:t>
      </w:r>
      <w:r>
        <w:rPr>
          <w:rFonts w:hint="eastAsia" w:ascii="仿宋_GB2312" w:hAnsi="仿宋_GB2312" w:eastAsia="仿宋_GB2312" w:cs="仿宋_GB2312"/>
          <w:highlight w:val="none"/>
          <w:u w:val="single"/>
        </w:rPr>
        <w:t xml:space="preserve">   </w:t>
      </w:r>
      <w:permEnd w:id="38"/>
      <w:r>
        <w:rPr>
          <w:rFonts w:hint="eastAsia" w:ascii="仿宋_GB2312" w:hAnsi="仿宋_GB2312" w:eastAsia="仿宋_GB2312" w:cs="仿宋_GB2312"/>
          <w:highlight w:val="none"/>
        </w:rPr>
        <w:t>进行数量验收，乙方应对在甲方工地现场的数量验收数据进行确认。</w:t>
      </w:r>
    </w:p>
    <w:p w14:paraId="27997F8B">
      <w:pPr>
        <w:pStyle w:val="12"/>
        <w:spacing w:line="400" w:lineRule="atLeast"/>
        <w:ind w:firstLine="482" w:firstLineChars="200"/>
        <w:rPr>
          <w:rFonts w:ascii="仿宋_GB2312" w:hAnsi="仿宋_GB2312" w:eastAsia="仿宋_GB2312" w:cs="仿宋_GB2312"/>
          <w:highlight w:val="none"/>
        </w:rPr>
      </w:pPr>
      <w:r>
        <w:rPr>
          <w:rFonts w:hint="eastAsia" w:ascii="仿宋_GB2312" w:hAnsi="仿宋_GB2312" w:eastAsia="仿宋_GB2312" w:cs="仿宋_GB2312"/>
          <w:b/>
          <w:bCs/>
          <w:highlight w:val="none"/>
        </w:rPr>
        <w:t>3.2数量验收凭据：</w:t>
      </w:r>
      <w:r>
        <w:rPr>
          <w:rFonts w:hint="eastAsia" w:ascii="仿宋_GB2312" w:hAnsi="仿宋_GB2312" w:eastAsia="仿宋_GB2312" w:cs="仿宋_GB2312"/>
          <w:highlight w:val="none"/>
          <w:u w:val="none"/>
        </w:rPr>
        <w:t>由甲方物资负责人及相应验收收料人员共同签署的收货凭据（包括但不限于过磅单据、收料单、供货小票、月度统计单或其他数量统计文件等）仅作为甲方收到乙方所供应物资的数量、型号、规格、到场时间等的证明，而不作为甲方付款及结算的唯一凭证，无论该收货凭据上是否载有单价、合价或合计等涉及价款的内容，且乙方不得以此要求甲方支付任何款项或承担任何责任。甲方项目经理部除物资负责人外的其他任何人员签署的任何形式的收货凭据不作为</w:t>
      </w:r>
      <w:r>
        <w:rPr>
          <w:rFonts w:hint="eastAsia" w:ascii="仿宋_GB2312" w:hAnsi="仿宋_GB2312" w:eastAsia="仿宋_GB2312" w:cs="仿宋_GB2312"/>
          <w:highlight w:val="none"/>
          <w:u w:val="none"/>
          <w:lang w:val="en-US" w:eastAsia="zh-CN"/>
        </w:rPr>
        <w:t>交易</w:t>
      </w:r>
      <w:r>
        <w:rPr>
          <w:rFonts w:hint="eastAsia" w:ascii="仿宋_GB2312" w:hAnsi="仿宋_GB2312" w:eastAsia="仿宋_GB2312" w:cs="仿宋_GB2312"/>
          <w:highlight w:val="none"/>
          <w:u w:val="none"/>
        </w:rPr>
        <w:t>物进场的依据，乙方对甲方签字人员权限负有审查义务</w:t>
      </w:r>
      <w:r>
        <w:rPr>
          <w:rFonts w:hint="eastAsia" w:ascii="仿宋_GB2312" w:hAnsi="仿宋_GB2312" w:eastAsia="仿宋_GB2312" w:cs="仿宋_GB2312"/>
          <w:highlight w:val="none"/>
          <w:u w:val="none"/>
          <w:lang w:val="en-US" w:eastAsia="zh-CN"/>
        </w:rPr>
        <w:t>。</w:t>
      </w:r>
    </w:p>
    <w:p w14:paraId="42AEEA02">
      <w:pPr>
        <w:pStyle w:val="12"/>
        <w:spacing w:line="400" w:lineRule="atLeast"/>
        <w:ind w:firstLine="482" w:firstLineChars="200"/>
        <w:rPr>
          <w:rFonts w:ascii="仿宋_GB2312" w:hAnsi="仿宋_GB2312" w:eastAsia="仿宋_GB2312" w:cs="仿宋_GB2312"/>
          <w:color w:val="000000" w:themeColor="text1"/>
          <w:highlight w:val="none"/>
          <w:u w:val="single"/>
          <w14:textFill>
            <w14:solidFill>
              <w14:schemeClr w14:val="tx1"/>
            </w14:solidFill>
          </w14:textFill>
        </w:rPr>
      </w:pPr>
      <w:r>
        <w:rPr>
          <w:rFonts w:hint="eastAsia" w:ascii="仿宋_GB2312" w:hAnsi="仿宋_GB2312" w:eastAsia="仿宋_GB2312" w:cs="仿宋_GB2312"/>
          <w:b/>
          <w:bCs/>
          <w:highlight w:val="none"/>
        </w:rPr>
        <w:t>3.3数量争议：</w:t>
      </w:r>
      <w:r>
        <w:rPr>
          <w:rFonts w:hint="eastAsia" w:ascii="仿宋_GB2312" w:hAnsi="仿宋_GB2312" w:eastAsia="仿宋_GB2312" w:cs="仿宋_GB2312"/>
          <w:color w:val="000000" w:themeColor="text1"/>
          <w:highlight w:val="none"/>
          <w14:textFill>
            <w14:solidFill>
              <w14:schemeClr w14:val="tx1"/>
            </w14:solidFill>
          </w14:textFill>
        </w:rPr>
        <w:t>甲方如有数量异议，应在收货后7天内提出，</w:t>
      </w:r>
      <w:r>
        <w:rPr>
          <w:rFonts w:hint="eastAsia" w:ascii="仿宋_GB2312" w:hAnsi="仿宋_GB2312" w:eastAsia="仿宋_GB2312" w:cs="仿宋_GB2312"/>
          <w:b/>
          <w:bCs/>
          <w:color w:val="000000" w:themeColor="text1"/>
          <w:highlight w:val="none"/>
          <w14:textFill>
            <w14:solidFill>
              <w14:schemeClr w14:val="tx1"/>
            </w14:solidFill>
          </w14:textFill>
        </w:rPr>
        <w:t>乙方应在3天内作出答复，未回复视为认可甲方验收数量</w:t>
      </w:r>
      <w:r>
        <w:rPr>
          <w:rFonts w:hint="eastAsia" w:ascii="仿宋_GB2312" w:hAnsi="仿宋_GB2312" w:eastAsia="仿宋_GB2312" w:cs="仿宋_GB2312"/>
          <w:color w:val="000000" w:themeColor="text1"/>
          <w:highlight w:val="none"/>
          <w14:textFill>
            <w14:solidFill>
              <w14:schemeClr w14:val="tx1"/>
            </w14:solidFill>
          </w14:textFill>
        </w:rPr>
        <w:t>。</w:t>
      </w:r>
    </w:p>
    <w:p w14:paraId="07ECBFC3">
      <w:pPr>
        <w:pStyle w:val="12"/>
        <w:numPr>
          <w:ilvl w:val="0"/>
          <w:numId w:val="3"/>
        </w:numPr>
        <w:spacing w:line="400" w:lineRule="atLeast"/>
        <w:ind w:firstLine="482" w:firstLineChars="200"/>
        <w:outlineLvl w:val="1"/>
        <w:rPr>
          <w:rFonts w:ascii="仿宋_GB2312" w:hAnsi="仿宋_GB2312" w:eastAsia="仿宋_GB2312" w:cs="仿宋_GB2312"/>
          <w:b/>
          <w:bCs/>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质量验收：</w:t>
      </w:r>
    </w:p>
    <w:p w14:paraId="14A6286B">
      <w:pPr>
        <w:pStyle w:val="12"/>
        <w:spacing w:line="400" w:lineRule="atLeast"/>
        <w:ind w:firstLine="482" w:firstLineChars="200"/>
        <w:rPr>
          <w:rFonts w:ascii="仿宋_GB2312" w:hAnsi="仿宋_GB2312" w:eastAsia="仿宋_GB2312" w:cs="仿宋_GB2312"/>
          <w:color w:val="FF0000"/>
          <w:highlight w:val="none"/>
        </w:rPr>
      </w:pPr>
      <w:r>
        <w:rPr>
          <w:rFonts w:hint="eastAsia" w:ascii="仿宋_GB2312" w:hAnsi="仿宋_GB2312" w:eastAsia="仿宋_GB2312" w:cs="仿宋_GB2312"/>
          <w:b/>
          <w:bCs/>
          <w:color w:val="000000" w:themeColor="text1"/>
          <w:highlight w:val="none"/>
          <w14:textFill>
            <w14:solidFill>
              <w14:schemeClr w14:val="tx1"/>
            </w14:solidFill>
          </w14:textFill>
        </w:rPr>
        <w:t>4.1外观验收：</w:t>
      </w:r>
      <w:r>
        <w:rPr>
          <w:rFonts w:hint="eastAsia" w:ascii="仿宋_GB2312" w:hAnsi="仿宋_GB2312" w:eastAsia="仿宋_GB2312" w:cs="仿宋_GB2312"/>
          <w:color w:val="000000" w:themeColor="text1"/>
          <w:highlight w:val="none"/>
          <w14:textFill>
            <w14:solidFill>
              <w14:schemeClr w14:val="tx1"/>
            </w14:solidFill>
          </w14:textFill>
        </w:rPr>
        <w:t>甲方按照本合同约定的标准及乙方提交的货物附件清单中产品质量证明书等资料作为外观验收标准,外观质量符合合同要求方可卸车,否则不得卸车。</w:t>
      </w:r>
    </w:p>
    <w:p w14:paraId="197DAE15">
      <w:pPr>
        <w:spacing w:line="400" w:lineRule="exact"/>
        <w:ind w:firstLine="482" w:firstLineChars="200"/>
        <w:rPr>
          <w:rFonts w:ascii="仿宋_GB2312" w:hAnsi="仿宋_GB2312" w:eastAsia="仿宋_GB2312" w:cs="仿宋_GB2312"/>
          <w:sz w:val="24"/>
          <w:szCs w:val="24"/>
          <w:highlight w:val="none"/>
        </w:rPr>
      </w:pPr>
      <w:r>
        <w:rPr>
          <w:rFonts w:hint="eastAsia" w:ascii="仿宋_GB2312" w:hAnsi="仿宋_GB2312" w:eastAsia="仿宋_GB2312" w:cs="仿宋_GB2312"/>
          <w:b/>
          <w:bCs/>
          <w:sz w:val="24"/>
          <w:szCs w:val="24"/>
          <w:highlight w:val="none"/>
        </w:rPr>
        <w:t>4.2送样要求：</w:t>
      </w:r>
      <w:r>
        <w:rPr>
          <w:rFonts w:hint="eastAsia" w:ascii="仿宋_GB2312" w:hAnsi="仿宋_GB2312" w:eastAsia="仿宋_GB2312" w:cs="仿宋_GB2312"/>
          <w:sz w:val="24"/>
          <w:szCs w:val="24"/>
          <w:highlight w:val="none"/>
        </w:rPr>
        <w:t>对于甲方要求提前送样的货物,乙方应按照甲方要求送审材料样品，样品送审内容包括但不限于材料样品本身，还包括提供样品材料的</w:t>
      </w:r>
      <w:permStart w:id="39" w:edGrp="everyone"/>
      <w:r>
        <w:rPr>
          <w:rFonts w:hint="eastAsia" w:ascii="仿宋_GB2312" w:hAnsi="仿宋_GB2312" w:eastAsia="仿宋_GB2312" w:cs="仿宋_GB2312"/>
          <w:sz w:val="24"/>
          <w:szCs w:val="24"/>
          <w:highlight w:val="none"/>
          <w:u w:val="single"/>
        </w:rPr>
        <w:t>质量、外观、品牌、商标、规格、型号、花色、标识、生产厂家、产品生产许可证、产品质量证明书、出厂合格证、产品检验报告</w:t>
      </w:r>
      <w:permEnd w:id="39"/>
      <w:r>
        <w:rPr>
          <w:rFonts w:hint="eastAsia" w:ascii="仿宋_GB2312" w:hAnsi="仿宋_GB2312" w:eastAsia="仿宋_GB2312" w:cs="仿宋_GB2312"/>
          <w:sz w:val="24"/>
          <w:szCs w:val="24"/>
          <w:highlight w:val="none"/>
        </w:rPr>
        <w:t>等相关的技术质量资料。一旦甲、乙双方签约后且材料的样品得到甲方、业主及监理认可并且封存样品后，未经甲方、业主及监理同意，乙方不得作任何变更。</w:t>
      </w:r>
    </w:p>
    <w:p w14:paraId="2C84D289">
      <w:pPr>
        <w:pStyle w:val="12"/>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highlight w:val="none"/>
        </w:rPr>
        <w:t>正式交货时材料的相关技术质量资料应保持和样品一致，如所进材料和样品不一致，属乙方违约，</w:t>
      </w:r>
      <w:bookmarkStart w:id="23" w:name="_Hlk126833969"/>
      <w:r>
        <w:rPr>
          <w:rFonts w:hint="eastAsia" w:ascii="仿宋_GB2312" w:hAnsi="仿宋_GB2312" w:eastAsia="仿宋_GB2312" w:cs="仿宋_GB2312"/>
          <w:b/>
          <w:bCs/>
          <w:highlight w:val="none"/>
        </w:rPr>
        <w:t>乙方</w:t>
      </w:r>
      <w:r>
        <w:rPr>
          <w:rFonts w:hint="eastAsia" w:ascii="仿宋_GB2312" w:hAnsi="仿宋_GB2312" w:eastAsia="仿宋_GB2312" w:cs="仿宋_GB2312"/>
          <w:b/>
          <w:bCs/>
          <w:color w:val="auto"/>
          <w:highlight w:val="none"/>
        </w:rPr>
        <w:t>按合同第二部分第二条违约条款</w:t>
      </w:r>
      <w:r>
        <w:rPr>
          <w:rFonts w:hint="eastAsia" w:ascii="仿宋_GB2312" w:hAnsi="仿宋_GB2312" w:eastAsia="仿宋_GB2312" w:cs="仿宋_GB2312"/>
          <w:b/>
          <w:bCs/>
          <w:highlight w:val="none"/>
        </w:rPr>
        <w:t>承担违约责任，并赔偿由此给甲方带来的全部经济损失</w:t>
      </w:r>
      <w:bookmarkEnd w:id="23"/>
      <w:r>
        <w:rPr>
          <w:rFonts w:hint="eastAsia" w:ascii="仿宋_GB2312" w:hAnsi="仿宋_GB2312" w:eastAsia="仿宋_GB2312" w:cs="仿宋_GB2312"/>
          <w:color w:val="000000" w:themeColor="text1"/>
          <w:highlight w:val="none"/>
          <w14:textFill>
            <w14:solidFill>
              <w14:schemeClr w14:val="tx1"/>
            </w14:solidFill>
          </w14:textFill>
        </w:rPr>
        <w:t>。</w:t>
      </w:r>
    </w:p>
    <w:p w14:paraId="0B026F63">
      <w:pPr>
        <w:pStyle w:val="12"/>
        <w:spacing w:line="400" w:lineRule="atLeast"/>
        <w:ind w:firstLine="482"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4.3质量检测：</w:t>
      </w:r>
      <w:r>
        <w:rPr>
          <w:rFonts w:hint="eastAsia" w:ascii="仿宋_GB2312" w:hAnsi="仿宋_GB2312" w:eastAsia="仿宋_GB2312" w:cs="仿宋_GB2312"/>
          <w:color w:val="000000" w:themeColor="text1"/>
          <w:highlight w:val="none"/>
          <w14:textFill>
            <w14:solidFill>
              <w14:schemeClr w14:val="tx1"/>
            </w14:solidFill>
          </w14:textFill>
        </w:rPr>
        <w:t>货物应在产品使用前进行检测，待检测合格后方可使用；如检测不合格，由乙方负责在48小时内包退包换，并承担往来运输费、上下车的力资费及相应工期损失、经济损失。</w:t>
      </w:r>
    </w:p>
    <w:p w14:paraId="53F96043">
      <w:pPr>
        <w:pStyle w:val="12"/>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业主、监理、设计单位及甲方均有权随机抽样对货物进行第三方检测或测试，乙方有责任协助甲方完成相关测试工作，若供货材料抽样检测不合格，乙方应承担相应费用和损失。</w:t>
      </w:r>
    </w:p>
    <w:p w14:paraId="4C5F670D">
      <w:pPr>
        <w:pStyle w:val="12"/>
        <w:spacing w:line="400" w:lineRule="atLeast"/>
        <w:ind w:firstLine="482"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4.4质量争议：</w:t>
      </w:r>
      <w:r>
        <w:rPr>
          <w:rFonts w:hint="eastAsia" w:ascii="仿宋_GB2312" w:hAnsi="仿宋_GB2312" w:eastAsia="仿宋_GB2312" w:cs="仿宋_GB2312"/>
          <w:color w:val="000000" w:themeColor="text1"/>
          <w:highlight w:val="none"/>
          <w14:textFill>
            <w14:solidFill>
              <w14:schemeClr w14:val="tx1"/>
            </w14:solidFill>
          </w14:textFill>
        </w:rPr>
        <w:t>货物如有质量异议，应在收货后7天向对方提出，乙方应在3天内作出答复，未回复视为认可货物质量瑕疵或缺陷。因质量发生争议，双方同意共同取样并送交</w:t>
      </w:r>
      <w:permStart w:id="40" w:edGrp="everyone"/>
      <w:r>
        <w:rPr>
          <w:rFonts w:hint="eastAsia" w:ascii="仿宋_GB2312" w:hAnsi="仿宋_GB2312" w:eastAsia="仿宋_GB2312" w:cs="仿宋_GB2312"/>
          <w:color w:val="000000" w:themeColor="text1"/>
          <w:highlight w:val="none"/>
          <w:u w:val="single"/>
          <w14:textFill>
            <w14:solidFill>
              <w14:schemeClr w14:val="tx1"/>
            </w14:solidFill>
          </w14:textFill>
        </w:rPr>
        <w:t xml:space="preserve">   /  </w:t>
      </w:r>
      <w:permEnd w:id="40"/>
      <w:r>
        <w:rPr>
          <w:rFonts w:hint="eastAsia" w:ascii="仿宋_GB2312" w:hAnsi="仿宋_GB2312" w:eastAsia="仿宋_GB2312" w:cs="仿宋_GB2312"/>
          <w:color w:val="000000" w:themeColor="text1"/>
          <w:highlight w:val="none"/>
          <w14:textFill>
            <w14:solidFill>
              <w14:schemeClr w14:val="tx1"/>
            </w14:solidFill>
          </w14:textFill>
        </w:rPr>
        <w:t>检测站进行检验，并以该机构的检验结果为准，因此而发生的费用由责任方承担。如出现不合格品，乙方应在甲方规定时间内包退包换，所发生的费用由乙方承担。</w:t>
      </w:r>
    </w:p>
    <w:p w14:paraId="49289FF3">
      <w:pPr>
        <w:pStyle w:val="12"/>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对不符合本合同约定要求的货物甲方有权拒绝签收，乙方应立即将该货物全部运离现场并承担相应费用，同时在供货期限内重新更换符合约定的货物。如不能及时运离并在供货期限内重新更换符合约定的货物送达交货地点，甲方有权单方面解除合同，并要求乙方承担甲方相应损失。</w:t>
      </w:r>
    </w:p>
    <w:p w14:paraId="5F89A94D">
      <w:pPr>
        <w:pStyle w:val="12"/>
        <w:spacing w:line="400" w:lineRule="atLeast"/>
        <w:ind w:firstLine="482"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4.5更换原则：</w:t>
      </w:r>
      <w:r>
        <w:rPr>
          <w:rFonts w:hint="eastAsia" w:ascii="仿宋_GB2312" w:hAnsi="仿宋_GB2312" w:eastAsia="仿宋_GB2312" w:cs="仿宋_GB2312"/>
          <w:color w:val="000000" w:themeColor="text1"/>
          <w:highlight w:val="none"/>
          <w14:textFill>
            <w14:solidFill>
              <w14:schemeClr w14:val="tx1"/>
            </w14:solidFill>
          </w14:textFill>
        </w:rPr>
        <w:t>由于任何一方原因引起产品更换或补发的时间延长,均以不影响工程进度为原则，如造成影响，则由责任方承担由此导致的后果。</w:t>
      </w:r>
    </w:p>
    <w:p w14:paraId="12674762">
      <w:pPr>
        <w:pStyle w:val="12"/>
        <w:spacing w:line="400" w:lineRule="atLeast"/>
        <w:ind w:firstLine="482" w:firstLineChars="200"/>
        <w:rPr>
          <w:rFonts w:ascii="仿宋_GB2312" w:hAnsi="仿宋_GB2312" w:eastAsia="仿宋_GB2312" w:cs="仿宋_GB2312"/>
          <w:highlight w:val="none"/>
        </w:rPr>
      </w:pPr>
      <w:r>
        <w:rPr>
          <w:rFonts w:hint="eastAsia" w:ascii="仿宋_GB2312" w:hAnsi="仿宋_GB2312" w:eastAsia="仿宋_GB2312" w:cs="仿宋_GB2312"/>
          <w:b/>
          <w:bCs/>
          <w:color w:val="000000" w:themeColor="text1"/>
          <w:highlight w:val="none"/>
          <w14:textFill>
            <w14:solidFill>
              <w14:schemeClr w14:val="tx1"/>
            </w14:solidFill>
          </w14:textFill>
        </w:rPr>
        <w:t>4.6验收责任：</w:t>
      </w:r>
      <w:r>
        <w:rPr>
          <w:rFonts w:hint="eastAsia" w:ascii="仿宋_GB2312" w:hAnsi="仿宋_GB2312" w:eastAsia="仿宋_GB2312" w:cs="仿宋_GB2312"/>
          <w:color w:val="000000" w:themeColor="text1"/>
          <w:highlight w:val="none"/>
          <w14:textFill>
            <w14:solidFill>
              <w14:schemeClr w14:val="tx1"/>
            </w14:solidFill>
          </w14:textFill>
        </w:rPr>
        <w:t>甲方参与对乙方材料的验收并不能免除乙方应承担的责任，如在材料到场验收时未发现质量问题，但在使用时或使用后发现确实因该批材料质量未达到规定要求而造成相应损失，如返工、工期延长等经济和工期损失由乙方承担。</w:t>
      </w:r>
      <w:r>
        <w:rPr>
          <w:rFonts w:hint="eastAsia" w:ascii="仿宋_GB2312" w:hAnsi="仿宋_GB2312" w:eastAsia="仿宋_GB2312" w:cs="仿宋_GB2312"/>
          <w:b/>
          <w:bCs/>
          <w:color w:val="000000" w:themeColor="text1"/>
          <w:highlight w:val="none"/>
          <w14:textFill>
            <w14:solidFill>
              <w14:schemeClr w14:val="tx1"/>
            </w14:solidFill>
          </w14:textFill>
        </w:rPr>
        <w:t>所造成的经济损失，甲方可直接从应付款中扣除，乙方对此不持异议。</w:t>
      </w:r>
      <w:r>
        <w:rPr>
          <w:rFonts w:hint="eastAsia" w:ascii="仿宋_GB2312" w:hAnsi="仿宋_GB2312" w:eastAsia="仿宋_GB2312" w:cs="仿宋_GB2312"/>
          <w:color w:val="000000" w:themeColor="text1"/>
          <w:highlight w:val="none"/>
          <w14:textFill>
            <w14:solidFill>
              <w14:schemeClr w14:val="tx1"/>
            </w14:solidFill>
          </w14:textFill>
        </w:rPr>
        <w:t>对于由该质量问题引起的工程坍塌、人员伤亡等重大事故，乙方应承担直接经济和法律责任。</w:t>
      </w:r>
      <w:r>
        <w:rPr>
          <w:rFonts w:hint="eastAsia" w:ascii="仿宋_GB2312" w:hAnsi="仿宋_GB2312" w:eastAsia="仿宋_GB2312" w:cs="仿宋_GB2312"/>
          <w:b/>
          <w:bCs/>
          <w:color w:val="000000" w:themeColor="text1"/>
          <w:highlight w:val="none"/>
          <w14:textFill>
            <w14:solidFill>
              <w14:schemeClr w14:val="tx1"/>
            </w14:solidFill>
          </w14:textFill>
        </w:rPr>
        <w:t>若由甲方先行承担的，甲方可在任何一笔</w:t>
      </w:r>
      <w:r>
        <w:rPr>
          <w:rFonts w:hint="eastAsia" w:ascii="仿宋_GB2312" w:hAnsi="仿宋_GB2312" w:eastAsia="仿宋_GB2312" w:cs="仿宋_GB2312"/>
          <w:b/>
          <w:bCs/>
          <w:color w:val="000000" w:themeColor="text1"/>
          <w:highlight w:val="none"/>
          <w:lang w:val="en-US" w:eastAsia="zh-CN"/>
          <w14:textFill>
            <w14:solidFill>
              <w14:schemeClr w14:val="tx1"/>
            </w14:solidFill>
          </w14:textFill>
        </w:rPr>
        <w:t>货款</w:t>
      </w:r>
      <w:r>
        <w:rPr>
          <w:rFonts w:hint="eastAsia" w:ascii="仿宋_GB2312" w:hAnsi="仿宋_GB2312" w:eastAsia="仿宋_GB2312" w:cs="仿宋_GB2312"/>
          <w:b/>
          <w:bCs/>
          <w:color w:val="000000" w:themeColor="text1"/>
          <w:highlight w:val="none"/>
          <w14:textFill>
            <w14:solidFill>
              <w14:schemeClr w14:val="tx1"/>
            </w14:solidFill>
          </w14:textFill>
        </w:rPr>
        <w:t>支付中予以扣除，乙方对此不持</w:t>
      </w:r>
      <w:r>
        <w:rPr>
          <w:rFonts w:hint="eastAsia" w:ascii="仿宋_GB2312" w:hAnsi="仿宋_GB2312" w:eastAsia="仿宋_GB2312" w:cs="仿宋_GB2312"/>
          <w:b/>
          <w:bCs/>
          <w:highlight w:val="none"/>
        </w:rPr>
        <w:t>异议。</w:t>
      </w:r>
    </w:p>
    <w:p w14:paraId="4798FBDA">
      <w:pPr>
        <w:pStyle w:val="12"/>
        <w:spacing w:line="400" w:lineRule="atLeast"/>
        <w:ind w:firstLine="480" w:firstLineChars="200"/>
        <w:rPr>
          <w:rFonts w:hint="eastAsia" w:ascii="仿宋_GB2312" w:hAnsi="仿宋_GB2312" w:eastAsia="仿宋_GB2312" w:cs="仿宋_GB2312"/>
          <w:b w:val="0"/>
          <w:bCs w:val="0"/>
          <w:color w:val="000000" w:themeColor="text1"/>
          <w:highlight w:val="none"/>
          <w14:textFill>
            <w14:solidFill>
              <w14:schemeClr w14:val="tx1"/>
            </w14:solidFill>
          </w14:textFill>
        </w:rPr>
      </w:pPr>
      <w:bookmarkStart w:id="24" w:name="_Toc23953"/>
      <w:bookmarkStart w:id="25" w:name="_Toc22166"/>
      <w:bookmarkStart w:id="26" w:name="_Toc24231"/>
      <w:r>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t>4.7</w:t>
      </w:r>
      <w:r>
        <w:rPr>
          <w:rFonts w:hint="eastAsia" w:ascii="仿宋_GB2312" w:hAnsi="仿宋_GB2312" w:eastAsia="仿宋_GB2312" w:cs="仿宋_GB2312"/>
          <w:b w:val="0"/>
          <w:bCs w:val="0"/>
          <w:color w:val="000000" w:themeColor="text1"/>
          <w:highlight w:val="none"/>
          <w14:textFill>
            <w14:solidFill>
              <w14:schemeClr w14:val="tx1"/>
            </w14:solidFill>
          </w14:textFill>
        </w:rPr>
        <w:t>对于工程中的剩余或未使用到的货物在不严重影响外观、质量和功能的情况下甲方有权退货，退货原则上以合同约定的含税单价为准，确因商品特殊的（比如定制等），价格双方协商，协商不一致的，按照</w:t>
      </w:r>
      <w:r>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t>合同含税单价的</w:t>
      </w:r>
      <w:permStart w:id="41" w:edGrp="everyone"/>
      <w:r>
        <w:rPr>
          <w:rFonts w:hint="eastAsia" w:ascii="仿宋_GB2312" w:hAnsi="仿宋_GB2312" w:eastAsia="仿宋_GB2312" w:cs="仿宋_GB2312"/>
          <w:b/>
          <w:bCs/>
          <w:color w:val="000000" w:themeColor="text1"/>
          <w:highlight w:val="none"/>
          <w:u w:val="single"/>
          <w14:textFill>
            <w14:solidFill>
              <w14:schemeClr w14:val="tx1"/>
            </w14:solidFill>
          </w14:textFill>
        </w:rPr>
        <w:t xml:space="preserve"> </w:t>
      </w:r>
      <w:r>
        <w:rPr>
          <w:rFonts w:hint="eastAsia" w:ascii="仿宋_GB2312" w:hAnsi="仿宋_GB2312" w:eastAsia="仿宋_GB2312" w:cs="仿宋_GB2312"/>
          <w:b/>
          <w:bCs/>
          <w:color w:val="000000" w:themeColor="text1"/>
          <w:highlight w:val="none"/>
          <w:u w:val="single"/>
          <w:lang w:val="en-US" w:eastAsia="zh-CN"/>
          <w14:textFill>
            <w14:solidFill>
              <w14:schemeClr w14:val="tx1"/>
            </w14:solidFill>
          </w14:textFill>
        </w:rPr>
        <w:t>80</w:t>
      </w:r>
      <w:r>
        <w:rPr>
          <w:rFonts w:hint="eastAsia" w:ascii="仿宋_GB2312" w:hAnsi="仿宋_GB2312" w:eastAsia="仿宋_GB2312" w:cs="仿宋_GB2312"/>
          <w:b/>
          <w:bCs/>
          <w:color w:val="000000" w:themeColor="text1"/>
          <w:highlight w:val="none"/>
          <w:u w:val="single"/>
          <w14:textFill>
            <w14:solidFill>
              <w14:schemeClr w14:val="tx1"/>
            </w14:solidFill>
          </w14:textFill>
        </w:rPr>
        <w:t xml:space="preserve"> </w:t>
      </w:r>
      <w:permEnd w:id="41"/>
      <w:r>
        <w:rPr>
          <w:rFonts w:hint="eastAsia" w:ascii="仿宋_GB2312" w:hAnsi="仿宋_GB2312" w:eastAsia="仿宋_GB2312" w:cs="仿宋_GB2312"/>
          <w:b w:val="0"/>
          <w:bCs w:val="0"/>
          <w:color w:val="000000" w:themeColor="text1"/>
          <w:highlight w:val="none"/>
          <w14:textFill>
            <w14:solidFill>
              <w14:schemeClr w14:val="tx1"/>
            </w14:solidFill>
          </w14:textFill>
        </w:rPr>
        <w:t>%退货，退货数量以实际数量为准。</w:t>
      </w:r>
    </w:p>
    <w:p w14:paraId="2AB0BA59">
      <w:pPr>
        <w:pStyle w:val="12"/>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4.</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8</w:t>
      </w:r>
      <w:r>
        <w:rPr>
          <w:rFonts w:hint="eastAsia" w:ascii="仿宋_GB2312" w:hAnsi="仿宋_GB2312" w:eastAsia="仿宋_GB2312" w:cs="仿宋_GB2312"/>
          <w:color w:val="000000" w:themeColor="text1"/>
          <w:highlight w:val="none"/>
          <w14:textFill>
            <w14:solidFill>
              <w14:schemeClr w14:val="tx1"/>
            </w14:solidFill>
          </w14:textFill>
        </w:rPr>
        <w:t>其他：</w:t>
      </w:r>
      <w:permStart w:id="42" w:edGrp="everyone"/>
      <w:r>
        <w:rPr>
          <w:rFonts w:hint="eastAsia" w:ascii="仿宋_GB2312" w:hAnsi="仿宋_GB2312" w:eastAsia="仿宋_GB2312" w:cs="仿宋_GB2312"/>
          <w:b/>
          <w:bCs/>
          <w:color w:val="000000" w:themeColor="text1"/>
          <w:highlight w:val="none"/>
          <w:u w:val="single"/>
          <w14:textFill>
            <w14:solidFill>
              <w14:schemeClr w14:val="tx1"/>
            </w14:solidFill>
          </w14:textFill>
        </w:rPr>
        <w:t xml:space="preserve"> </w:t>
      </w:r>
      <w:r>
        <w:rPr>
          <w:rFonts w:hint="eastAsia" w:ascii="仿宋_GB2312" w:hAnsi="仿宋_GB2312" w:eastAsia="仿宋_GB2312" w:cs="仿宋_GB2312"/>
          <w:color w:val="000000" w:themeColor="text1"/>
          <w:highlight w:val="none"/>
          <w:u w:val="single"/>
          <w14:textFill>
            <w14:solidFill>
              <w14:schemeClr w14:val="tx1"/>
            </w14:solidFill>
          </w14:textFill>
        </w:rPr>
        <w:t>/</w:t>
      </w:r>
      <w:r>
        <w:rPr>
          <w:rFonts w:ascii="仿宋_GB2312" w:hAnsi="仿宋_GB2312" w:eastAsia="仿宋_GB2312" w:cs="仿宋_GB2312"/>
          <w:color w:val="000000" w:themeColor="text1"/>
          <w:highlight w:val="none"/>
          <w:u w:val="single"/>
          <w14:textFill>
            <w14:solidFill>
              <w14:schemeClr w14:val="tx1"/>
            </w14:solidFill>
          </w14:textFill>
        </w:rPr>
        <w:t xml:space="preserve">                  </w:t>
      </w:r>
      <w:permEnd w:id="42"/>
      <w:r>
        <w:rPr>
          <w:rFonts w:hint="eastAsia" w:ascii="仿宋_GB2312" w:hAnsi="仿宋_GB2312" w:eastAsia="仿宋_GB2312" w:cs="仿宋_GB2312"/>
          <w:color w:val="000000" w:themeColor="text1"/>
          <w:highlight w:val="none"/>
          <w14:textFill>
            <w14:solidFill>
              <w14:schemeClr w14:val="tx1"/>
            </w14:solidFill>
          </w14:textFill>
        </w:rPr>
        <w:t>。</w:t>
      </w:r>
    </w:p>
    <w:p w14:paraId="216EA48E">
      <w:pPr>
        <w:pStyle w:val="12"/>
        <w:numPr>
          <w:ilvl w:val="0"/>
          <w:numId w:val="1"/>
        </w:numPr>
        <w:spacing w:before="120" w:beforeLines="50" w:after="120" w:afterLines="50" w:line="400" w:lineRule="atLeast"/>
        <w:ind w:firstLine="482" w:firstLineChars="200"/>
        <w:outlineLvl w:val="0"/>
        <w:rPr>
          <w:rFonts w:ascii="仿宋_GB2312" w:hAnsi="仿宋_GB2312" w:eastAsia="仿宋_GB2312" w:cs="仿宋_GB2312"/>
          <w:b/>
          <w:bCs/>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货物结算</w:t>
      </w:r>
      <w:bookmarkEnd w:id="24"/>
      <w:bookmarkEnd w:id="25"/>
      <w:bookmarkEnd w:id="26"/>
    </w:p>
    <w:p w14:paraId="259F3E1D">
      <w:pPr>
        <w:pStyle w:val="12"/>
        <w:numPr>
          <w:ilvl w:val="0"/>
          <w:numId w:val="4"/>
        </w:numPr>
        <w:spacing w:line="400" w:lineRule="atLeast"/>
        <w:ind w:firstLine="482" w:firstLineChars="200"/>
        <w:jc w:val="both"/>
        <w:rPr>
          <w:rFonts w:ascii="仿宋_GB2312" w:hAnsi="仿宋_GB2312" w:eastAsia="仿宋_GB2312" w:cs="仿宋_GB2312"/>
          <w:b/>
          <w:bCs/>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结算周期：</w:t>
      </w:r>
    </w:p>
    <w:p w14:paraId="08645ACA">
      <w:pPr>
        <w:pStyle w:val="12"/>
        <w:spacing w:line="400" w:lineRule="atLeast"/>
        <w:ind w:firstLine="480" w:firstLineChars="200"/>
        <w:jc w:val="both"/>
        <w:rPr>
          <w:rFonts w:ascii="仿宋_GB2312" w:hAnsi="仿宋_GB2312" w:eastAsia="仿宋_GB2312" w:cs="仿宋_GB2312"/>
          <w:b/>
          <w:bCs/>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乙方每月</w:t>
      </w:r>
      <w:r>
        <w:rPr>
          <w:rFonts w:hint="eastAsia" w:ascii="仿宋_GB2312" w:hAnsi="仿宋_GB2312" w:eastAsia="仿宋_GB2312" w:cs="仿宋_GB2312"/>
          <w:color w:val="000000" w:themeColor="text1"/>
          <w:highlight w:val="none"/>
          <w:u w:val="single"/>
          <w14:textFill>
            <w14:solidFill>
              <w14:schemeClr w14:val="tx1"/>
            </w14:solidFill>
          </w14:textFill>
        </w:rPr>
        <w:t>16日</w:t>
      </w:r>
      <w:r>
        <w:rPr>
          <w:rFonts w:hint="eastAsia" w:ascii="仿宋_GB2312" w:hAnsi="仿宋_GB2312" w:eastAsia="仿宋_GB2312" w:cs="仿宋_GB2312"/>
          <w:color w:val="000000" w:themeColor="text1"/>
          <w:highlight w:val="none"/>
          <w14:textFill>
            <w14:solidFill>
              <w14:schemeClr w14:val="tx1"/>
            </w14:solidFill>
          </w14:textFill>
        </w:rPr>
        <w:t>与甲方核对上月</w:t>
      </w:r>
      <w:r>
        <w:rPr>
          <w:rFonts w:hint="eastAsia" w:ascii="仿宋_GB2312" w:hAnsi="仿宋_GB2312" w:eastAsia="仿宋_GB2312" w:cs="仿宋_GB2312"/>
          <w:color w:val="000000" w:themeColor="text1"/>
          <w:highlight w:val="none"/>
          <w:u w:val="single"/>
          <w14:textFill>
            <w14:solidFill>
              <w14:schemeClr w14:val="tx1"/>
            </w14:solidFill>
          </w14:textFill>
        </w:rPr>
        <w:t>16日</w:t>
      </w:r>
      <w:r>
        <w:rPr>
          <w:rFonts w:hint="eastAsia" w:ascii="仿宋_GB2312" w:hAnsi="仿宋_GB2312" w:eastAsia="仿宋_GB2312" w:cs="仿宋_GB2312"/>
          <w:color w:val="000000" w:themeColor="text1"/>
          <w:highlight w:val="none"/>
          <w14:textFill>
            <w14:solidFill>
              <w14:schemeClr w14:val="tx1"/>
            </w14:solidFill>
          </w14:textFill>
        </w:rPr>
        <w:t>至本月</w:t>
      </w:r>
      <w:r>
        <w:rPr>
          <w:rFonts w:hint="eastAsia" w:ascii="仿宋_GB2312" w:hAnsi="仿宋_GB2312" w:eastAsia="仿宋_GB2312" w:cs="仿宋_GB2312"/>
          <w:color w:val="000000" w:themeColor="text1"/>
          <w:highlight w:val="none"/>
          <w:u w:val="single"/>
          <w14:textFill>
            <w14:solidFill>
              <w14:schemeClr w14:val="tx1"/>
            </w14:solidFill>
          </w14:textFill>
        </w:rPr>
        <w:t>15日</w:t>
      </w:r>
      <w:r>
        <w:rPr>
          <w:rFonts w:hint="eastAsia" w:ascii="仿宋_GB2312" w:hAnsi="仿宋_GB2312" w:eastAsia="仿宋_GB2312" w:cs="仿宋_GB2312"/>
          <w:color w:val="000000" w:themeColor="text1"/>
          <w:highlight w:val="none"/>
          <w14:textFill>
            <w14:solidFill>
              <w14:schemeClr w14:val="tx1"/>
            </w14:solidFill>
          </w14:textFill>
        </w:rPr>
        <w:t>所供材料数量，并办理完结算手续。</w:t>
      </w:r>
      <w:r>
        <w:rPr>
          <w:rFonts w:hint="eastAsia" w:ascii="仿宋_GB2312" w:hAnsi="仿宋_GB2312" w:eastAsia="仿宋_GB2312" w:cs="仿宋_GB2312"/>
          <w:b/>
          <w:bCs/>
          <w:color w:val="000000" w:themeColor="text1"/>
          <w:highlight w:val="none"/>
          <w14:textFill>
            <w14:solidFill>
              <w14:schemeClr w14:val="tx1"/>
            </w14:solidFill>
          </w14:textFill>
        </w:rPr>
        <w:t>因乙方不配合签认结算单等原因超出本合同规定时间未办理完结算手续，乙方在此期间无权要求甲方付款及追究甲方任何违约责任或要求赔偿资金占用费等损失，同时甲方保留单方办理结算的权利且视为乙方认可甲方审定的结算金额。</w:t>
      </w:r>
    </w:p>
    <w:p w14:paraId="7C90100D">
      <w:pPr>
        <w:pStyle w:val="12"/>
        <w:numPr>
          <w:ilvl w:val="0"/>
          <w:numId w:val="4"/>
        </w:numPr>
        <w:spacing w:line="400" w:lineRule="atLeast"/>
        <w:ind w:firstLine="482" w:firstLineChars="200"/>
        <w:jc w:val="both"/>
        <w:rPr>
          <w:rFonts w:ascii="仿宋_GB2312" w:hAnsi="仿宋_GB2312" w:eastAsia="仿宋_GB2312" w:cs="仿宋_GB2312"/>
          <w:b/>
          <w:bCs/>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结算流程：</w:t>
      </w:r>
    </w:p>
    <w:p w14:paraId="029C33F1">
      <w:pPr>
        <w:pStyle w:val="12"/>
        <w:numPr>
          <w:ilvl w:val="255"/>
          <w:numId w:val="0"/>
        </w:numPr>
        <w:spacing w:line="400" w:lineRule="atLeast"/>
        <w:ind w:firstLine="480" w:firstLineChars="200"/>
        <w:jc w:val="both"/>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双方结算分为过程结算及最终结算。过程结算按下表流程进行。最终结算于供货完成、验收合格且未出现任何质量问题后一个月内办理，最终结算需附物资买卖合同结算协议书。</w:t>
      </w:r>
    </w:p>
    <w:p w14:paraId="596FF6BC">
      <w:pPr>
        <w:pStyle w:val="12"/>
        <w:numPr>
          <w:ilvl w:val="0"/>
          <w:numId w:val="4"/>
        </w:numPr>
        <w:spacing w:line="400" w:lineRule="atLeast"/>
        <w:ind w:firstLine="482"/>
        <w:jc w:val="both"/>
        <w:rPr>
          <w:rFonts w:ascii="仿宋_GB2312" w:hAnsi="仿宋_GB2312" w:eastAsia="仿宋_GB2312" w:cs="仿宋_GB2312"/>
          <w:b/>
          <w:bCs/>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mc:AlternateContent>
          <mc:Choice Requires="wpg">
            <w:drawing>
              <wp:anchor distT="0" distB="0" distL="114300" distR="114300" simplePos="0" relativeHeight="251659264" behindDoc="0" locked="0" layoutInCell="1" allowOverlap="1">
                <wp:simplePos x="0" y="0"/>
                <wp:positionH relativeFrom="column">
                  <wp:posOffset>-12065</wp:posOffset>
                </wp:positionH>
                <wp:positionV relativeFrom="paragraph">
                  <wp:posOffset>101600</wp:posOffset>
                </wp:positionV>
                <wp:extent cx="5080000" cy="1210310"/>
                <wp:effectExtent l="4445" t="5080" r="249555" b="22860"/>
                <wp:wrapTopAndBottom/>
                <wp:docPr id="10" name="组合 10"/>
                <wp:cNvGraphicFramePr/>
                <a:graphic xmlns:a="http://schemas.openxmlformats.org/drawingml/2006/main">
                  <a:graphicData uri="http://schemas.microsoft.com/office/word/2010/wordprocessingGroup">
                    <wpg:wgp>
                      <wpg:cNvGrpSpPr/>
                      <wpg:grpSpPr>
                        <a:xfrm>
                          <a:off x="0" y="0"/>
                          <a:ext cx="5080000" cy="1210310"/>
                          <a:chOff x="2064" y="142451"/>
                          <a:chExt cx="8000" cy="1906"/>
                        </a:xfrm>
                      </wpg:grpSpPr>
                      <wpg:grpSp>
                        <wpg:cNvPr id="2" name="组合 5"/>
                        <wpg:cNvGrpSpPr/>
                        <wpg:grpSpPr>
                          <a:xfrm>
                            <a:off x="2064" y="142451"/>
                            <a:ext cx="8000" cy="1907"/>
                            <a:chOff x="4638" y="144974"/>
                            <a:chExt cx="8000" cy="2118"/>
                          </a:xfrm>
                        </wpg:grpSpPr>
                        <wps:wsp>
                          <wps:cNvPr id="4" name="文本框 3"/>
                          <wps:cNvSpPr txBox="1"/>
                          <wps:spPr>
                            <a:xfrm>
                              <a:off x="4655" y="144974"/>
                              <a:ext cx="3492" cy="86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052864A6">
                                <w:pPr>
                                  <w:pStyle w:val="12"/>
                                  <w:jc w:val="center"/>
                                  <w:outlineLvl w:val="0"/>
                                  <w:rPr>
                                    <w:rFonts w:ascii="仿宋_GB2312" w:hAnsi="仿宋_GB2312" w:eastAsia="仿宋_GB2312" w:cs="仿宋_GB2312"/>
                                  </w:rPr>
                                </w:pPr>
                                <w:r>
                                  <w:rPr>
                                    <w:rFonts w:hint="eastAsia" w:ascii="仿宋_GB2312" w:hAnsi="仿宋_GB2312" w:eastAsia="仿宋_GB2312" w:cs="仿宋_GB2312"/>
                                  </w:rPr>
                                  <w:t>1.甲乙双方核对收料单</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9" name="文本框 6"/>
                          <wps:cNvSpPr txBox="1"/>
                          <wps:spPr>
                            <a:xfrm>
                              <a:off x="8740" y="144974"/>
                              <a:ext cx="3898" cy="82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234C6CFC">
                                <w:pPr>
                                  <w:pStyle w:val="12"/>
                                  <w:outlineLvl w:val="0"/>
                                  <w:rPr>
                                    <w:rFonts w:ascii="仿宋_GB2312" w:hAnsi="仿宋_GB2312" w:eastAsia="仿宋_GB2312" w:cs="仿宋_GB2312"/>
                                  </w:rPr>
                                </w:pPr>
                                <w:r>
                                  <w:rPr>
                                    <w:rFonts w:hint="eastAsia" w:ascii="仿宋_GB2312" w:hAnsi="仿宋_GB2312" w:eastAsia="仿宋_GB2312" w:cs="仿宋_GB2312"/>
                                  </w:rPr>
                                  <w:t>2.甲方结算人员生成过程结算</w:t>
                                </w:r>
                                <w:r>
                                  <w:rPr>
                                    <w:rFonts w:hint="eastAsia" w:ascii="仿宋_GB2312" w:hAnsi="仿宋_GB2312" w:eastAsia="仿宋_GB2312" w:cs="仿宋_GB2312"/>
                                    <w:lang w:val="en-US" w:eastAsia="zh-CN"/>
                                  </w:rPr>
                                  <w:t>资料</w:t>
                                </w:r>
                                <w:r>
                                  <w:rPr>
                                    <w:rFonts w:hint="eastAsia" w:ascii="仿宋_GB2312" w:hAnsi="仿宋_GB2312" w:eastAsia="仿宋_GB2312" w:cs="仿宋_GB2312"/>
                                  </w:rPr>
                                  <w:t>，乙方签字盖章确认</w:t>
                                </w:r>
                              </w:p>
                              <w:p w14:paraId="5DE7932B">
                                <w:pPr>
                                  <w:pStyle w:val="12"/>
                                  <w:outlineLvl w:val="0"/>
                                  <w:rPr>
                                    <w:rFonts w:ascii="仿宋_GB2312" w:hAnsi="仿宋_GB2312" w:eastAsia="仿宋_GB2312" w:cs="仿宋_GB2312"/>
                                  </w:rPr>
                                </w:pP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4" name="文本框 8"/>
                          <wps:cNvSpPr txBox="1"/>
                          <wps:spPr>
                            <a:xfrm>
                              <a:off x="4638" y="145859"/>
                              <a:ext cx="3507" cy="1233"/>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1D1B69BD">
                                <w:pPr>
                                  <w:pStyle w:val="12"/>
                                  <w:outlineLvl w:val="0"/>
                                  <w:rPr>
                                    <w:rFonts w:ascii="仿宋_GB2312" w:hAnsi="仿宋_GB2312" w:eastAsia="仿宋_GB2312" w:cs="仿宋_GB2312"/>
                                    <w:highlight w:val="none"/>
                                  </w:rPr>
                                </w:pPr>
                                <w:r>
                                  <w:rPr>
                                    <w:rFonts w:hint="eastAsia" w:ascii="仿宋_GB2312" w:hAnsi="仿宋_GB2312" w:eastAsia="仿宋_GB2312" w:cs="仿宋_GB2312"/>
                                    <w:highlight w:val="none"/>
                                  </w:rPr>
                                  <w:t>4.甲方公司复核结算，复核完成后按比例支付结算款</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5" name="文本框 11"/>
                          <wps:cNvSpPr txBox="1"/>
                          <wps:spPr>
                            <a:xfrm>
                              <a:off x="8706" y="145858"/>
                              <a:ext cx="3927" cy="1218"/>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115458AA">
                                <w:pPr>
                                  <w:pStyle w:val="12"/>
                                  <w:outlineLvl w:val="0"/>
                                  <w:rPr>
                                    <w:rFonts w:ascii="仿宋_GB2312" w:hAnsi="仿宋_GB2312" w:eastAsia="仿宋_GB2312" w:cs="仿宋_GB2312"/>
                                  </w:rPr>
                                </w:pPr>
                                <w:r>
                                  <w:rPr>
                                    <w:rFonts w:hint="eastAsia" w:ascii="仿宋_GB2312" w:hAnsi="仿宋_GB2312" w:eastAsia="仿宋_GB2312" w:cs="仿宋_GB2312"/>
                                  </w:rPr>
                                  <w:t>3.</w:t>
                                </w:r>
                                <w:r>
                                  <w:rPr>
                                    <w:rFonts w:hint="eastAsia" w:ascii="仿宋_GB2312" w:hAnsi="仿宋_GB2312" w:eastAsia="仿宋_GB2312" w:cs="仿宋_GB2312"/>
                                    <w:highlight w:val="none"/>
                                  </w:rPr>
                                  <w:t>甲方项目部初步审核过程结算，乙方依据金额开具等额发票。</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s:wsp>
                        <wps:cNvPr id="20" name="肘形连接符 2"/>
                        <wps:cNvCnPr/>
                        <wps:spPr>
                          <a:xfrm flipH="1">
                            <a:off x="10059" y="142690"/>
                            <a:ext cx="5" cy="973"/>
                          </a:xfrm>
                          <a:prstGeom prst="bentConnector3">
                            <a:avLst>
                              <a:gd name="adj1" fmla="val -7500000"/>
                            </a:avLst>
                          </a:prstGeom>
                          <a:ln>
                            <a:headEnd type="none" w="med" len="med"/>
                            <a:tailEnd type="arrow" w="med" len="med"/>
                          </a:ln>
                        </wps:spPr>
                        <wps:style>
                          <a:lnRef idx="1">
                            <a:schemeClr val="dk1"/>
                          </a:lnRef>
                          <a:fillRef idx="0">
                            <a:schemeClr val="dk1"/>
                          </a:fillRef>
                          <a:effectRef idx="0">
                            <a:schemeClr val="dk1"/>
                          </a:effectRef>
                          <a:fontRef idx="minor">
                            <a:schemeClr val="tx1"/>
                          </a:fontRef>
                        </wps:style>
                        <wps:bodyPr/>
                      </wps:wsp>
                      <wps:wsp>
                        <wps:cNvPr id="21" name="直接箭头连接符 4"/>
                        <wps:cNvCnPr/>
                        <wps:spPr>
                          <a:xfrm>
                            <a:off x="5573" y="142689"/>
                            <a:ext cx="593" cy="1"/>
                          </a:xfrm>
                          <a:prstGeom prst="straightConnector1">
                            <a:avLst/>
                          </a:prstGeom>
                          <a:ln>
                            <a:tailEnd type="arrow" w="med" len="med"/>
                          </a:ln>
                        </wps:spPr>
                        <wps:style>
                          <a:lnRef idx="1">
                            <a:schemeClr val="dk1"/>
                          </a:lnRef>
                          <a:fillRef idx="0">
                            <a:schemeClr val="dk1"/>
                          </a:fillRef>
                          <a:effectRef idx="0">
                            <a:schemeClr val="dk1"/>
                          </a:effectRef>
                          <a:fontRef idx="minor">
                            <a:schemeClr val="tx1"/>
                          </a:fontRef>
                        </wps:style>
                        <wps:bodyPr/>
                      </wps:wsp>
                      <wps:wsp>
                        <wps:cNvPr id="22" name="直接箭头连接符 7"/>
                        <wps:cNvCnPr/>
                        <wps:spPr>
                          <a:xfrm flipH="1">
                            <a:off x="5571" y="143663"/>
                            <a:ext cx="561" cy="7"/>
                          </a:xfrm>
                          <a:prstGeom prst="straightConnector1">
                            <a:avLst/>
                          </a:prstGeom>
                          <a:ln>
                            <a:tailEnd type="arrow" w="med" len="med"/>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id="_x0000_s1026" o:spid="_x0000_s1026" o:spt="203" style="position:absolute;left:0pt;margin-left:-0.95pt;margin-top:8pt;height:95.3pt;width:400pt;mso-wrap-distance-bottom:0pt;mso-wrap-distance-top:0pt;z-index:251659264;mso-width-relative:page;mso-height-relative:page;" coordorigin="2064,142451" coordsize="8000,1906" o:gfxdata="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">
                <o:lock v:ext="edit" aspectratio="f"/>
                <v:group id="组合 5" o:spid="_x0000_s1026" o:spt="203" style="position:absolute;left:2064;top:142451;height:1907;width:8000;" coordorigin="4638,144974" coordsize="8000,2118" o:gfxdata="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Psb0Q+7AAAA2gAAAA8AAAAAAAAAAQAgAAAAIgAAAGRycy9kb3ducmV2LnhtbFBL&#10;AQIUABQAAAAIAIdO4kAzLwWeOwAAADkAAAAVAAAAAAAAAAEAIAAAAAoBAABkcnMvZ3JvdXBzaGFw&#10;ZXhtbC54bWxQSwUGAAAAAAYABgBgAQAAxwMAAAAA&#10;">
                  <o:lock v:ext="edit" aspectratio="f"/>
                  <v:shape id="文本框 3" o:spid="_x0000_s1026" o:spt="202" type="#_x0000_t202" style="position:absolute;left:4655;top:144974;height:865;width:3492;" fillcolor="#FFFFFF [3201]" filled="t" stroked="t" coordsize="21600,21600" o:gfxdata="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HZVC/C2AAAA2gAAAA8A&#10;AAAAAAAAAQAgAAAAIgAAAGRycy9kb3ducmV2LnhtbFBLAQIUABQAAAAIAIdO4kAzLwWeOwAAADkA&#10;AAAQAAAAAAAAAAEAIAAAAAUBAABkcnMvc2hhcGV4bWwueG1sUEsFBgAAAAAGAAYAWwEAAK8DAAAA&#10;AA==&#10;">
                    <v:fill on="t" focussize="0,0"/>
                    <v:stroke weight="0.5pt" color="#000000 [3204]" joinstyle="round"/>
                    <v:imagedata o:title=""/>
                    <o:lock v:ext="edit" aspectratio="f"/>
                    <v:textbox>
                      <w:txbxContent>
                        <w:p w14:paraId="052864A6">
                          <w:pPr>
                            <w:pStyle w:val="12"/>
                            <w:jc w:val="center"/>
                            <w:outlineLvl w:val="0"/>
                            <w:rPr>
                              <w:rFonts w:ascii="仿宋_GB2312" w:hAnsi="仿宋_GB2312" w:eastAsia="仿宋_GB2312" w:cs="仿宋_GB2312"/>
                            </w:rPr>
                          </w:pPr>
                          <w:r>
                            <w:rPr>
                              <w:rFonts w:hint="eastAsia" w:ascii="仿宋_GB2312" w:hAnsi="仿宋_GB2312" w:eastAsia="仿宋_GB2312" w:cs="仿宋_GB2312"/>
                            </w:rPr>
                            <w:t>1.甲乙双方核对收料单</w:t>
                          </w:r>
                        </w:p>
                      </w:txbxContent>
                    </v:textbox>
                  </v:shape>
                  <v:shape id="文本框 6" o:spid="_x0000_s1026" o:spt="202" type="#_x0000_t202" style="position:absolute;left:8740;top:144974;height:825;width:3898;" fillcolor="#FFFFFF [3201]" filled="t" stroked="t" coordsize="21600,21600" o:gfxdata="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JhUpG62AAAA2gAAAA8A&#10;AAAAAAAAAQAgAAAAIgAAAGRycy9kb3ducmV2LnhtbFBLAQIUABQAAAAIAIdO4kAzLwWeOwAAADkA&#10;AAAQAAAAAAAAAAEAIAAAAAUBAABkcnMvc2hhcGV4bWwueG1sUEsFBgAAAAAGAAYAWwEAAK8DAAAA&#10;AA==&#10;">
                    <v:fill on="t" focussize="0,0"/>
                    <v:stroke weight="0.5pt" color="#000000 [3204]" joinstyle="round"/>
                    <v:imagedata o:title=""/>
                    <o:lock v:ext="edit" aspectratio="f"/>
                    <v:textbox>
                      <w:txbxContent>
                        <w:p w14:paraId="234C6CFC">
                          <w:pPr>
                            <w:pStyle w:val="12"/>
                            <w:outlineLvl w:val="0"/>
                            <w:rPr>
                              <w:rFonts w:ascii="仿宋_GB2312" w:hAnsi="仿宋_GB2312" w:eastAsia="仿宋_GB2312" w:cs="仿宋_GB2312"/>
                            </w:rPr>
                          </w:pPr>
                          <w:r>
                            <w:rPr>
                              <w:rFonts w:hint="eastAsia" w:ascii="仿宋_GB2312" w:hAnsi="仿宋_GB2312" w:eastAsia="仿宋_GB2312" w:cs="仿宋_GB2312"/>
                            </w:rPr>
                            <w:t>2.甲方结算人员生成过程结算</w:t>
                          </w:r>
                          <w:r>
                            <w:rPr>
                              <w:rFonts w:hint="eastAsia" w:ascii="仿宋_GB2312" w:hAnsi="仿宋_GB2312" w:eastAsia="仿宋_GB2312" w:cs="仿宋_GB2312"/>
                              <w:lang w:val="en-US" w:eastAsia="zh-CN"/>
                            </w:rPr>
                            <w:t>资料</w:t>
                          </w:r>
                          <w:r>
                            <w:rPr>
                              <w:rFonts w:hint="eastAsia" w:ascii="仿宋_GB2312" w:hAnsi="仿宋_GB2312" w:eastAsia="仿宋_GB2312" w:cs="仿宋_GB2312"/>
                            </w:rPr>
                            <w:t>，乙方签字盖章确认</w:t>
                          </w:r>
                        </w:p>
                        <w:p w14:paraId="5DE7932B">
                          <w:pPr>
                            <w:pStyle w:val="12"/>
                            <w:outlineLvl w:val="0"/>
                            <w:rPr>
                              <w:rFonts w:ascii="仿宋_GB2312" w:hAnsi="仿宋_GB2312" w:eastAsia="仿宋_GB2312" w:cs="仿宋_GB2312"/>
                            </w:rPr>
                          </w:pPr>
                        </w:p>
                      </w:txbxContent>
                    </v:textbox>
                  </v:shape>
                  <v:shape id="文本框 8" o:spid="_x0000_s1026" o:spt="202" type="#_x0000_t202" style="position:absolute;left:4638;top:145859;height:1233;width:3507;" fillcolor="#FFFFFF [3201]" filled="t" stroked="t" coordsize="21600,21600" o:gfxdata="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g8+EJbUAAADbAAAADwAA&#10;AAAAAAABACAAAAAiAAAAZHJzL2Rvd25yZXYueG1sUEsBAhQAFAAAAAgAh07iQDMvBZ47AAAAOQAA&#10;ABAAAAAAAAAAAQAgAAAABAEAAGRycy9zaGFwZXhtbC54bWxQSwUGAAAAAAYABgBbAQAArgMAAAAA&#10;">
                    <v:fill on="t" focussize="0,0"/>
                    <v:stroke weight="0.5pt" color="#000000 [3204]" joinstyle="round"/>
                    <v:imagedata o:title=""/>
                    <o:lock v:ext="edit" aspectratio="f"/>
                    <v:textbox>
                      <w:txbxContent>
                        <w:p w14:paraId="1D1B69BD">
                          <w:pPr>
                            <w:pStyle w:val="12"/>
                            <w:outlineLvl w:val="0"/>
                            <w:rPr>
                              <w:rFonts w:ascii="仿宋_GB2312" w:hAnsi="仿宋_GB2312" w:eastAsia="仿宋_GB2312" w:cs="仿宋_GB2312"/>
                              <w:highlight w:val="none"/>
                            </w:rPr>
                          </w:pPr>
                          <w:r>
                            <w:rPr>
                              <w:rFonts w:hint="eastAsia" w:ascii="仿宋_GB2312" w:hAnsi="仿宋_GB2312" w:eastAsia="仿宋_GB2312" w:cs="仿宋_GB2312"/>
                              <w:highlight w:val="none"/>
                            </w:rPr>
                            <w:t>4.甲方公司复核结算，复核完成后按比例支付结算款</w:t>
                          </w:r>
                        </w:p>
                      </w:txbxContent>
                    </v:textbox>
                  </v:shape>
                  <v:shape id="文本框 11" o:spid="_x0000_s1026" o:spt="202" type="#_x0000_t202" style="position:absolute;left:8706;top:145858;height:1218;width:3927;" fillcolor="#FFFFFF [3201]" filled="t" stroked="t" coordsize="21600,21600" o:gfxdata="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7IMhvrUAAADbAAAADwAA&#10;AAAAAAABACAAAAAiAAAAZHJzL2Rvd25yZXYueG1sUEsBAhQAFAAAAAgAh07iQDMvBZ47AAAAOQAA&#10;ABAAAAAAAAAAAQAgAAAABAEAAGRycy9zaGFwZXhtbC54bWxQSwUGAAAAAAYABgBbAQAArgMAAAAA&#10;">
                    <v:fill on="t" focussize="0,0"/>
                    <v:stroke weight="0.5pt" color="#000000 [3204]" joinstyle="round"/>
                    <v:imagedata o:title=""/>
                    <o:lock v:ext="edit" aspectratio="f"/>
                    <v:textbox>
                      <w:txbxContent>
                        <w:p w14:paraId="115458AA">
                          <w:pPr>
                            <w:pStyle w:val="12"/>
                            <w:outlineLvl w:val="0"/>
                            <w:rPr>
                              <w:rFonts w:ascii="仿宋_GB2312" w:hAnsi="仿宋_GB2312" w:eastAsia="仿宋_GB2312" w:cs="仿宋_GB2312"/>
                            </w:rPr>
                          </w:pPr>
                          <w:r>
                            <w:rPr>
                              <w:rFonts w:hint="eastAsia" w:ascii="仿宋_GB2312" w:hAnsi="仿宋_GB2312" w:eastAsia="仿宋_GB2312" w:cs="仿宋_GB2312"/>
                            </w:rPr>
                            <w:t>3.</w:t>
                          </w:r>
                          <w:r>
                            <w:rPr>
                              <w:rFonts w:hint="eastAsia" w:ascii="仿宋_GB2312" w:hAnsi="仿宋_GB2312" w:eastAsia="仿宋_GB2312" w:cs="仿宋_GB2312"/>
                              <w:highlight w:val="none"/>
                            </w:rPr>
                            <w:t>甲方项目部初步审核过程结算，乙方依据金额开具等额发票。</w:t>
                          </w:r>
                        </w:p>
                      </w:txbxContent>
                    </v:textbox>
                  </v:shape>
                </v:group>
                <v:shape id="肘形连接符 2" o:spid="_x0000_s1026" o:spt="34" type="#_x0000_t34" style="position:absolute;left:10059;top:142690;flip:x;height:973;width:5;" filled="f" stroked="t" coordsize="21600,21600" o:gfxdata="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cngGcrgAAADbAAAA&#10;DwAAAAAAAAABACAAAAAiAAAAZHJzL2Rvd25yZXYueG1sUEsBAhQAFAAAAAgAh07iQDMvBZ47AAAA&#10;OQAAABAAAAAAAAAAAQAgAAAABwEAAGRycy9zaGFwZXhtbC54bWxQSwUGAAAAAAYABgBbAQAAsQMA&#10;AAAA&#10;" adj="-1620000">
                  <v:fill on="f" focussize="0,0"/>
                  <v:stroke weight="1pt" color="#000000 [3200]" miterlimit="8" joinstyle="miter" endarrow="open"/>
                  <v:imagedata o:title=""/>
                  <o:lock v:ext="edit" aspectratio="f"/>
                </v:shape>
                <v:shape id="直接箭头连接符 4" o:spid="_x0000_s1026" o:spt="32" type="#_x0000_t32" style="position:absolute;left:5573;top:142689;height:1;width:593;" filled="f" stroked="t" coordsize="21600,21600" o:gfxdata="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c8zfrsAAADb&#10;AAAADwAAAAAAAAABACAAAAAiAAAAZHJzL2Rvd25yZXYueG1sUEsBAhQAFAAAAAgAh07iQDMvBZ47&#10;AAAAOQAAABAAAAAAAAAAAQAgAAAACgEAAGRycy9zaGFwZXhtbC54bWxQSwUGAAAAAAYABgBbAQAA&#10;tAMAAAAA&#10;">
                  <v:fill on="f" focussize="0,0"/>
                  <v:stroke weight="1pt" color="#000000 [3200]" miterlimit="8" joinstyle="miter" endarrow="open"/>
                  <v:imagedata o:title=""/>
                  <o:lock v:ext="edit" aspectratio="f"/>
                </v:shape>
                <v:shape id="直接箭头连接符 7" o:spid="_x0000_s1026" o:spt="32" type="#_x0000_t32" style="position:absolute;left:5571;top:143663;flip:x;height:7;width:561;" filled="f" stroked="t" coordsize="21600,21600" o:gfxdata="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R+uua/&#10;AAAA2wAAAA8AAAAAAAAAAQAgAAAAIgAAAGRycy9kb3ducmV2LnhtbFBLAQIUABQAAAAIAIdO4kAz&#10;LwWeOwAAADkAAAAQAAAAAAAAAAEAIAAAAA4BAABkcnMvc2hhcGV4bWwueG1sUEsFBgAAAAAGAAYA&#10;WwEAALgDAAAAAA==&#10;">
                  <v:fill on="f" focussize="0,0"/>
                  <v:stroke weight="1pt" color="#000000 [3200]" miterlimit="8" joinstyle="miter" endarrow="open"/>
                  <v:imagedata o:title=""/>
                  <o:lock v:ext="edit" aspectratio="f"/>
                </v:shape>
                <w10:wrap type="topAndBottom"/>
              </v:group>
            </w:pict>
          </mc:Fallback>
        </mc:AlternateContent>
      </w:r>
      <w:r>
        <w:rPr>
          <w:rFonts w:hint="eastAsia" w:ascii="仿宋_GB2312" w:hAnsi="仿宋_GB2312" w:eastAsia="仿宋_GB2312" w:cs="仿宋_GB2312"/>
          <w:b/>
          <w:bCs/>
          <w:color w:val="000000" w:themeColor="text1"/>
          <w:highlight w:val="none"/>
          <w14:textFill>
            <w14:solidFill>
              <w14:schemeClr w14:val="tx1"/>
            </w14:solidFill>
          </w14:textFill>
        </w:rPr>
        <w:t>增值税专用发票：</w:t>
      </w:r>
    </w:p>
    <w:p w14:paraId="187B5A46">
      <w:pPr>
        <w:pStyle w:val="12"/>
        <w:spacing w:line="400" w:lineRule="atLeast"/>
        <w:ind w:firstLine="482" w:firstLineChars="200"/>
        <w:rPr>
          <w:rFonts w:ascii="仿宋_GB2312" w:hAnsi="仿宋_GB2312" w:eastAsia="仿宋_GB2312" w:cs="仿宋_GB2312"/>
          <w:b/>
          <w:bCs/>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3.1增值税票要求：</w:t>
      </w:r>
    </w:p>
    <w:p w14:paraId="0598ED16">
      <w:pPr>
        <w:pStyle w:val="12"/>
        <w:spacing w:line="400" w:lineRule="atLeast"/>
        <w:ind w:firstLine="482"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3.1.1税票信息：</w:t>
      </w:r>
      <w:r>
        <w:rPr>
          <w:rFonts w:hint="eastAsia" w:ascii="仿宋_GB2312" w:hAnsi="仿宋_GB2312" w:eastAsia="仿宋_GB2312" w:cs="仿宋_GB2312"/>
          <w:color w:val="000000" w:themeColor="text1"/>
          <w:highlight w:val="none"/>
          <w14:textFill>
            <w14:solidFill>
              <w14:schemeClr w14:val="tx1"/>
            </w14:solidFill>
          </w14:textFill>
        </w:rPr>
        <w:t>乙方应按甲方要求提供以其本单位名义开具，适用</w:t>
      </w:r>
      <w:permStart w:id="43" w:edGrp="everyone"/>
      <w:r>
        <w:rPr>
          <w:rFonts w:hint="eastAsia" w:ascii="仿宋_GB2312" w:hAnsi="仿宋_GB2312" w:eastAsia="仿宋_GB2312" w:cs="仿宋_GB2312"/>
          <w:color w:val="000000" w:themeColor="text1"/>
          <w:highlight w:val="none"/>
          <w:u w:val="single"/>
          <w14:textFill>
            <w14:solidFill>
              <w14:schemeClr w14:val="tx1"/>
            </w14:solidFill>
          </w14:textFill>
        </w:rPr>
        <w:t xml:space="preserve"> 13 ％</w:t>
      </w:r>
      <w:permEnd w:id="43"/>
      <w:r>
        <w:rPr>
          <w:rFonts w:hint="eastAsia" w:ascii="仿宋_GB2312" w:hAnsi="仿宋_GB2312" w:eastAsia="仿宋_GB2312" w:cs="仿宋_GB2312"/>
          <w:color w:val="000000" w:themeColor="text1"/>
          <w:highlight w:val="none"/>
          <w14:textFill>
            <w14:solidFill>
              <w14:schemeClr w14:val="tx1"/>
            </w14:solidFill>
          </w14:textFill>
        </w:rPr>
        <w:t>税率的增值税专用发票，开具金额需与结算金额一致，并加盖与本合同中乙方名称一致的发票专用章（如税务部门要求合同、发票等备案登记的，乙方承担相关费用并办理相关手续）。</w:t>
      </w:r>
    </w:p>
    <w:p w14:paraId="16BD8404">
      <w:pPr>
        <w:pStyle w:val="12"/>
        <w:spacing w:line="400" w:lineRule="atLeast"/>
        <w:ind w:firstLine="482"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3.1.2计税方式：</w:t>
      </w:r>
      <w:r>
        <w:rPr>
          <w:rFonts w:hint="eastAsia" w:ascii="仿宋_GB2312" w:hAnsi="仿宋_GB2312" w:eastAsia="仿宋_GB2312" w:cs="仿宋_GB2312"/>
          <w:color w:val="000000" w:themeColor="text1"/>
          <w:highlight w:val="none"/>
          <w14:textFill>
            <w14:solidFill>
              <w14:schemeClr w14:val="tx1"/>
            </w14:solidFill>
          </w14:textFill>
        </w:rPr>
        <w:t>本合同所涉应税行为计税方法为</w:t>
      </w:r>
      <w:permStart w:id="44" w:edGrp="everyone"/>
      <w:r>
        <w:rPr>
          <w:rFonts w:hint="eastAsia" w:ascii="仿宋_GB2312" w:hAnsi="仿宋_GB2312" w:eastAsia="仿宋_GB2312" w:cs="仿宋_GB2312"/>
          <w:color w:val="000000" w:themeColor="text1"/>
          <w:highlight w:val="none"/>
          <w:u w:val="single"/>
          <w14:textFill>
            <w14:solidFill>
              <w14:schemeClr w14:val="tx1"/>
            </w14:solidFill>
          </w14:textFill>
        </w:rPr>
        <w:t xml:space="preserve"> 一般计税方法 </w:t>
      </w:r>
      <w:permEnd w:id="44"/>
      <w:r>
        <w:rPr>
          <w:rFonts w:hint="eastAsia" w:ascii="仿宋_GB2312" w:hAnsi="仿宋_GB2312" w:eastAsia="仿宋_GB2312" w:cs="仿宋_GB2312"/>
          <w:color w:val="000000" w:themeColor="text1"/>
          <w:highlight w:val="none"/>
          <w14:textFill>
            <w14:solidFill>
              <w14:schemeClr w14:val="tx1"/>
            </w14:solidFill>
          </w14:textFill>
        </w:rPr>
        <w:t>。</w:t>
      </w:r>
    </w:p>
    <w:p w14:paraId="2C77A87B">
      <w:pPr>
        <w:pStyle w:val="12"/>
        <w:spacing w:line="400" w:lineRule="atLeast"/>
        <w:ind w:firstLine="482" w:firstLineChars="200"/>
        <w:jc w:val="both"/>
        <w:rPr>
          <w:rFonts w:ascii="仿宋_GB2312" w:hAnsi="仿宋_GB2312" w:eastAsia="仿宋_GB2312" w:cs="仿宋_GB2312"/>
          <w:b/>
          <w:bCs/>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3.1.3税票金额：</w:t>
      </w:r>
      <w:r>
        <w:rPr>
          <w:rFonts w:hint="eastAsia" w:ascii="仿宋_GB2312" w:hAnsi="仿宋_GB2312" w:eastAsia="仿宋_GB2312" w:cs="仿宋_GB2312"/>
          <w:color w:val="000000" w:themeColor="text1"/>
          <w:highlight w:val="none"/>
          <w14:textFill>
            <w14:solidFill>
              <w14:schemeClr w14:val="tx1"/>
            </w14:solidFill>
          </w14:textFill>
        </w:rPr>
        <w:t>乙方应按每期结算金额开具当期增值税专用发票，并于发票开具之日起7天内提供给甲方指定签收人员。乙方应开具合法、有效、准确的增值税专用发票，若汇总开具增值税专用发票的，则乙方需同时提供防伪税控系统开具的《销售货物或者提供应税劳务清单》，清单内容需与实际供货内容、结算内容相一致，并加盖发票专用章。</w:t>
      </w:r>
      <w:bookmarkStart w:id="27" w:name="_Hlk126834051"/>
      <w:r>
        <w:rPr>
          <w:rFonts w:hint="eastAsia" w:ascii="仿宋_GB2312" w:hAnsi="仿宋_GB2312" w:eastAsia="仿宋_GB2312" w:cs="仿宋_GB2312"/>
          <w:b/>
          <w:bCs/>
          <w:color w:val="000000" w:themeColor="text1"/>
          <w:highlight w:val="none"/>
          <w14:textFill>
            <w14:solidFill>
              <w14:schemeClr w14:val="tx1"/>
            </w14:solidFill>
          </w14:textFill>
        </w:rPr>
        <w:t>如乙方未提供发票或提供发票不合规、不及时、无法认证，甲方有权拒绝付款，且不视为甲方付款逾期，乙方无权要求甲方支付利息、违约金或赔偿损失。</w:t>
      </w:r>
    </w:p>
    <w:bookmarkEnd w:id="27"/>
    <w:p w14:paraId="54ED20E0">
      <w:pPr>
        <w:pStyle w:val="12"/>
        <w:spacing w:line="400" w:lineRule="atLeast"/>
        <w:ind w:firstLine="482"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3.1.4税率变化：</w:t>
      </w:r>
      <w:r>
        <w:rPr>
          <w:rFonts w:hint="eastAsia" w:ascii="仿宋_GB2312" w:hAnsi="仿宋_GB2312" w:eastAsia="仿宋_GB2312" w:cs="仿宋_GB2312"/>
          <w:color w:val="000000" w:themeColor="text1"/>
          <w:highlight w:val="none"/>
          <w14:textFill>
            <w14:solidFill>
              <w14:schemeClr w14:val="tx1"/>
            </w14:solidFill>
          </w14:textFill>
        </w:rPr>
        <w:t>合同执行过程中如遇国家税务政策调整导致适用税率发生变化，以货物进场验收时间点依据适用政策调整，执行按照新的税率，合同含税价格依据新的税率相应调整，乙方承担相应的纳税义务提供新税率的增值税专用发票。</w:t>
      </w:r>
    </w:p>
    <w:p w14:paraId="4C4409E9">
      <w:pPr>
        <w:pStyle w:val="12"/>
        <w:spacing w:line="400" w:lineRule="atLeast"/>
        <w:ind w:firstLine="482"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3.2 税票丢失：</w:t>
      </w:r>
      <w:r>
        <w:rPr>
          <w:rFonts w:hint="eastAsia" w:ascii="仿宋_GB2312" w:hAnsi="仿宋_GB2312" w:eastAsia="仿宋_GB2312" w:cs="仿宋_GB2312"/>
          <w:color w:val="000000" w:themeColor="text1"/>
          <w:highlight w:val="none"/>
          <w14:textFill>
            <w14:solidFill>
              <w14:schemeClr w14:val="tx1"/>
            </w14:solidFill>
          </w14:textFill>
        </w:rPr>
        <w:t>若甲方丢失增值税专用发票联和抵扣联,乙方在接到甲方书面通知3个工作日内必须向甲方提供专用发票记账联复印件及其主管税务机关出具的《丢失增值税专用发票已报税证明单》，以作为甲方增值税进项税额的抵扣凭证。</w:t>
      </w:r>
    </w:p>
    <w:p w14:paraId="79C79ED2">
      <w:pPr>
        <w:pStyle w:val="12"/>
        <w:spacing w:line="400" w:lineRule="atLeast"/>
        <w:ind w:firstLine="482" w:firstLineChars="200"/>
        <w:rPr>
          <w:rFonts w:ascii="仿宋_GB2312" w:hAnsi="仿宋_GB2312" w:eastAsia="仿宋_GB2312" w:cs="仿宋_GB2312"/>
          <w:b/>
          <w:bCs/>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3.3税务信息：</w:t>
      </w:r>
    </w:p>
    <w:tbl>
      <w:tblPr>
        <w:tblStyle w:val="9"/>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1845"/>
        <w:gridCol w:w="6143"/>
      </w:tblGrid>
      <w:tr w14:paraId="09801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534" w:type="dxa"/>
            <w:vMerge w:val="restart"/>
            <w:tcBorders>
              <w:top w:val="single" w:color="auto" w:sz="12" w:space="0"/>
              <w:left w:val="single" w:color="auto" w:sz="12" w:space="0"/>
            </w:tcBorders>
            <w:vAlign w:val="center"/>
          </w:tcPr>
          <w:p w14:paraId="71086F35">
            <w:pPr>
              <w:snapToGrid w:val="0"/>
              <w:spacing w:line="400" w:lineRule="atLeast"/>
              <w:contextualSpacing/>
              <w:jc w:val="center"/>
              <w:rPr>
                <w:rFonts w:ascii="仿宋_GB2312" w:hAnsi="仿宋_GB2312" w:eastAsia="仿宋_GB2312" w:cs="仿宋_GB2312"/>
                <w:b/>
                <w:color w:val="000000" w:themeColor="text1"/>
                <w:sz w:val="24"/>
                <w:szCs w:val="24"/>
                <w:highlight w:val="none"/>
                <w14:textFill>
                  <w14:solidFill>
                    <w14:schemeClr w14:val="tx1"/>
                  </w14:solidFill>
                </w14:textFill>
              </w:rPr>
            </w:pPr>
            <w:permStart w:id="45" w:edGrp="everyone"/>
            <w:r>
              <w:rPr>
                <w:rFonts w:hint="eastAsia" w:ascii="仿宋_GB2312" w:hAnsi="仿宋_GB2312" w:eastAsia="仿宋_GB2312" w:cs="仿宋_GB2312"/>
                <w:b/>
                <w:color w:val="000000" w:themeColor="text1"/>
                <w:sz w:val="24"/>
                <w:szCs w:val="24"/>
                <w:highlight w:val="none"/>
                <w14:textFill>
                  <w14:solidFill>
                    <w14:schemeClr w14:val="tx1"/>
                  </w14:solidFill>
                </w14:textFill>
              </w:rPr>
              <w:t>甲方</w:t>
            </w:r>
          </w:p>
        </w:tc>
        <w:tc>
          <w:tcPr>
            <w:tcW w:w="1845" w:type="dxa"/>
            <w:tcBorders>
              <w:top w:val="single" w:color="auto" w:sz="12" w:space="0"/>
            </w:tcBorders>
            <w:vAlign w:val="bottom"/>
          </w:tcPr>
          <w:p w14:paraId="3FF5E2FE">
            <w:pPr>
              <w:snapToGrid w:val="0"/>
              <w:spacing w:line="400" w:lineRule="atLeast"/>
              <w:contextualSpacing/>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名      称</w:t>
            </w:r>
          </w:p>
        </w:tc>
        <w:tc>
          <w:tcPr>
            <w:tcW w:w="6143" w:type="dxa"/>
            <w:tcBorders>
              <w:top w:val="single" w:color="auto" w:sz="12" w:space="0"/>
              <w:right w:val="single" w:color="auto" w:sz="12" w:space="0"/>
            </w:tcBorders>
          </w:tcPr>
          <w:p w14:paraId="2A00FE24">
            <w:pPr>
              <w:spacing w:line="500" w:lineRule="exact"/>
              <w:rPr>
                <w:rFonts w:hint="eastAsia" w:ascii="仿宋_GB2312" w:hAnsi="仿宋_GB2312" w:eastAsia="仿宋_GB2312" w:cs="仿宋_GB2312"/>
                <w:color w:val="000000" w:themeColor="text1"/>
                <w:sz w:val="24"/>
                <w:szCs w:val="24"/>
                <w:highlight w:val="none"/>
                <w:lang w:eastAsia="zh-CN"/>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eastAsia="zh-CN"/>
                <w14:textFill>
                  <w14:solidFill>
                    <w14:schemeClr w14:val="tx1"/>
                  </w14:solidFill>
                </w14:textFill>
              </w:rPr>
              <w:t>西藏中建建设有限责任公司</w:t>
            </w:r>
          </w:p>
        </w:tc>
      </w:tr>
      <w:tr w14:paraId="2A958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vMerge w:val="continue"/>
            <w:tcBorders>
              <w:left w:val="single" w:color="auto" w:sz="12" w:space="0"/>
            </w:tcBorders>
            <w:vAlign w:val="center"/>
          </w:tcPr>
          <w:p w14:paraId="3F6F0D2E">
            <w:pPr>
              <w:snapToGrid w:val="0"/>
              <w:spacing w:line="400" w:lineRule="atLeast"/>
              <w:contextualSpacing/>
              <w:jc w:val="center"/>
              <w:rPr>
                <w:rFonts w:ascii="仿宋_GB2312" w:hAnsi="仿宋_GB2312" w:eastAsia="仿宋_GB2312" w:cs="仿宋_GB2312"/>
                <w:b/>
                <w:color w:val="000000" w:themeColor="text1"/>
                <w:sz w:val="24"/>
                <w:szCs w:val="24"/>
                <w:highlight w:val="none"/>
                <w14:textFill>
                  <w14:solidFill>
                    <w14:schemeClr w14:val="tx1"/>
                  </w14:solidFill>
                </w14:textFill>
              </w:rPr>
            </w:pPr>
          </w:p>
        </w:tc>
        <w:tc>
          <w:tcPr>
            <w:tcW w:w="1845" w:type="dxa"/>
            <w:vAlign w:val="bottom"/>
          </w:tcPr>
          <w:p w14:paraId="000A12D0">
            <w:pPr>
              <w:snapToGrid w:val="0"/>
              <w:spacing w:line="400" w:lineRule="atLeast"/>
              <w:contextualSpacing/>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纳税人身份</w:t>
            </w:r>
          </w:p>
        </w:tc>
        <w:tc>
          <w:tcPr>
            <w:tcW w:w="6143" w:type="dxa"/>
            <w:tcBorders>
              <w:right w:val="single" w:color="auto" w:sz="12" w:space="0"/>
            </w:tcBorders>
          </w:tcPr>
          <w:p w14:paraId="38F98A7A">
            <w:pPr>
              <w:spacing w:line="500" w:lineRule="exact"/>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一般纳税人</w:t>
            </w:r>
          </w:p>
        </w:tc>
      </w:tr>
      <w:tr w14:paraId="67090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vMerge w:val="continue"/>
            <w:tcBorders>
              <w:left w:val="single" w:color="auto" w:sz="12" w:space="0"/>
            </w:tcBorders>
            <w:vAlign w:val="center"/>
          </w:tcPr>
          <w:p w14:paraId="4D73A623">
            <w:pPr>
              <w:snapToGrid w:val="0"/>
              <w:spacing w:line="400" w:lineRule="atLeast"/>
              <w:contextualSpacing/>
              <w:jc w:val="center"/>
              <w:rPr>
                <w:rFonts w:ascii="仿宋_GB2312" w:hAnsi="仿宋_GB2312" w:eastAsia="仿宋_GB2312" w:cs="仿宋_GB2312"/>
                <w:b/>
                <w:color w:val="000000" w:themeColor="text1"/>
                <w:sz w:val="24"/>
                <w:szCs w:val="24"/>
                <w:highlight w:val="none"/>
                <w14:textFill>
                  <w14:solidFill>
                    <w14:schemeClr w14:val="tx1"/>
                  </w14:solidFill>
                </w14:textFill>
              </w:rPr>
            </w:pPr>
          </w:p>
        </w:tc>
        <w:tc>
          <w:tcPr>
            <w:tcW w:w="1845" w:type="dxa"/>
            <w:vAlign w:val="bottom"/>
          </w:tcPr>
          <w:p w14:paraId="6E259BAA">
            <w:pPr>
              <w:snapToGrid w:val="0"/>
              <w:spacing w:line="400" w:lineRule="atLeast"/>
              <w:contextualSpacing/>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纳税人识别号</w:t>
            </w:r>
          </w:p>
        </w:tc>
        <w:tc>
          <w:tcPr>
            <w:tcW w:w="6143" w:type="dxa"/>
            <w:tcBorders>
              <w:right w:val="single" w:color="auto" w:sz="12" w:space="0"/>
            </w:tcBorders>
          </w:tcPr>
          <w:p w14:paraId="006E988D">
            <w:pPr>
              <w:spacing w:line="500" w:lineRule="exact"/>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auto"/>
                <w:sz w:val="24"/>
                <w:szCs w:val="24"/>
                <w:highlight w:val="none"/>
              </w:rPr>
              <w:t>91540000MA6T1FLH3H</w:t>
            </w:r>
          </w:p>
        </w:tc>
      </w:tr>
      <w:tr w14:paraId="334F1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vMerge w:val="continue"/>
            <w:tcBorders>
              <w:left w:val="single" w:color="auto" w:sz="12" w:space="0"/>
            </w:tcBorders>
            <w:vAlign w:val="center"/>
          </w:tcPr>
          <w:p w14:paraId="070711D1">
            <w:pPr>
              <w:snapToGrid w:val="0"/>
              <w:spacing w:line="400" w:lineRule="atLeast"/>
              <w:contextualSpacing/>
              <w:jc w:val="center"/>
              <w:rPr>
                <w:rFonts w:ascii="仿宋_GB2312" w:hAnsi="仿宋_GB2312" w:eastAsia="仿宋_GB2312" w:cs="仿宋_GB2312"/>
                <w:b/>
                <w:color w:val="000000" w:themeColor="text1"/>
                <w:sz w:val="24"/>
                <w:szCs w:val="24"/>
                <w:highlight w:val="none"/>
                <w14:textFill>
                  <w14:solidFill>
                    <w14:schemeClr w14:val="tx1"/>
                  </w14:solidFill>
                </w14:textFill>
              </w:rPr>
            </w:pPr>
          </w:p>
        </w:tc>
        <w:tc>
          <w:tcPr>
            <w:tcW w:w="1845" w:type="dxa"/>
            <w:vAlign w:val="bottom"/>
          </w:tcPr>
          <w:p w14:paraId="21400DFA">
            <w:pPr>
              <w:snapToGrid w:val="0"/>
              <w:spacing w:line="400" w:lineRule="atLeast"/>
              <w:contextualSpacing/>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地 址、电 话</w:t>
            </w:r>
          </w:p>
        </w:tc>
        <w:tc>
          <w:tcPr>
            <w:tcW w:w="6143" w:type="dxa"/>
            <w:tcBorders>
              <w:right w:val="single" w:color="auto" w:sz="12" w:space="0"/>
            </w:tcBorders>
          </w:tcPr>
          <w:p w14:paraId="31985EB4">
            <w:pPr>
              <w:snapToGrid w:val="0"/>
              <w:spacing w:line="400" w:lineRule="atLeast"/>
              <w:contextualSpacing/>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auto"/>
                <w:sz w:val="24"/>
                <w:szCs w:val="24"/>
                <w:highlight w:val="none"/>
                <w:lang w:val="en-US" w:eastAsia="zh-CN"/>
              </w:rPr>
              <w:t>西藏自治区拉萨市柳梧新区拉萨国际总部城3栋1单元502号</w:t>
            </w:r>
            <w:r>
              <w:rPr>
                <w:rFonts w:hint="eastAsia" w:ascii="仿宋_GB2312" w:hAnsi="仿宋_GB2312" w:eastAsia="仿宋_GB2312" w:cs="仿宋_GB2312"/>
                <w:color w:val="auto"/>
                <w:sz w:val="24"/>
                <w:szCs w:val="24"/>
                <w:highlight w:val="none"/>
              </w:rPr>
              <w:t>、15663871320</w:t>
            </w:r>
          </w:p>
        </w:tc>
      </w:tr>
      <w:tr w14:paraId="3BA58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vMerge w:val="continue"/>
            <w:tcBorders>
              <w:left w:val="single" w:color="auto" w:sz="12" w:space="0"/>
            </w:tcBorders>
            <w:vAlign w:val="center"/>
          </w:tcPr>
          <w:p w14:paraId="3CB2F5AE">
            <w:pPr>
              <w:snapToGrid w:val="0"/>
              <w:spacing w:line="400" w:lineRule="atLeast"/>
              <w:contextualSpacing/>
              <w:jc w:val="center"/>
              <w:rPr>
                <w:rFonts w:ascii="仿宋_GB2312" w:hAnsi="仿宋_GB2312" w:eastAsia="仿宋_GB2312" w:cs="仿宋_GB2312"/>
                <w:b/>
                <w:color w:val="000000" w:themeColor="text1"/>
                <w:sz w:val="24"/>
                <w:szCs w:val="24"/>
                <w:highlight w:val="none"/>
                <w14:textFill>
                  <w14:solidFill>
                    <w14:schemeClr w14:val="tx1"/>
                  </w14:solidFill>
                </w14:textFill>
              </w:rPr>
            </w:pPr>
          </w:p>
        </w:tc>
        <w:tc>
          <w:tcPr>
            <w:tcW w:w="1845" w:type="dxa"/>
            <w:vAlign w:val="bottom"/>
          </w:tcPr>
          <w:p w14:paraId="1BE0DF1D">
            <w:pPr>
              <w:snapToGrid w:val="0"/>
              <w:spacing w:line="400" w:lineRule="atLeast"/>
              <w:contextualSpacing/>
              <w:rPr>
                <w:rFonts w:hint="eastAsia" w:ascii="仿宋_GB2312" w:hAnsi="仿宋_GB2312" w:eastAsia="仿宋_GB2312" w:cs="仿宋_GB2312"/>
                <w:color w:val="000000" w:themeColor="text1"/>
                <w:kern w:val="2"/>
                <w:sz w:val="24"/>
                <w:szCs w:val="24"/>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开户行及账号</w:t>
            </w:r>
          </w:p>
        </w:tc>
        <w:tc>
          <w:tcPr>
            <w:tcW w:w="6143" w:type="dxa"/>
            <w:tcBorders>
              <w:right w:val="single" w:color="auto" w:sz="12" w:space="0"/>
            </w:tcBorders>
            <w:vAlign w:val="top"/>
          </w:tcPr>
          <w:p w14:paraId="77C01D58">
            <w:pPr>
              <w:snapToGrid w:val="0"/>
              <w:spacing w:line="400" w:lineRule="atLeast"/>
              <w:contextualSpacing/>
              <w:rPr>
                <w:rFonts w:hint="eastAsia" w:ascii="仿宋_GB2312" w:hAnsi="仿宋_GB2312" w:eastAsia="仿宋_GB2312" w:cs="仿宋_GB2312"/>
                <w:color w:val="000000" w:themeColor="text1"/>
                <w:kern w:val="2"/>
                <w:sz w:val="24"/>
                <w:szCs w:val="24"/>
                <w:highlight w:val="none"/>
                <w:lang w:val="en-US" w:eastAsia="zh-CN" w:bidi="ar-SA"/>
                <w14:textFill>
                  <w14:solidFill>
                    <w14:schemeClr w14:val="tx1"/>
                  </w14:solidFill>
                </w14:textFill>
              </w:rPr>
            </w:pPr>
            <w:r>
              <w:rPr>
                <w:rFonts w:hint="eastAsia" w:ascii="仿宋_GB2312" w:hAnsi="仿宋_GB2312" w:eastAsia="仿宋_GB2312" w:cs="仿宋_GB2312"/>
                <w:color w:val="auto"/>
                <w:sz w:val="24"/>
                <w:szCs w:val="24"/>
                <w:highlight w:val="none"/>
              </w:rPr>
              <w:t>中国建设银行拉萨北京中路支行54050101363600000966</w:t>
            </w:r>
          </w:p>
        </w:tc>
      </w:tr>
      <w:tr w14:paraId="131B5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534" w:type="dxa"/>
            <w:vMerge w:val="continue"/>
            <w:tcBorders>
              <w:left w:val="single" w:color="auto" w:sz="12" w:space="0"/>
              <w:bottom w:val="double" w:color="auto" w:sz="4" w:space="0"/>
            </w:tcBorders>
            <w:vAlign w:val="center"/>
          </w:tcPr>
          <w:p w14:paraId="73764FE5">
            <w:pPr>
              <w:snapToGrid w:val="0"/>
              <w:spacing w:line="400" w:lineRule="atLeast"/>
              <w:contextualSpacing/>
              <w:jc w:val="center"/>
              <w:rPr>
                <w:rFonts w:ascii="仿宋_GB2312" w:hAnsi="仿宋_GB2312" w:eastAsia="仿宋_GB2312" w:cs="仿宋_GB2312"/>
                <w:b/>
                <w:color w:val="000000" w:themeColor="text1"/>
                <w:sz w:val="24"/>
                <w:szCs w:val="24"/>
                <w:highlight w:val="none"/>
                <w14:textFill>
                  <w14:solidFill>
                    <w14:schemeClr w14:val="tx1"/>
                  </w14:solidFill>
                </w14:textFill>
              </w:rPr>
            </w:pPr>
          </w:p>
        </w:tc>
        <w:tc>
          <w:tcPr>
            <w:tcW w:w="1845" w:type="dxa"/>
            <w:tcBorders>
              <w:bottom w:val="double" w:color="auto" w:sz="4" w:space="0"/>
            </w:tcBorders>
            <w:vAlign w:val="bottom"/>
          </w:tcPr>
          <w:p w14:paraId="748ED551">
            <w:pPr>
              <w:snapToGrid w:val="0"/>
              <w:spacing w:line="400" w:lineRule="atLeast"/>
              <w:contextualSpacing/>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t>备      注</w:t>
            </w:r>
          </w:p>
          <w:p w14:paraId="29CE57BE">
            <w:pPr>
              <w:rPr>
                <w:highlight w:val="none"/>
              </w:rPr>
            </w:pPr>
          </w:p>
        </w:tc>
        <w:tc>
          <w:tcPr>
            <w:tcW w:w="6143" w:type="dxa"/>
            <w:tcBorders>
              <w:bottom w:val="double" w:color="auto" w:sz="4" w:space="0"/>
              <w:right w:val="single" w:color="auto" w:sz="12" w:space="0"/>
            </w:tcBorders>
          </w:tcPr>
          <w:p w14:paraId="2F011191">
            <w:pPr>
              <w:snapToGrid w:val="0"/>
              <w:spacing w:line="400" w:lineRule="atLeast"/>
              <w:contextualSpacing/>
              <w:rPr>
                <w:rFonts w:ascii="仿宋_GB2312" w:hAnsi="仿宋_GB2312" w:eastAsia="仿宋_GB2312" w:cs="仿宋_GB2312"/>
                <w:color w:val="000000" w:themeColor="text1"/>
                <w:sz w:val="24"/>
                <w:szCs w:val="24"/>
                <w:highlight w:val="none"/>
                <w14:textFill>
                  <w14:solidFill>
                    <w14:schemeClr w14:val="tx1"/>
                  </w14:solidFill>
                </w14:textFill>
              </w:rPr>
            </w:pPr>
          </w:p>
        </w:tc>
      </w:tr>
      <w:tr w14:paraId="1E398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vMerge w:val="restart"/>
            <w:tcBorders>
              <w:top w:val="double" w:color="auto" w:sz="4" w:space="0"/>
              <w:left w:val="single" w:color="auto" w:sz="12" w:space="0"/>
            </w:tcBorders>
            <w:vAlign w:val="center"/>
          </w:tcPr>
          <w:p w14:paraId="7E2F39CE">
            <w:pPr>
              <w:snapToGrid w:val="0"/>
              <w:spacing w:line="400" w:lineRule="atLeast"/>
              <w:contextualSpacing/>
              <w:jc w:val="center"/>
              <w:rPr>
                <w:rFonts w:ascii="仿宋_GB2312" w:hAnsi="仿宋_GB2312" w:eastAsia="仿宋_GB2312" w:cs="仿宋_GB2312"/>
                <w:b/>
                <w:color w:val="000000" w:themeColor="text1"/>
                <w:sz w:val="24"/>
                <w:szCs w:val="24"/>
                <w:highlight w:val="none"/>
                <w14:textFill>
                  <w14:solidFill>
                    <w14:schemeClr w14:val="tx1"/>
                  </w14:solidFill>
                </w14:textFill>
              </w:rPr>
            </w:pPr>
            <w:r>
              <w:rPr>
                <w:rFonts w:hint="eastAsia" w:ascii="仿宋_GB2312" w:hAnsi="仿宋_GB2312" w:eastAsia="仿宋_GB2312" w:cs="仿宋_GB2312"/>
                <w:b/>
                <w:color w:val="000000" w:themeColor="text1"/>
                <w:sz w:val="24"/>
                <w:szCs w:val="24"/>
                <w:highlight w:val="none"/>
                <w14:textFill>
                  <w14:solidFill>
                    <w14:schemeClr w14:val="tx1"/>
                  </w14:solidFill>
                </w14:textFill>
              </w:rPr>
              <w:t>乙方</w:t>
            </w:r>
          </w:p>
        </w:tc>
        <w:tc>
          <w:tcPr>
            <w:tcW w:w="1845" w:type="dxa"/>
            <w:tcBorders>
              <w:top w:val="double" w:color="auto" w:sz="4" w:space="0"/>
            </w:tcBorders>
            <w:vAlign w:val="bottom"/>
          </w:tcPr>
          <w:p w14:paraId="644A34E2">
            <w:pPr>
              <w:snapToGrid w:val="0"/>
              <w:spacing w:line="400" w:lineRule="atLeast"/>
              <w:contextualSpacing/>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名      称</w:t>
            </w:r>
          </w:p>
        </w:tc>
        <w:tc>
          <w:tcPr>
            <w:tcW w:w="6143" w:type="dxa"/>
            <w:tcBorders>
              <w:top w:val="double" w:color="auto" w:sz="4" w:space="0"/>
              <w:right w:val="single" w:color="auto" w:sz="12" w:space="0"/>
            </w:tcBorders>
          </w:tcPr>
          <w:p w14:paraId="187B41F8">
            <w:pPr>
              <w:snapToGrid w:val="0"/>
              <w:spacing w:line="400" w:lineRule="atLeast"/>
              <w:contextualSpacing/>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u w:val="single"/>
                <w14:textFill>
                  <w14:solidFill>
                    <w14:schemeClr w14:val="tx1"/>
                  </w14:solidFill>
                </w14:textFill>
              </w:rPr>
              <w:t xml:space="preserve">                  </w:t>
            </w:r>
          </w:p>
        </w:tc>
      </w:tr>
      <w:tr w14:paraId="1B815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vMerge w:val="continue"/>
            <w:tcBorders>
              <w:left w:val="single" w:color="auto" w:sz="12" w:space="0"/>
            </w:tcBorders>
          </w:tcPr>
          <w:p w14:paraId="1B1B57E7">
            <w:pPr>
              <w:snapToGrid w:val="0"/>
              <w:spacing w:line="400" w:lineRule="atLeast"/>
              <w:contextualSpacing/>
              <w:rPr>
                <w:rFonts w:ascii="仿宋_GB2312" w:hAnsi="仿宋_GB2312" w:eastAsia="仿宋_GB2312" w:cs="仿宋_GB2312"/>
                <w:color w:val="000000" w:themeColor="text1"/>
                <w:sz w:val="24"/>
                <w:szCs w:val="24"/>
                <w:highlight w:val="none"/>
                <w14:textFill>
                  <w14:solidFill>
                    <w14:schemeClr w14:val="tx1"/>
                  </w14:solidFill>
                </w14:textFill>
              </w:rPr>
            </w:pPr>
          </w:p>
        </w:tc>
        <w:tc>
          <w:tcPr>
            <w:tcW w:w="1845" w:type="dxa"/>
            <w:vAlign w:val="bottom"/>
          </w:tcPr>
          <w:p w14:paraId="23147720">
            <w:pPr>
              <w:snapToGrid w:val="0"/>
              <w:spacing w:line="400" w:lineRule="atLeast"/>
              <w:contextualSpacing/>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纳税人身份</w:t>
            </w:r>
          </w:p>
        </w:tc>
        <w:tc>
          <w:tcPr>
            <w:tcW w:w="6143" w:type="dxa"/>
            <w:tcBorders>
              <w:right w:val="single" w:color="auto" w:sz="12" w:space="0"/>
            </w:tcBorders>
          </w:tcPr>
          <w:p w14:paraId="21EFC6B7">
            <w:pPr>
              <w:snapToGrid w:val="0"/>
              <w:spacing w:line="400" w:lineRule="atLeast"/>
              <w:contextualSpacing/>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u w:val="single"/>
                <w14:textFill>
                  <w14:solidFill>
                    <w14:schemeClr w14:val="tx1"/>
                  </w14:solidFill>
                </w14:textFill>
              </w:rPr>
              <w:t xml:space="preserve">                  </w:t>
            </w:r>
          </w:p>
        </w:tc>
      </w:tr>
      <w:tr w14:paraId="15D51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vMerge w:val="continue"/>
            <w:tcBorders>
              <w:left w:val="single" w:color="auto" w:sz="12" w:space="0"/>
            </w:tcBorders>
          </w:tcPr>
          <w:p w14:paraId="112B3762">
            <w:pPr>
              <w:snapToGrid w:val="0"/>
              <w:spacing w:line="400" w:lineRule="atLeast"/>
              <w:contextualSpacing/>
              <w:rPr>
                <w:rFonts w:ascii="仿宋_GB2312" w:hAnsi="仿宋_GB2312" w:eastAsia="仿宋_GB2312" w:cs="仿宋_GB2312"/>
                <w:color w:val="000000" w:themeColor="text1"/>
                <w:sz w:val="24"/>
                <w:szCs w:val="24"/>
                <w:highlight w:val="none"/>
                <w14:textFill>
                  <w14:solidFill>
                    <w14:schemeClr w14:val="tx1"/>
                  </w14:solidFill>
                </w14:textFill>
              </w:rPr>
            </w:pPr>
          </w:p>
        </w:tc>
        <w:tc>
          <w:tcPr>
            <w:tcW w:w="1845" w:type="dxa"/>
            <w:vAlign w:val="bottom"/>
          </w:tcPr>
          <w:p w14:paraId="2198F387">
            <w:pPr>
              <w:snapToGrid w:val="0"/>
              <w:spacing w:line="400" w:lineRule="atLeast"/>
              <w:contextualSpacing/>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纳税人识别号</w:t>
            </w:r>
          </w:p>
        </w:tc>
        <w:tc>
          <w:tcPr>
            <w:tcW w:w="6143" w:type="dxa"/>
            <w:tcBorders>
              <w:right w:val="single" w:color="auto" w:sz="12" w:space="0"/>
            </w:tcBorders>
          </w:tcPr>
          <w:p w14:paraId="480AD485">
            <w:pPr>
              <w:snapToGrid w:val="0"/>
              <w:spacing w:line="400" w:lineRule="atLeast"/>
              <w:contextualSpacing/>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u w:val="single"/>
                <w14:textFill>
                  <w14:solidFill>
                    <w14:schemeClr w14:val="tx1"/>
                  </w14:solidFill>
                </w14:textFill>
              </w:rPr>
              <w:t xml:space="preserve">                  </w:t>
            </w:r>
          </w:p>
        </w:tc>
      </w:tr>
      <w:tr w14:paraId="0EC52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vMerge w:val="continue"/>
            <w:tcBorders>
              <w:left w:val="single" w:color="auto" w:sz="12" w:space="0"/>
            </w:tcBorders>
          </w:tcPr>
          <w:p w14:paraId="5088B253">
            <w:pPr>
              <w:snapToGrid w:val="0"/>
              <w:spacing w:line="400" w:lineRule="atLeast"/>
              <w:contextualSpacing/>
              <w:rPr>
                <w:rFonts w:ascii="仿宋_GB2312" w:hAnsi="仿宋_GB2312" w:eastAsia="仿宋_GB2312" w:cs="仿宋_GB2312"/>
                <w:color w:val="000000" w:themeColor="text1"/>
                <w:sz w:val="24"/>
                <w:szCs w:val="24"/>
                <w:highlight w:val="none"/>
                <w14:textFill>
                  <w14:solidFill>
                    <w14:schemeClr w14:val="tx1"/>
                  </w14:solidFill>
                </w14:textFill>
              </w:rPr>
            </w:pPr>
          </w:p>
        </w:tc>
        <w:tc>
          <w:tcPr>
            <w:tcW w:w="1845" w:type="dxa"/>
            <w:vAlign w:val="bottom"/>
          </w:tcPr>
          <w:p w14:paraId="713EF1C7">
            <w:pPr>
              <w:snapToGrid w:val="0"/>
              <w:spacing w:line="400" w:lineRule="atLeast"/>
              <w:contextualSpacing/>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地 址、电 话</w:t>
            </w:r>
          </w:p>
        </w:tc>
        <w:tc>
          <w:tcPr>
            <w:tcW w:w="6143" w:type="dxa"/>
            <w:tcBorders>
              <w:right w:val="single" w:color="auto" w:sz="12" w:space="0"/>
            </w:tcBorders>
            <w:vAlign w:val="bottom"/>
          </w:tcPr>
          <w:p w14:paraId="490AF41A">
            <w:pPr>
              <w:pStyle w:val="12"/>
              <w:jc w:val="both"/>
              <w:rPr>
                <w:rFonts w:ascii="仿宋_GB2312" w:hAnsi="仿宋_GB2312" w:eastAsia="仿宋_GB2312" w:cs="仿宋_GB2312"/>
                <w:bCs/>
                <w:color w:val="000000" w:themeColor="text1"/>
                <w:kern w:val="2"/>
                <w:highlight w:val="none"/>
                <w:u w:val="single"/>
                <w14:textFill>
                  <w14:solidFill>
                    <w14:schemeClr w14:val="tx1"/>
                  </w14:solidFill>
                </w14:textFill>
              </w:rPr>
            </w:pPr>
            <w:r>
              <w:rPr>
                <w:rFonts w:hint="eastAsia" w:ascii="仿宋_GB2312" w:hAnsi="仿宋_GB2312" w:eastAsia="仿宋_GB2312" w:cs="仿宋_GB2312"/>
                <w:color w:val="000000" w:themeColor="text1"/>
                <w:highlight w:val="none"/>
                <w:u w:val="single"/>
                <w14:textFill>
                  <w14:solidFill>
                    <w14:schemeClr w14:val="tx1"/>
                  </w14:solidFill>
                </w14:textFill>
              </w:rPr>
              <w:t xml:space="preserve">                  </w:t>
            </w:r>
          </w:p>
        </w:tc>
      </w:tr>
      <w:tr w14:paraId="1AC6B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vMerge w:val="continue"/>
            <w:tcBorders>
              <w:left w:val="single" w:color="auto" w:sz="12" w:space="0"/>
              <w:bottom w:val="single" w:color="auto" w:sz="12" w:space="0"/>
            </w:tcBorders>
          </w:tcPr>
          <w:p w14:paraId="1F4030F1">
            <w:pPr>
              <w:snapToGrid w:val="0"/>
              <w:spacing w:line="400" w:lineRule="atLeast"/>
              <w:contextualSpacing/>
              <w:rPr>
                <w:rFonts w:ascii="仿宋_GB2312" w:hAnsi="仿宋_GB2312" w:eastAsia="仿宋_GB2312" w:cs="仿宋_GB2312"/>
                <w:color w:val="000000" w:themeColor="text1"/>
                <w:sz w:val="24"/>
                <w:szCs w:val="24"/>
                <w:highlight w:val="none"/>
                <w14:textFill>
                  <w14:solidFill>
                    <w14:schemeClr w14:val="tx1"/>
                  </w14:solidFill>
                </w14:textFill>
              </w:rPr>
            </w:pPr>
          </w:p>
        </w:tc>
        <w:tc>
          <w:tcPr>
            <w:tcW w:w="1845" w:type="dxa"/>
            <w:tcBorders>
              <w:bottom w:val="single" w:color="auto" w:sz="12" w:space="0"/>
            </w:tcBorders>
            <w:vAlign w:val="bottom"/>
          </w:tcPr>
          <w:p w14:paraId="1DD13636">
            <w:pPr>
              <w:snapToGrid w:val="0"/>
              <w:spacing w:line="400" w:lineRule="atLeast"/>
              <w:contextualSpacing/>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开户行及账号</w:t>
            </w:r>
          </w:p>
        </w:tc>
        <w:tc>
          <w:tcPr>
            <w:tcW w:w="6143" w:type="dxa"/>
            <w:tcBorders>
              <w:bottom w:val="single" w:color="auto" w:sz="12" w:space="0"/>
              <w:right w:val="single" w:color="auto" w:sz="12" w:space="0"/>
            </w:tcBorders>
          </w:tcPr>
          <w:p w14:paraId="4D4D6B2D">
            <w:pPr>
              <w:snapToGrid w:val="0"/>
              <w:spacing w:line="400" w:lineRule="atLeast"/>
              <w:contextualSpacing/>
              <w:rPr>
                <w:rFonts w:ascii="仿宋_GB2312" w:hAnsi="仿宋_GB2312" w:eastAsia="仿宋_GB2312" w:cs="仿宋_GB2312"/>
                <w:color w:val="000000" w:themeColor="text1"/>
                <w:kern w:val="0"/>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u w:val="single"/>
                <w14:textFill>
                  <w14:solidFill>
                    <w14:schemeClr w14:val="tx1"/>
                  </w14:solidFill>
                </w14:textFill>
              </w:rPr>
              <w:t xml:space="preserve">                  </w:t>
            </w:r>
          </w:p>
        </w:tc>
      </w:tr>
      <w:permEnd w:id="45"/>
    </w:tbl>
    <w:p w14:paraId="32EA42D1">
      <w:pPr>
        <w:pStyle w:val="12"/>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任何一方如上述信息发生变更，应提前10日以书面方式通知另一方。如一方未按本合同规定通知而使另一方遭受损失的，应予以赔偿。</w:t>
      </w:r>
    </w:p>
    <w:p w14:paraId="4EED526E">
      <w:pPr>
        <w:pStyle w:val="12"/>
        <w:numPr>
          <w:ilvl w:val="0"/>
          <w:numId w:val="1"/>
        </w:numPr>
        <w:spacing w:before="120" w:beforeLines="50" w:after="120" w:afterLines="50" w:line="400" w:lineRule="atLeast"/>
        <w:ind w:firstLine="482" w:firstLineChars="200"/>
        <w:outlineLvl w:val="0"/>
        <w:rPr>
          <w:rFonts w:ascii="仿宋_GB2312" w:hAnsi="仿宋_GB2312" w:eastAsia="仿宋_GB2312" w:cs="仿宋_GB2312"/>
          <w:b/>
          <w:bCs/>
          <w:color w:val="000000" w:themeColor="text1"/>
          <w:highlight w:val="none"/>
          <w14:textFill>
            <w14:solidFill>
              <w14:schemeClr w14:val="tx1"/>
            </w14:solidFill>
          </w14:textFill>
        </w:rPr>
      </w:pPr>
      <w:bookmarkStart w:id="28" w:name="_Toc32138"/>
      <w:bookmarkStart w:id="29" w:name="_Toc27325"/>
      <w:bookmarkStart w:id="30" w:name="_Toc21859"/>
      <w:r>
        <w:rPr>
          <w:rFonts w:hint="eastAsia" w:ascii="仿宋_GB2312" w:hAnsi="仿宋_GB2312" w:eastAsia="仿宋_GB2312" w:cs="仿宋_GB2312"/>
          <w:b/>
          <w:bCs/>
          <w:color w:val="000000" w:themeColor="text1"/>
          <w:highlight w:val="none"/>
          <w14:textFill>
            <w14:solidFill>
              <w14:schemeClr w14:val="tx1"/>
            </w14:solidFill>
          </w14:textFill>
        </w:rPr>
        <w:t>货物付款</w:t>
      </w:r>
      <w:bookmarkEnd w:id="28"/>
      <w:bookmarkEnd w:id="29"/>
      <w:bookmarkEnd w:id="30"/>
    </w:p>
    <w:p w14:paraId="1A1E0861">
      <w:pPr>
        <w:pStyle w:val="12"/>
        <w:spacing w:line="400" w:lineRule="atLeast"/>
        <w:ind w:firstLine="482" w:firstLineChars="200"/>
        <w:jc w:val="both"/>
        <w:outlineLvl w:val="1"/>
        <w:rPr>
          <w:rFonts w:ascii="仿宋_GB2312" w:hAnsi="仿宋_GB2312" w:eastAsia="仿宋_GB2312" w:cs="仿宋_GB2312"/>
          <w:b/>
          <w:bCs/>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1、</w:t>
      </w:r>
      <w:r>
        <w:rPr>
          <w:rFonts w:hint="eastAsia" w:ascii="仿宋_GB2312" w:hAnsi="仿宋_GB2312" w:eastAsia="仿宋_GB2312" w:cs="仿宋_GB2312"/>
          <w:b/>
          <w:bCs/>
          <w:color w:val="000000" w:themeColor="text1"/>
          <w:highlight w:val="yellow"/>
          <w14:textFill>
            <w14:solidFill>
              <w14:schemeClr w14:val="tx1"/>
            </w14:solidFill>
          </w14:textFill>
        </w:rPr>
        <w:t>支付周期及支付比例：</w:t>
      </w:r>
      <w:r>
        <w:rPr>
          <w:rFonts w:hint="eastAsia" w:ascii="仿宋_GB2312" w:hAnsi="仿宋_GB2312" w:eastAsia="仿宋_GB2312" w:cs="仿宋_GB2312"/>
          <w:color w:val="000000" w:themeColor="text1"/>
          <w:highlight w:val="yellow"/>
          <w14:textFill>
            <w14:solidFill>
              <w14:schemeClr w14:val="tx1"/>
            </w14:solidFill>
          </w14:textFill>
        </w:rPr>
        <w:t>双方办理完结算后，适用第</w:t>
      </w:r>
      <w:permStart w:id="46" w:edGrp="everyone"/>
      <w:r>
        <w:rPr>
          <w:rFonts w:hint="eastAsia" w:ascii="仿宋_GB2312" w:hAnsi="仿宋_GB2312" w:eastAsia="仿宋_GB2312" w:cs="仿宋_GB2312"/>
          <w:color w:val="000000" w:themeColor="text1"/>
          <w:highlight w:val="yellow"/>
          <w:u w:val="single"/>
          <w14:textFill>
            <w14:solidFill>
              <w14:schemeClr w14:val="tx1"/>
            </w14:solidFill>
          </w14:textFill>
        </w:rPr>
        <w:t xml:space="preserve"> </w:t>
      </w:r>
      <w:r>
        <w:rPr>
          <w:rFonts w:hint="eastAsia" w:ascii="仿宋_GB2312" w:hAnsi="仿宋_GB2312" w:eastAsia="仿宋_GB2312" w:cs="仿宋_GB2312"/>
          <w:color w:val="000000" w:themeColor="text1"/>
          <w:highlight w:val="yellow"/>
          <w:u w:val="single"/>
          <w:lang w:val="en-US" w:eastAsia="zh-CN"/>
          <w14:textFill>
            <w14:solidFill>
              <w14:schemeClr w14:val="tx1"/>
            </w14:solidFill>
          </w14:textFill>
        </w:rPr>
        <w:t>1.1</w:t>
      </w:r>
      <w:r>
        <w:rPr>
          <w:rFonts w:hint="eastAsia" w:ascii="仿宋_GB2312" w:hAnsi="仿宋_GB2312" w:eastAsia="仿宋_GB2312" w:cs="仿宋_GB2312"/>
          <w:color w:val="000000" w:themeColor="text1"/>
          <w:highlight w:val="yellow"/>
          <w:u w:val="single"/>
          <w14:textFill>
            <w14:solidFill>
              <w14:schemeClr w14:val="tx1"/>
            </w14:solidFill>
          </w14:textFill>
        </w:rPr>
        <w:t xml:space="preserve"> </w:t>
      </w:r>
      <w:permEnd w:id="46"/>
      <w:r>
        <w:rPr>
          <w:rFonts w:hint="eastAsia" w:ascii="仿宋_GB2312" w:hAnsi="仿宋_GB2312" w:eastAsia="仿宋_GB2312" w:cs="仿宋_GB2312"/>
          <w:color w:val="000000" w:themeColor="text1"/>
          <w:highlight w:val="yellow"/>
          <w14:textFill>
            <w14:solidFill>
              <w14:schemeClr w14:val="tx1"/>
            </w14:solidFill>
          </w14:textFill>
        </w:rPr>
        <w:t>条付款条件：</w:t>
      </w:r>
    </w:p>
    <w:p w14:paraId="5C01F295">
      <w:pPr>
        <w:pStyle w:val="12"/>
        <w:spacing w:line="400" w:lineRule="atLeast"/>
        <w:ind w:firstLine="480" w:firstLineChars="200"/>
        <w:jc w:val="both"/>
        <w:rPr>
          <w:rFonts w:ascii="仿宋_GB2312" w:hAnsi="仿宋_GB2312" w:eastAsia="仿宋_GB2312" w:cs="仿宋_GB2312"/>
          <w:color w:val="000000" w:themeColor="text1"/>
          <w:highlight w:val="none"/>
          <w:u w:val="singl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1.</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1</w:t>
      </w:r>
      <w:r>
        <w:rPr>
          <w:rFonts w:hint="eastAsia" w:ascii="仿宋_GB2312" w:hAnsi="仿宋_GB2312" w:eastAsia="仿宋_GB2312" w:cs="仿宋_GB2312"/>
          <w:color w:val="000000" w:themeColor="text1"/>
          <w:highlight w:val="none"/>
          <w14:textFill>
            <w14:solidFill>
              <w14:schemeClr w14:val="tx1"/>
            </w14:solidFill>
          </w14:textFill>
        </w:rPr>
        <w:t>本合同无预付款。</w:t>
      </w:r>
      <w:r>
        <w:rPr>
          <w:rFonts w:hint="eastAsia" w:ascii="仿宋_GB2312" w:hAnsi="仿宋_GB2312" w:eastAsia="仿宋_GB2312" w:cs="仿宋_GB2312"/>
          <w:b/>
          <w:bCs/>
          <w:color w:val="000000" w:themeColor="text1"/>
          <w:highlight w:val="none"/>
          <w14:textFill>
            <w14:solidFill>
              <w14:schemeClr w14:val="tx1"/>
            </w14:solidFill>
          </w14:textFill>
        </w:rPr>
        <w:t>甲方按资金审批计划对货款进行支付。</w:t>
      </w:r>
      <w:r>
        <w:rPr>
          <w:rFonts w:hint="eastAsia" w:ascii="仿宋_GB2312" w:hAnsi="仿宋_GB2312" w:eastAsia="仿宋_GB2312" w:cs="仿宋_GB2312"/>
          <w:color w:val="000000" w:themeColor="text1"/>
          <w:highlight w:val="none"/>
          <w14:textFill>
            <w14:solidFill>
              <w14:schemeClr w14:val="tx1"/>
            </w14:solidFill>
          </w14:textFill>
        </w:rPr>
        <w:t>付款期限自双方确认结算金额之日起计算，暂定为在甲乙双方完成月度物资结算手续且甲方收到乙方相应全额发票后，</w:t>
      </w:r>
      <w:permStart w:id="47" w:edGrp="everyone"/>
      <w:r>
        <w:rPr>
          <w:rFonts w:hint="eastAsia" w:ascii="仿宋_GB2312" w:hAnsi="仿宋_GB2312" w:eastAsia="仿宋_GB2312" w:cs="仿宋_GB2312"/>
          <w:color w:val="000000" w:themeColor="text1"/>
          <w:highlight w:val="none"/>
          <w:u w:val="single"/>
          <w14:textFill>
            <w14:solidFill>
              <w14:schemeClr w14:val="tx1"/>
            </w14:solidFill>
          </w14:textFill>
        </w:rPr>
        <w:t xml:space="preserve"> </w:t>
      </w:r>
      <w:r>
        <w:rPr>
          <w:rFonts w:hint="eastAsia" w:ascii="仿宋_GB2312" w:hAnsi="仿宋_GB2312" w:eastAsia="仿宋_GB2312" w:cs="仿宋_GB2312"/>
          <w:color w:val="000000" w:themeColor="text1"/>
          <w:highlight w:val="none"/>
          <w:u w:val="single"/>
          <w:lang w:val="en-US" w:eastAsia="zh-CN"/>
          <w14:textFill>
            <w14:solidFill>
              <w14:schemeClr w14:val="tx1"/>
            </w14:solidFill>
          </w14:textFill>
        </w:rPr>
        <w:t>一</w:t>
      </w:r>
      <w:r>
        <w:rPr>
          <w:rFonts w:hint="eastAsia" w:ascii="仿宋_GB2312" w:hAnsi="仿宋_GB2312" w:eastAsia="仿宋_GB2312" w:cs="仿宋_GB2312"/>
          <w:color w:val="000000" w:themeColor="text1"/>
          <w:highlight w:val="none"/>
          <w:u w:val="single"/>
          <w14:textFill>
            <w14:solidFill>
              <w14:schemeClr w14:val="tx1"/>
            </w14:solidFill>
          </w14:textFill>
        </w:rPr>
        <w:t xml:space="preserve">  </w:t>
      </w:r>
      <w:permEnd w:id="47"/>
      <w:r>
        <w:rPr>
          <w:rFonts w:hint="eastAsia" w:ascii="仿宋_GB2312" w:hAnsi="仿宋_GB2312" w:eastAsia="仿宋_GB2312" w:cs="仿宋_GB2312"/>
          <w:color w:val="000000" w:themeColor="text1"/>
          <w:highlight w:val="none"/>
          <w14:textFill>
            <w14:solidFill>
              <w14:schemeClr w14:val="tx1"/>
            </w14:solidFill>
          </w14:textFill>
        </w:rPr>
        <w:t>个月内支付当期</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结算</w:t>
      </w:r>
      <w:r>
        <w:rPr>
          <w:rFonts w:hint="eastAsia" w:ascii="仿宋_GB2312" w:hAnsi="仿宋_GB2312" w:eastAsia="仿宋_GB2312" w:cs="仿宋_GB2312"/>
          <w:color w:val="000000" w:themeColor="text1"/>
          <w:highlight w:val="none"/>
          <w14:textFill>
            <w14:solidFill>
              <w14:schemeClr w14:val="tx1"/>
            </w14:solidFill>
          </w14:textFill>
        </w:rPr>
        <w:t>货款的</w:t>
      </w:r>
      <w:permStart w:id="48" w:edGrp="everyone"/>
      <w:r>
        <w:rPr>
          <w:rFonts w:hint="eastAsia" w:ascii="仿宋_GB2312" w:hAnsi="仿宋_GB2312" w:eastAsia="仿宋_GB2312" w:cs="仿宋_GB2312"/>
          <w:color w:val="000000" w:themeColor="text1"/>
          <w:highlight w:val="none"/>
          <w:u w:val="single"/>
          <w14:textFill>
            <w14:solidFill>
              <w14:schemeClr w14:val="tx1"/>
            </w14:solidFill>
          </w14:textFill>
        </w:rPr>
        <w:t xml:space="preserve"> </w:t>
      </w:r>
      <w:r>
        <w:rPr>
          <w:rFonts w:hint="eastAsia" w:ascii="仿宋_GB2312" w:hAnsi="仿宋_GB2312" w:eastAsia="仿宋_GB2312" w:cs="仿宋_GB2312"/>
          <w:color w:val="000000" w:themeColor="text1"/>
          <w:highlight w:val="none"/>
          <w:u w:val="single"/>
          <w:lang w:val="en-US" w:eastAsia="zh-CN"/>
          <w14:textFill>
            <w14:solidFill>
              <w14:schemeClr w14:val="tx1"/>
            </w14:solidFill>
          </w14:textFill>
        </w:rPr>
        <w:t>70</w:t>
      </w:r>
      <w:r>
        <w:rPr>
          <w:rFonts w:hint="eastAsia" w:ascii="仿宋_GB2312" w:hAnsi="仿宋_GB2312" w:eastAsia="仿宋_GB2312" w:cs="仿宋_GB2312"/>
          <w:color w:val="000000" w:themeColor="text1"/>
          <w:highlight w:val="none"/>
          <w:u w:val="single"/>
          <w14:textFill>
            <w14:solidFill>
              <w14:schemeClr w14:val="tx1"/>
            </w14:solidFill>
          </w14:textFill>
        </w:rPr>
        <w:t xml:space="preserve"> </w:t>
      </w:r>
      <w:permEnd w:id="48"/>
      <w:r>
        <w:rPr>
          <w:rFonts w:hint="eastAsia" w:ascii="仿宋_GB2312" w:hAnsi="仿宋_GB2312" w:eastAsia="仿宋_GB2312" w:cs="仿宋_GB2312"/>
          <w:color w:val="000000" w:themeColor="text1"/>
          <w:highlight w:val="none"/>
          <w14:textFill>
            <w14:solidFill>
              <w14:schemeClr w14:val="tx1"/>
            </w14:solidFill>
          </w14:textFill>
        </w:rPr>
        <w:t>%，</w:t>
      </w:r>
      <w:permStart w:id="49" w:edGrp="everyone"/>
      <w:r>
        <w:rPr>
          <w:rFonts w:hint="eastAsia" w:ascii="仿宋_GB2312" w:hAnsi="仿宋_GB2312" w:eastAsia="仿宋_GB2312" w:cs="仿宋_GB2312"/>
          <w:color w:val="000000" w:themeColor="text1"/>
          <w:highlight w:val="none"/>
          <w:u w:val="single"/>
          <w14:textFill>
            <w14:solidFill>
              <w14:schemeClr w14:val="tx1"/>
            </w14:solidFill>
          </w14:textFill>
        </w:rPr>
        <w:t xml:space="preserve"> </w:t>
      </w:r>
      <w:r>
        <w:rPr>
          <w:rFonts w:hint="eastAsia" w:ascii="仿宋_GB2312" w:hAnsi="仿宋_GB2312" w:eastAsia="仿宋_GB2312" w:cs="仿宋_GB2312"/>
          <w:color w:val="000000" w:themeColor="text1"/>
          <w:highlight w:val="none"/>
          <w:u w:val="single"/>
          <w:lang w:val="en-US" w:eastAsia="zh-CN"/>
          <w14:textFill>
            <w14:solidFill>
              <w14:schemeClr w14:val="tx1"/>
            </w14:solidFill>
          </w14:textFill>
        </w:rPr>
        <w:t>/</w:t>
      </w:r>
      <w:r>
        <w:rPr>
          <w:rFonts w:hint="eastAsia" w:ascii="仿宋_GB2312" w:hAnsi="仿宋_GB2312" w:eastAsia="仿宋_GB2312" w:cs="仿宋_GB2312"/>
          <w:color w:val="000000" w:themeColor="text1"/>
          <w:highlight w:val="none"/>
          <w:u w:val="single"/>
          <w14:textFill>
            <w14:solidFill>
              <w14:schemeClr w14:val="tx1"/>
            </w14:solidFill>
          </w14:textFill>
        </w:rPr>
        <w:t xml:space="preserve">  </w:t>
      </w:r>
      <w:permEnd w:id="49"/>
      <w:r>
        <w:rPr>
          <w:rFonts w:hint="eastAsia" w:ascii="仿宋_GB2312" w:hAnsi="仿宋_GB2312" w:eastAsia="仿宋_GB2312" w:cs="仿宋_GB2312"/>
          <w:color w:val="000000" w:themeColor="text1"/>
          <w:highlight w:val="none"/>
          <w14:textFill>
            <w14:solidFill>
              <w14:schemeClr w14:val="tx1"/>
            </w14:solidFill>
          </w14:textFill>
        </w:rPr>
        <w:t>个月内支付至当期</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结算</w:t>
      </w:r>
      <w:r>
        <w:rPr>
          <w:rFonts w:hint="eastAsia" w:ascii="仿宋_GB2312" w:hAnsi="仿宋_GB2312" w:eastAsia="仿宋_GB2312" w:cs="仿宋_GB2312"/>
          <w:color w:val="000000" w:themeColor="text1"/>
          <w:highlight w:val="none"/>
          <w14:textFill>
            <w14:solidFill>
              <w14:schemeClr w14:val="tx1"/>
            </w14:solidFill>
          </w14:textFill>
        </w:rPr>
        <w:t>货款的</w:t>
      </w:r>
      <w:permStart w:id="50" w:edGrp="everyone"/>
      <w:r>
        <w:rPr>
          <w:rFonts w:hint="eastAsia" w:ascii="仿宋_GB2312" w:hAnsi="仿宋_GB2312" w:eastAsia="仿宋_GB2312" w:cs="仿宋_GB2312"/>
          <w:color w:val="000000" w:themeColor="text1"/>
          <w:highlight w:val="none"/>
          <w:u w:val="single"/>
          <w14:textFill>
            <w14:solidFill>
              <w14:schemeClr w14:val="tx1"/>
            </w14:solidFill>
          </w14:textFill>
        </w:rPr>
        <w:t xml:space="preserve"> </w:t>
      </w:r>
      <w:r>
        <w:rPr>
          <w:rFonts w:hint="eastAsia" w:ascii="仿宋_GB2312" w:hAnsi="仿宋_GB2312" w:eastAsia="仿宋_GB2312" w:cs="仿宋_GB2312"/>
          <w:color w:val="000000" w:themeColor="text1"/>
          <w:highlight w:val="none"/>
          <w:u w:val="single"/>
          <w:lang w:val="en-US" w:eastAsia="zh-CN"/>
          <w14:textFill>
            <w14:solidFill>
              <w14:schemeClr w14:val="tx1"/>
            </w14:solidFill>
          </w14:textFill>
        </w:rPr>
        <w:t>/</w:t>
      </w:r>
      <w:r>
        <w:rPr>
          <w:rFonts w:hint="eastAsia" w:ascii="仿宋_GB2312" w:hAnsi="仿宋_GB2312" w:eastAsia="仿宋_GB2312" w:cs="仿宋_GB2312"/>
          <w:color w:val="000000" w:themeColor="text1"/>
          <w:highlight w:val="none"/>
          <w:u w:val="single"/>
          <w14:textFill>
            <w14:solidFill>
              <w14:schemeClr w14:val="tx1"/>
            </w14:solidFill>
          </w14:textFill>
        </w:rPr>
        <w:t xml:space="preserve">  </w:t>
      </w:r>
      <w:permEnd w:id="50"/>
      <w:r>
        <w:rPr>
          <w:rFonts w:hint="eastAsia" w:ascii="仿宋_GB2312" w:hAnsi="仿宋_GB2312" w:eastAsia="仿宋_GB2312" w:cs="仿宋_GB2312"/>
          <w:color w:val="000000" w:themeColor="text1"/>
          <w:highlight w:val="none"/>
          <w14:textFill>
            <w14:solidFill>
              <w14:schemeClr w14:val="tx1"/>
            </w14:solidFill>
          </w14:textFill>
        </w:rPr>
        <w:t>%，余下</w:t>
      </w:r>
      <w:permStart w:id="51" w:edGrp="everyone"/>
      <w:r>
        <w:rPr>
          <w:rFonts w:hint="eastAsia" w:ascii="仿宋_GB2312" w:hAnsi="仿宋_GB2312" w:eastAsia="仿宋_GB2312" w:cs="仿宋_GB2312"/>
          <w:color w:val="000000" w:themeColor="text1"/>
          <w:highlight w:val="none"/>
          <w:u w:val="single"/>
          <w14:textFill>
            <w14:solidFill>
              <w14:schemeClr w14:val="tx1"/>
            </w14:solidFill>
          </w14:textFill>
        </w:rPr>
        <w:t xml:space="preserve"> </w:t>
      </w:r>
      <w:r>
        <w:rPr>
          <w:rFonts w:hint="eastAsia" w:ascii="仿宋_GB2312" w:hAnsi="仿宋_GB2312" w:eastAsia="仿宋_GB2312" w:cs="仿宋_GB2312"/>
          <w:color w:val="000000" w:themeColor="text1"/>
          <w:highlight w:val="none"/>
          <w:u w:val="single"/>
          <w:lang w:val="en-US" w:eastAsia="zh-CN"/>
          <w14:textFill>
            <w14:solidFill>
              <w14:schemeClr w14:val="tx1"/>
            </w14:solidFill>
          </w14:textFill>
        </w:rPr>
        <w:t>30</w:t>
      </w:r>
      <w:r>
        <w:rPr>
          <w:rFonts w:hint="eastAsia" w:ascii="仿宋_GB2312" w:hAnsi="仿宋_GB2312" w:eastAsia="仿宋_GB2312" w:cs="仿宋_GB2312"/>
          <w:color w:val="000000" w:themeColor="text1"/>
          <w:highlight w:val="none"/>
          <w:u w:val="single"/>
          <w14:textFill>
            <w14:solidFill>
              <w14:schemeClr w14:val="tx1"/>
            </w14:solidFill>
          </w14:textFill>
        </w:rPr>
        <w:t xml:space="preserve"> </w:t>
      </w:r>
      <w:permEnd w:id="51"/>
      <w:r>
        <w:rPr>
          <w:rFonts w:hint="eastAsia" w:ascii="仿宋_GB2312" w:hAnsi="仿宋_GB2312" w:eastAsia="仿宋_GB2312" w:cs="仿宋_GB2312"/>
          <w:color w:val="000000" w:themeColor="text1"/>
          <w:highlight w:val="none"/>
          <w14:textFill>
            <w14:solidFill>
              <w14:schemeClr w14:val="tx1"/>
            </w14:solidFill>
          </w14:textFill>
        </w:rPr>
        <w:t>%</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结算</w:t>
      </w:r>
      <w:r>
        <w:rPr>
          <w:rFonts w:hint="eastAsia" w:ascii="仿宋_GB2312" w:hAnsi="仿宋_GB2312" w:eastAsia="仿宋_GB2312" w:cs="仿宋_GB2312"/>
          <w:color w:val="000000" w:themeColor="text1"/>
          <w:highlight w:val="none"/>
          <w14:textFill>
            <w14:solidFill>
              <w14:schemeClr w14:val="tx1"/>
            </w14:solidFill>
          </w14:textFill>
        </w:rPr>
        <w:t>货款在乙方</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供货完毕、办理完最终结算后</w:t>
      </w:r>
      <w:permStart w:id="52" w:edGrp="everyone"/>
      <w:r>
        <w:rPr>
          <w:rFonts w:hint="eastAsia" w:ascii="仿宋_GB2312" w:hAnsi="仿宋_GB2312" w:eastAsia="仿宋_GB2312" w:cs="仿宋_GB2312"/>
          <w:color w:val="000000" w:themeColor="text1"/>
          <w:highlight w:val="none"/>
          <w:u w:val="single"/>
          <w:lang w:val="en-US" w:eastAsia="zh-CN"/>
          <w14:textFill>
            <w14:solidFill>
              <w14:schemeClr w14:val="tx1"/>
            </w14:solidFill>
          </w14:textFill>
        </w:rPr>
        <w:t xml:space="preserve"> 30 </w:t>
      </w:r>
      <w:permEnd w:id="52"/>
      <w:r>
        <w:rPr>
          <w:rFonts w:hint="eastAsia" w:ascii="仿宋_GB2312" w:hAnsi="仿宋_GB2312" w:eastAsia="仿宋_GB2312" w:cs="仿宋_GB2312"/>
          <w:color w:val="000000" w:themeColor="text1"/>
          <w:highlight w:val="none"/>
          <w:lang w:val="en-US" w:eastAsia="zh-CN"/>
          <w14:textFill>
            <w14:solidFill>
              <w14:schemeClr w14:val="tx1"/>
            </w14:solidFill>
          </w14:textFill>
        </w:rPr>
        <w:t>日内</w:t>
      </w:r>
      <w:r>
        <w:rPr>
          <w:rFonts w:hint="eastAsia" w:ascii="仿宋_GB2312" w:hAnsi="仿宋_GB2312" w:eastAsia="仿宋_GB2312" w:cs="仿宋_GB2312"/>
          <w:color w:val="000000" w:themeColor="text1"/>
          <w:highlight w:val="none"/>
          <w14:textFill>
            <w14:solidFill>
              <w14:schemeClr w14:val="tx1"/>
            </w14:solidFill>
          </w14:textFill>
        </w:rPr>
        <w:t>付清。以此类推。</w:t>
      </w:r>
    </w:p>
    <w:p w14:paraId="10C99033">
      <w:pPr>
        <w:pStyle w:val="12"/>
        <w:spacing w:line="400" w:lineRule="atLeast"/>
        <w:ind w:firstLine="480" w:firstLineChars="200"/>
        <w:jc w:val="both"/>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1.</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2</w:t>
      </w:r>
      <w:r>
        <w:rPr>
          <w:rFonts w:hint="eastAsia" w:ascii="仿宋_GB2312" w:hAnsi="仿宋_GB2312" w:eastAsia="仿宋_GB2312" w:cs="仿宋_GB2312"/>
          <w:color w:val="000000" w:themeColor="text1"/>
          <w:highlight w:val="none"/>
          <w14:textFill>
            <w14:solidFill>
              <w14:schemeClr w14:val="tx1"/>
            </w14:solidFill>
          </w14:textFill>
        </w:rPr>
        <w:t>其他：</w:t>
      </w:r>
      <w:permStart w:id="53" w:edGrp="everyone"/>
      <w:r>
        <w:rPr>
          <w:rFonts w:hint="eastAsia" w:ascii="仿宋_GB2312" w:hAnsi="仿宋_GB2312" w:eastAsia="仿宋_GB2312" w:cs="仿宋_GB2312"/>
          <w:color w:val="000000" w:themeColor="text1"/>
          <w:highlight w:val="none"/>
          <w:u w:val="single"/>
          <w14:textFill>
            <w14:solidFill>
              <w14:schemeClr w14:val="tx1"/>
            </w14:solidFill>
          </w14:textFill>
        </w:rPr>
        <w:t xml:space="preserve"> /</w:t>
      </w:r>
      <w:permEnd w:id="53"/>
    </w:p>
    <w:p w14:paraId="5C948782">
      <w:pPr>
        <w:pStyle w:val="12"/>
        <w:spacing w:line="400" w:lineRule="atLeast"/>
        <w:ind w:firstLine="482"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2、支付形式：</w:t>
      </w:r>
      <w:r>
        <w:rPr>
          <w:rFonts w:hint="eastAsia" w:ascii="仿宋_GB2312" w:hAnsi="仿宋_GB2312" w:eastAsia="仿宋_GB2312" w:cs="仿宋_GB2312"/>
          <w:color w:val="000000" w:themeColor="text1"/>
          <w:highlight w:val="none"/>
          <w14:textFill>
            <w14:solidFill>
              <w14:schemeClr w14:val="tx1"/>
            </w14:solidFill>
          </w14:textFill>
        </w:rPr>
        <w:t>本合同付款形式适用第</w:t>
      </w:r>
      <w:r>
        <w:rPr>
          <w:rFonts w:hint="eastAsia" w:ascii="仿宋_GB2312" w:hAnsi="仿宋_GB2312" w:eastAsia="仿宋_GB2312" w:cs="仿宋_GB2312"/>
          <w:color w:val="000000" w:themeColor="text1"/>
          <w:highlight w:val="none"/>
          <w:u w:val="single"/>
          <w14:textFill>
            <w14:solidFill>
              <w14:schemeClr w14:val="tx1"/>
            </w14:solidFill>
          </w14:textFill>
        </w:rPr>
        <w:t xml:space="preserve">   2.2  </w:t>
      </w:r>
      <w:r>
        <w:rPr>
          <w:rFonts w:hint="eastAsia" w:ascii="仿宋_GB2312" w:hAnsi="仿宋_GB2312" w:eastAsia="仿宋_GB2312" w:cs="仿宋_GB2312"/>
          <w:color w:val="000000" w:themeColor="text1"/>
          <w:highlight w:val="none"/>
          <w14:textFill>
            <w14:solidFill>
              <w14:schemeClr w14:val="tx1"/>
            </w14:solidFill>
          </w14:textFill>
        </w:rPr>
        <w:t>条；</w:t>
      </w:r>
    </w:p>
    <w:p w14:paraId="61146FC2">
      <w:pPr>
        <w:pStyle w:val="12"/>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2.1货币付款。</w:t>
      </w:r>
    </w:p>
    <w:p w14:paraId="7A57583E">
      <w:pPr>
        <w:pStyle w:val="12"/>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2.2货币及其他的形式（包括且不限于支票、电汇、银行承兑汇票、商业承兑汇票、保理、信用证、供应链融资等）向乙方付款。（其中非现金付款方式不低于合同总价的</w:t>
      </w:r>
      <w:permStart w:id="54" w:edGrp="everyone"/>
      <w:r>
        <w:rPr>
          <w:rFonts w:hint="eastAsia" w:ascii="仿宋_GB2312" w:hAnsi="仿宋_GB2312" w:eastAsia="仿宋_GB2312" w:cs="仿宋_GB2312"/>
          <w:color w:val="000000" w:themeColor="text1"/>
          <w:highlight w:val="none"/>
          <w:u w:val="single"/>
          <w14:textFill>
            <w14:solidFill>
              <w14:schemeClr w14:val="tx1"/>
            </w14:solidFill>
          </w14:textFill>
        </w:rPr>
        <w:t xml:space="preserve"> </w:t>
      </w:r>
      <w:r>
        <w:rPr>
          <w:rFonts w:hint="eastAsia" w:ascii="仿宋_GB2312" w:hAnsi="仿宋_GB2312" w:eastAsia="仿宋_GB2312" w:cs="仿宋_GB2312"/>
          <w:color w:val="000000" w:themeColor="text1"/>
          <w:highlight w:val="none"/>
          <w:u w:val="single"/>
          <w:lang w:val="en-US" w:eastAsia="zh-CN"/>
          <w14:textFill>
            <w14:solidFill>
              <w14:schemeClr w14:val="tx1"/>
            </w14:solidFill>
          </w14:textFill>
        </w:rPr>
        <w:t>30</w:t>
      </w:r>
      <w:r>
        <w:rPr>
          <w:rFonts w:hint="eastAsia" w:ascii="仿宋_GB2312" w:hAnsi="仿宋_GB2312" w:eastAsia="仿宋_GB2312" w:cs="仿宋_GB2312"/>
          <w:color w:val="000000" w:themeColor="text1"/>
          <w:highlight w:val="none"/>
          <w:u w:val="single"/>
          <w14:textFill>
            <w14:solidFill>
              <w14:schemeClr w14:val="tx1"/>
            </w14:solidFill>
          </w14:textFill>
        </w:rPr>
        <w:t xml:space="preserve"> </w:t>
      </w:r>
      <w:permEnd w:id="54"/>
      <w:r>
        <w:rPr>
          <w:rFonts w:hint="eastAsia" w:ascii="仿宋_GB2312" w:hAnsi="仿宋_GB2312" w:eastAsia="仿宋_GB2312" w:cs="仿宋_GB2312"/>
          <w:color w:val="000000" w:themeColor="text1"/>
          <w:highlight w:val="none"/>
          <w14:textFill>
            <w14:solidFill>
              <w14:schemeClr w14:val="tx1"/>
            </w14:solidFill>
          </w14:textFill>
        </w:rPr>
        <w:t>%，期限为六个月，因此产生的相关贴现成本由乙方承担。乙方须保证资金往来账户与本合同所约定账户一致，开票单位名称与合同约定名称一致。）</w:t>
      </w:r>
    </w:p>
    <w:p w14:paraId="5BA91023">
      <w:pPr>
        <w:pStyle w:val="12"/>
        <w:spacing w:line="400" w:lineRule="atLeast"/>
        <w:ind w:firstLine="482" w:firstLineChars="200"/>
        <w:jc w:val="both"/>
        <w:rPr>
          <w:rFonts w:ascii="仿宋_GB2312" w:hAnsi="仿宋_GB2312" w:eastAsia="仿宋_GB2312" w:cs="仿宋_GB2312"/>
          <w:b/>
          <w:bCs/>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3、付款条件：乙方向甲方申请付款时，应先行满足以下条件：</w:t>
      </w:r>
    </w:p>
    <w:p w14:paraId="67B7C19D">
      <w:pPr>
        <w:pStyle w:val="12"/>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3.1所供产品无质量缺陷，乙方无违约记录，产品出厂合格证明以及检测报告完整无误。</w:t>
      </w:r>
    </w:p>
    <w:p w14:paraId="3CDBC06C">
      <w:pPr>
        <w:pStyle w:val="12"/>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3.2乙方申请付款依据的结算单已由甲方最终有效确认，付款期限已经届满。</w:t>
      </w:r>
    </w:p>
    <w:p w14:paraId="3AB09F6C">
      <w:pPr>
        <w:pStyle w:val="12"/>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3.3乙方已向甲方提供与结算等额增值税专用发票，且甲方已完成发票认证。</w:t>
      </w:r>
    </w:p>
    <w:p w14:paraId="28A83A73">
      <w:pPr>
        <w:pStyle w:val="12"/>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在支付条件达成的基础上，甲方按以上方式向乙方付款，预付款不适用上述条件。</w:t>
      </w:r>
    </w:p>
    <w:p w14:paraId="4FB83803">
      <w:pPr>
        <w:pStyle w:val="12"/>
        <w:spacing w:line="400" w:lineRule="atLeast"/>
        <w:ind w:firstLine="482" w:firstLineChars="200"/>
        <w:rPr>
          <w:rFonts w:ascii="仿宋_GB2312" w:hAnsi="仿宋_GB2312" w:eastAsia="仿宋_GB2312" w:cs="仿宋_GB2312"/>
          <w:b/>
          <w:bCs/>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4、乙方收款账户：</w:t>
      </w:r>
      <w:permStart w:id="55" w:edGrp="everyone"/>
      <w:r>
        <w:rPr>
          <w:rFonts w:hint="eastAsia" w:ascii="仿宋_GB2312" w:hAnsi="仿宋_GB2312" w:eastAsia="仿宋_GB2312" w:cs="仿宋_GB2312"/>
          <w:color w:val="000000" w:themeColor="text1"/>
          <w:highlight w:val="none"/>
          <w:u w:val="single"/>
          <w14:textFill>
            <w14:solidFill>
              <w14:schemeClr w14:val="tx1"/>
            </w14:solidFill>
          </w14:textFill>
        </w:rPr>
        <w:t xml:space="preserve">             </w:t>
      </w:r>
      <w:permEnd w:id="55"/>
    </w:p>
    <w:p w14:paraId="0DE78CBB">
      <w:pPr>
        <w:pStyle w:val="12"/>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开户银行：</w:t>
      </w:r>
      <w:permStart w:id="56" w:edGrp="everyone"/>
      <w:r>
        <w:rPr>
          <w:rFonts w:hint="eastAsia" w:ascii="仿宋_GB2312" w:hAnsi="仿宋_GB2312" w:eastAsia="仿宋_GB2312" w:cs="仿宋_GB2312"/>
          <w:color w:val="000000" w:themeColor="text1"/>
          <w:highlight w:val="none"/>
          <w:u w:val="single"/>
          <w14:textFill>
            <w14:solidFill>
              <w14:schemeClr w14:val="tx1"/>
            </w14:solidFill>
          </w14:textFill>
        </w:rPr>
        <w:t xml:space="preserve">             </w:t>
      </w:r>
      <w:permEnd w:id="56"/>
    </w:p>
    <w:p w14:paraId="00BE2190">
      <w:pPr>
        <w:pStyle w:val="12"/>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银行帐号：</w:t>
      </w:r>
      <w:permStart w:id="57" w:edGrp="everyone"/>
      <w:r>
        <w:rPr>
          <w:rFonts w:hint="eastAsia" w:ascii="仿宋_GB2312" w:hAnsi="仿宋_GB2312" w:eastAsia="仿宋_GB2312" w:cs="仿宋_GB2312"/>
          <w:color w:val="000000" w:themeColor="text1"/>
          <w:highlight w:val="none"/>
          <w:u w:val="single"/>
          <w14:textFill>
            <w14:solidFill>
              <w14:schemeClr w14:val="tx1"/>
            </w14:solidFill>
          </w14:textFill>
        </w:rPr>
        <w:t xml:space="preserve">             </w:t>
      </w:r>
      <w:permEnd w:id="57"/>
    </w:p>
    <w:p w14:paraId="077A6733">
      <w:pPr>
        <w:pStyle w:val="12"/>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乙方指定</w:t>
      </w:r>
      <w:permStart w:id="58" w:edGrp="everyone"/>
      <w:r>
        <w:rPr>
          <w:rFonts w:hint="eastAsia" w:ascii="仿宋_GB2312" w:hAnsi="仿宋_GB2312" w:eastAsia="仿宋_GB2312" w:cs="仿宋_GB2312"/>
          <w:color w:val="000000" w:themeColor="text1"/>
          <w:highlight w:val="none"/>
          <w:u w:val="single"/>
          <w14:textFill>
            <w14:solidFill>
              <w14:schemeClr w14:val="tx1"/>
            </w14:solidFill>
          </w14:textFill>
        </w:rPr>
        <w:t xml:space="preserve">   </w:t>
      </w:r>
      <w:permEnd w:id="58"/>
      <w:r>
        <w:rPr>
          <w:rFonts w:hint="eastAsia" w:ascii="仿宋_GB2312" w:hAnsi="仿宋_GB2312" w:eastAsia="仿宋_GB2312" w:cs="仿宋_GB2312"/>
          <w:color w:val="000000" w:themeColor="text1"/>
          <w:highlight w:val="none"/>
          <w14:textFill>
            <w14:solidFill>
              <w14:schemeClr w14:val="tx1"/>
            </w14:solidFill>
          </w14:textFill>
        </w:rPr>
        <w:t>（身份证号：</w:t>
      </w:r>
      <w:permStart w:id="59" w:edGrp="everyone"/>
      <w:r>
        <w:rPr>
          <w:rFonts w:hint="eastAsia" w:ascii="仿宋_GB2312" w:hAnsi="仿宋_GB2312" w:eastAsia="仿宋_GB2312" w:cs="仿宋_GB2312"/>
          <w:color w:val="000000" w:themeColor="text1"/>
          <w:highlight w:val="none"/>
          <w:u w:val="single"/>
          <w14:textFill>
            <w14:solidFill>
              <w14:schemeClr w14:val="tx1"/>
            </w14:solidFill>
          </w14:textFill>
        </w:rPr>
        <w:t xml:space="preserve">   </w:t>
      </w:r>
      <w:permEnd w:id="59"/>
      <w:r>
        <w:rPr>
          <w:rFonts w:hint="eastAsia" w:ascii="仿宋_GB2312" w:hAnsi="仿宋_GB2312" w:eastAsia="仿宋_GB2312" w:cs="仿宋_GB2312"/>
          <w:color w:val="000000" w:themeColor="text1"/>
          <w:highlight w:val="none"/>
          <w14:textFill>
            <w14:solidFill>
              <w14:schemeClr w14:val="tx1"/>
            </w14:solidFill>
          </w14:textFill>
        </w:rPr>
        <w:t>）作为收款经办人，同甲方相关人员沟通洽商付款具体事宜。</w:t>
      </w:r>
    </w:p>
    <w:p w14:paraId="582D9433">
      <w:pPr>
        <w:pStyle w:val="12"/>
        <w:spacing w:line="400" w:lineRule="atLeast"/>
        <w:ind w:firstLine="482" w:firstLineChars="200"/>
        <w:rPr>
          <w:rFonts w:ascii="仿宋_GB2312" w:hAnsi="仿宋_GB2312" w:eastAsia="仿宋_GB2312" w:cs="仿宋_GB2312"/>
          <w:b/>
          <w:bCs/>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甲方仅向乙方本单位名下银行账户支付价款，未经甲方同意，乙方不得委托任何第三方代为收款，否则甲方有权拒绝付款。</w:t>
      </w:r>
    </w:p>
    <w:p w14:paraId="589A300C">
      <w:pPr>
        <w:pStyle w:val="12"/>
        <w:spacing w:line="400" w:lineRule="atLeast"/>
        <w:ind w:firstLine="482"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5、账户变动：</w:t>
      </w:r>
      <w:r>
        <w:rPr>
          <w:rFonts w:hint="eastAsia" w:ascii="仿宋_GB2312" w:hAnsi="仿宋_GB2312" w:eastAsia="仿宋_GB2312" w:cs="仿宋_GB2312"/>
          <w:color w:val="000000" w:themeColor="text1"/>
          <w:highlight w:val="none"/>
          <w14:textFill>
            <w14:solidFill>
              <w14:schemeClr w14:val="tx1"/>
            </w14:solidFill>
          </w14:textFill>
        </w:rPr>
        <w:t>当乙方收款银行账号发生变动时，应以函件的形式书面通知甲方，否则甲方有权拒绝付款。若甲方在收到乙方的书面通知之前已按原账号付款，则甲方不再另行支付，由此造成的一切损失均由乙方自行承担。</w:t>
      </w:r>
    </w:p>
    <w:p w14:paraId="14BBAEA7">
      <w:pPr>
        <w:pStyle w:val="12"/>
        <w:spacing w:line="400" w:lineRule="atLeast"/>
        <w:ind w:firstLine="482" w:firstLineChars="200"/>
        <w:rPr>
          <w:rFonts w:ascii="仿宋_GB2312" w:hAnsi="仿宋_GB2312" w:eastAsia="仿宋_GB2312" w:cs="仿宋_GB2312"/>
          <w:b/>
          <w:bCs/>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6、履约保证金缴纳及退还：</w:t>
      </w:r>
    </w:p>
    <w:p w14:paraId="06031B20">
      <w:pPr>
        <w:spacing w:line="400" w:lineRule="atLeast"/>
        <w:ind w:firstLine="482" w:firstLineChars="200"/>
        <w:rPr>
          <w:rFonts w:ascii="仿宋_GB2312" w:hAnsi="仿宋_GB2312" w:eastAsia="仿宋_GB2312" w:cs="仿宋_GB2312"/>
          <w:color w:val="000000" w:themeColor="text1"/>
          <w:sz w:val="24"/>
          <w:szCs w:val="24"/>
          <w:highlight w:val="yellow"/>
          <w:u w:val="single"/>
          <w14:textFill>
            <w14:solidFill>
              <w14:schemeClr w14:val="tx1"/>
            </w14:solidFill>
          </w14:textFill>
        </w:rPr>
      </w:pPr>
      <w:r>
        <w:rPr>
          <w:rFonts w:hint="eastAsia" w:ascii="仿宋_GB2312" w:hAnsi="仿宋_GB2312" w:eastAsia="仿宋_GB2312" w:cs="仿宋_GB2312"/>
          <w:b/>
          <w:bCs/>
          <w:color w:val="000000" w:themeColor="text1"/>
          <w:sz w:val="24"/>
          <w:szCs w:val="24"/>
          <w:highlight w:val="yellow"/>
          <w14:textFill>
            <w14:solidFill>
              <w14:schemeClr w14:val="tx1"/>
            </w14:solidFill>
          </w14:textFill>
        </w:rPr>
        <w:t>6.1履约保证金缴纳形式：</w:t>
      </w:r>
      <w:r>
        <w:rPr>
          <w:rFonts w:hint="eastAsia" w:ascii="仿宋_GB2312" w:hAnsi="仿宋_GB2312" w:eastAsia="仿宋_GB2312" w:cs="仿宋_GB2312"/>
          <w:color w:val="000000" w:themeColor="text1"/>
          <w:sz w:val="24"/>
          <w:szCs w:val="24"/>
          <w:highlight w:val="yellow"/>
          <w14:textFill>
            <w14:solidFill>
              <w14:schemeClr w14:val="tx1"/>
            </w14:solidFill>
          </w14:textFill>
        </w:rPr>
        <w:t>乙方在签订合同前应向甲方缴纳合同额的</w:t>
      </w:r>
      <w:permStart w:id="60" w:edGrp="everyone"/>
      <w:r>
        <w:rPr>
          <w:rFonts w:hint="eastAsia" w:ascii="仿宋_GB2312" w:hAnsi="仿宋_GB2312" w:eastAsia="仿宋_GB2312" w:cs="仿宋_GB2312"/>
          <w:color w:val="000000" w:themeColor="text1"/>
          <w:sz w:val="24"/>
          <w:szCs w:val="24"/>
          <w:highlight w:val="yellow"/>
          <w:u w:val="single"/>
          <w14:textFill>
            <w14:solidFill>
              <w14:schemeClr w14:val="tx1"/>
            </w14:solidFill>
          </w14:textFill>
        </w:rPr>
        <w:t xml:space="preserve">   </w:t>
      </w:r>
    </w:p>
    <w:p w14:paraId="225555E6">
      <w:pPr>
        <w:spacing w:line="400" w:lineRule="atLeast"/>
        <w:rPr>
          <w:rFonts w:ascii="仿宋_GB2312" w:hAnsi="仿宋_GB2312" w:eastAsia="仿宋_GB2312" w:cs="仿宋_GB2312"/>
          <w:color w:val="000000" w:themeColor="text1"/>
          <w:sz w:val="24"/>
          <w:szCs w:val="24"/>
          <w:highlight w:val="yellow"/>
          <w14:textFill>
            <w14:solidFill>
              <w14:schemeClr w14:val="tx1"/>
            </w14:solidFill>
          </w14:textFill>
        </w:rPr>
      </w:pPr>
      <w:r>
        <w:rPr>
          <w:rFonts w:hint="eastAsia" w:ascii="仿宋_GB2312" w:hAnsi="仿宋_GB2312" w:eastAsia="仿宋_GB2312" w:cs="仿宋_GB2312"/>
          <w:color w:val="000000" w:themeColor="text1"/>
          <w:sz w:val="24"/>
          <w:szCs w:val="24"/>
          <w:highlight w:val="yellow"/>
          <w:u w:val="single"/>
          <w14:textFill>
            <w14:solidFill>
              <w14:schemeClr w14:val="tx1"/>
            </w14:solidFill>
          </w14:textFill>
        </w:rPr>
        <w:t xml:space="preserve"> / </w:t>
      </w:r>
      <w:permEnd w:id="60"/>
      <w:r>
        <w:rPr>
          <w:rFonts w:hint="eastAsia" w:ascii="仿宋_GB2312" w:hAnsi="仿宋_GB2312" w:eastAsia="仿宋_GB2312" w:cs="仿宋_GB2312"/>
          <w:color w:val="000000" w:themeColor="text1"/>
          <w:sz w:val="24"/>
          <w:szCs w:val="24"/>
          <w:highlight w:val="yellow"/>
          <w14:textFill>
            <w14:solidFill>
              <w14:schemeClr w14:val="tx1"/>
            </w14:solidFill>
          </w14:textFill>
        </w:rPr>
        <w:t>％或</w:t>
      </w:r>
      <w:permStart w:id="61" w:edGrp="everyone"/>
      <w:r>
        <w:rPr>
          <w:rFonts w:hint="eastAsia" w:ascii="仿宋_GB2312" w:hAnsi="仿宋_GB2312" w:eastAsia="仿宋_GB2312" w:cs="仿宋_GB2312"/>
          <w:color w:val="000000" w:themeColor="text1"/>
          <w:sz w:val="24"/>
          <w:szCs w:val="24"/>
          <w:highlight w:val="yellow"/>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highlight w:val="yellow"/>
          <w:u w:val="single"/>
          <w:lang w:val="en-US" w:eastAsia="zh-CN"/>
          <w14:textFill>
            <w14:solidFill>
              <w14:schemeClr w14:val="tx1"/>
            </w14:solidFill>
          </w14:textFill>
        </w:rPr>
        <w:t>10000</w:t>
      </w:r>
      <w:r>
        <w:rPr>
          <w:rFonts w:hint="eastAsia" w:ascii="仿宋_GB2312" w:hAnsi="仿宋_GB2312" w:eastAsia="仿宋_GB2312" w:cs="仿宋_GB2312"/>
          <w:color w:val="000000" w:themeColor="text1"/>
          <w:sz w:val="24"/>
          <w:szCs w:val="24"/>
          <w:highlight w:val="yellow"/>
          <w:u w:val="single"/>
          <w14:textFill>
            <w14:solidFill>
              <w14:schemeClr w14:val="tx1"/>
            </w14:solidFill>
          </w14:textFill>
        </w:rPr>
        <w:t xml:space="preserve"> </w:t>
      </w:r>
      <w:permEnd w:id="61"/>
      <w:r>
        <w:rPr>
          <w:rFonts w:hint="eastAsia" w:ascii="仿宋_GB2312" w:hAnsi="仿宋_GB2312" w:eastAsia="仿宋_GB2312" w:cs="仿宋_GB2312"/>
          <w:color w:val="000000" w:themeColor="text1"/>
          <w:sz w:val="24"/>
          <w:szCs w:val="24"/>
          <w:highlight w:val="yellow"/>
          <w14:textFill>
            <w14:solidFill>
              <w14:schemeClr w14:val="tx1"/>
            </w14:solidFill>
          </w14:textFill>
        </w:rPr>
        <w:t>元的履约保证金，具体缴纳形式采用第</w:t>
      </w:r>
      <w:permStart w:id="62" w:edGrp="everyone"/>
      <w:r>
        <w:rPr>
          <w:rFonts w:hint="eastAsia" w:ascii="仿宋_GB2312" w:hAnsi="仿宋_GB2312" w:eastAsia="仿宋_GB2312" w:cs="仿宋_GB2312"/>
          <w:color w:val="000000" w:themeColor="text1"/>
          <w:sz w:val="24"/>
          <w:szCs w:val="24"/>
          <w:highlight w:val="yellow"/>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highlight w:val="yellow"/>
          <w:u w:val="single"/>
          <w:lang w:val="en-US" w:eastAsia="zh-CN"/>
          <w14:textFill>
            <w14:solidFill>
              <w14:schemeClr w14:val="tx1"/>
            </w14:solidFill>
          </w14:textFill>
        </w:rPr>
        <w:t>6.1.2</w:t>
      </w:r>
      <w:r>
        <w:rPr>
          <w:rFonts w:hint="eastAsia" w:ascii="仿宋_GB2312" w:hAnsi="仿宋_GB2312" w:eastAsia="仿宋_GB2312" w:cs="仿宋_GB2312"/>
          <w:color w:val="000000" w:themeColor="text1"/>
          <w:sz w:val="24"/>
          <w:szCs w:val="24"/>
          <w:highlight w:val="yellow"/>
          <w:u w:val="single"/>
          <w14:textFill>
            <w14:solidFill>
              <w14:schemeClr w14:val="tx1"/>
            </w14:solidFill>
          </w14:textFill>
        </w:rPr>
        <w:t xml:space="preserve">  </w:t>
      </w:r>
      <w:permEnd w:id="62"/>
      <w:r>
        <w:rPr>
          <w:rFonts w:hint="eastAsia" w:ascii="仿宋_GB2312" w:hAnsi="仿宋_GB2312" w:eastAsia="仿宋_GB2312" w:cs="仿宋_GB2312"/>
          <w:color w:val="000000" w:themeColor="text1"/>
          <w:sz w:val="24"/>
          <w:szCs w:val="24"/>
          <w:highlight w:val="yellow"/>
          <w14:textFill>
            <w14:solidFill>
              <w14:schemeClr w14:val="tx1"/>
            </w14:solidFill>
          </w14:textFill>
        </w:rPr>
        <w:t>种：</w:t>
      </w:r>
    </w:p>
    <w:p w14:paraId="5470C74E">
      <w:pPr>
        <w:spacing w:line="400" w:lineRule="atLeast"/>
        <w:ind w:firstLine="480" w:firstLineChars="200"/>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6.1.1无需缴纳履约保证金。</w:t>
      </w:r>
    </w:p>
    <w:p w14:paraId="4115C8E9">
      <w:pPr>
        <w:spacing w:line="400" w:lineRule="atLeast"/>
        <w:ind w:firstLine="480" w:firstLineChars="200"/>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6.1.2银行转账：乙方未参与甲方其他在建项目，采用银行转账方式缴纳履约保证金，并由项目相应会计根据财务部规定办理相应流程，开具证明件。</w:t>
      </w:r>
    </w:p>
    <w:p w14:paraId="34371AFD">
      <w:pPr>
        <w:spacing w:line="400" w:lineRule="atLeast"/>
        <w:ind w:firstLine="480" w:firstLineChars="200"/>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6.1.3应付款抵扣：乙方参与甲方其他在建项目，履约保证金从其他项目应付款中抵扣，并由项目相应会计根据财务部规定办理相应流程，开具证明件。</w:t>
      </w:r>
    </w:p>
    <w:p w14:paraId="74802C19">
      <w:pPr>
        <w:spacing w:line="400" w:lineRule="atLeast"/>
        <w:ind w:firstLine="480" w:firstLineChars="200"/>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6.1.4履约保函（只接受银行保函，不接受商业保函）。</w:t>
      </w:r>
    </w:p>
    <w:p w14:paraId="26031602">
      <w:pPr>
        <w:spacing w:line="400" w:lineRule="atLeast"/>
        <w:ind w:firstLine="480" w:firstLineChars="200"/>
        <w:rPr>
          <w:rFonts w:ascii="仿宋_GB2312" w:hAnsi="仿宋_GB2312" w:eastAsia="仿宋_GB2312" w:cs="仿宋_GB2312"/>
          <w:color w:val="000000" w:themeColor="text1"/>
          <w:sz w:val="24"/>
          <w:szCs w:val="24"/>
          <w:highlight w:val="none"/>
          <w:u w:val="singl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6.1.5其他</w:t>
      </w:r>
      <w:r>
        <w:rPr>
          <w:rFonts w:hint="eastAsia" w:ascii="仿宋_GB2312" w:hAnsi="仿宋_GB2312" w:eastAsia="仿宋_GB2312" w:cs="仿宋_GB2312"/>
          <w:b/>
          <w:bCs/>
          <w:color w:val="000000" w:themeColor="text1"/>
          <w:sz w:val="24"/>
          <w:szCs w:val="24"/>
          <w:highlight w:val="none"/>
          <w:u w:val="single"/>
          <w14:textFill>
            <w14:solidFill>
              <w14:schemeClr w14:val="tx1"/>
            </w14:solidFill>
          </w14:textFill>
        </w:rPr>
        <w:t xml:space="preserve"> </w:t>
      </w:r>
      <w:permStart w:id="63" w:edGrp="everyone"/>
      <w:r>
        <w:rPr>
          <w:rFonts w:hint="eastAsia" w:ascii="仿宋_GB2312" w:hAnsi="仿宋_GB2312" w:eastAsia="仿宋_GB2312" w:cs="仿宋_GB2312"/>
          <w:color w:val="000000" w:themeColor="text1"/>
          <w:sz w:val="24"/>
          <w:szCs w:val="24"/>
          <w:highlight w:val="none"/>
          <w:u w:val="single"/>
          <w14:textFill>
            <w14:solidFill>
              <w14:schemeClr w14:val="tx1"/>
            </w14:solidFill>
          </w14:textFill>
        </w:rPr>
        <w:t xml:space="preserve">/                  </w:t>
      </w:r>
      <w:permEnd w:id="63"/>
      <w:r>
        <w:rPr>
          <w:rFonts w:hint="eastAsia" w:ascii="仿宋_GB2312" w:hAnsi="仿宋_GB2312" w:eastAsia="仿宋_GB2312" w:cs="仿宋_GB2312"/>
          <w:color w:val="000000" w:themeColor="text1"/>
          <w:sz w:val="24"/>
          <w:szCs w:val="24"/>
          <w:highlight w:val="none"/>
          <w14:textFill>
            <w14:solidFill>
              <w14:schemeClr w14:val="tx1"/>
            </w14:solidFill>
          </w14:textFill>
        </w:rPr>
        <w:t>。</w:t>
      </w:r>
    </w:p>
    <w:p w14:paraId="3F7FA654">
      <w:pPr>
        <w:spacing w:line="400" w:lineRule="atLeast"/>
        <w:ind w:firstLine="480" w:firstLineChars="200"/>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6.</w:t>
      </w:r>
      <w:r>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t>2</w:t>
      </w:r>
      <w:r>
        <w:rPr>
          <w:rFonts w:hint="eastAsia" w:ascii="仿宋_GB2312" w:hAnsi="仿宋_GB2312" w:eastAsia="仿宋_GB2312" w:cs="仿宋_GB2312"/>
          <w:color w:val="000000" w:themeColor="text1"/>
          <w:sz w:val="24"/>
          <w:szCs w:val="24"/>
          <w:highlight w:val="none"/>
          <w14:textFill>
            <w14:solidFill>
              <w14:schemeClr w14:val="tx1"/>
            </w14:solidFill>
          </w14:textFill>
        </w:rPr>
        <w:t>履约保证金缴纳账户：</w:t>
      </w:r>
    </w:p>
    <w:p w14:paraId="268492D6">
      <w:pPr>
        <w:spacing w:line="400" w:lineRule="atLeast"/>
        <w:ind w:left="120" w:firstLine="480" w:firstLineChars="200"/>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户名：</w:t>
      </w:r>
      <w:permStart w:id="64" w:edGrp="everyone"/>
      <w:r>
        <w:rPr>
          <w:rFonts w:hint="eastAsia" w:ascii="仿宋_GB2312" w:hAnsi="仿宋_GB2312" w:eastAsia="仿宋_GB2312" w:cs="仿宋_GB2312"/>
          <w:color w:val="000000" w:themeColor="text1"/>
          <w:sz w:val="24"/>
          <w:szCs w:val="24"/>
          <w:highlight w:val="none"/>
          <w:u w:val="single"/>
          <w14:textFill>
            <w14:solidFill>
              <w14:schemeClr w14:val="tx1"/>
            </w14:solidFill>
          </w14:textFill>
        </w:rPr>
        <w:t xml:space="preserve"> 西藏中建建设有限责任公司 </w:t>
      </w:r>
      <w:permEnd w:id="64"/>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 </w:t>
      </w:r>
    </w:p>
    <w:p w14:paraId="05DE2BB6">
      <w:pPr>
        <w:spacing w:line="400" w:lineRule="atLeast"/>
        <w:ind w:left="120" w:firstLine="480" w:firstLineChars="200"/>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帐号：</w:t>
      </w:r>
      <w:permStart w:id="65" w:edGrp="everyone"/>
      <w:r>
        <w:rPr>
          <w:rFonts w:hint="eastAsia" w:ascii="仿宋_GB2312" w:hAnsi="仿宋_GB2312" w:eastAsia="仿宋_GB2312" w:cs="仿宋_GB2312"/>
          <w:color w:val="000000" w:themeColor="text1"/>
          <w:sz w:val="24"/>
          <w:szCs w:val="24"/>
          <w:highlight w:val="none"/>
          <w:u w:val="single"/>
          <w14:textFill>
            <w14:solidFill>
              <w14:schemeClr w14:val="tx1"/>
            </w14:solidFill>
          </w14:textFill>
        </w:rPr>
        <w:t xml:space="preserve"> 54050101363600000966 </w:t>
      </w:r>
      <w:permEnd w:id="65"/>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 </w:t>
      </w:r>
    </w:p>
    <w:p w14:paraId="5F6729B4">
      <w:pPr>
        <w:spacing w:line="400" w:lineRule="atLeast"/>
        <w:ind w:left="120" w:firstLine="480" w:firstLineChars="200"/>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开户行：</w:t>
      </w:r>
      <w:permStart w:id="66" w:edGrp="everyone"/>
      <w:r>
        <w:rPr>
          <w:rFonts w:hint="eastAsia" w:ascii="仿宋_GB2312" w:hAnsi="仿宋_GB2312" w:eastAsia="仿宋_GB2312" w:cs="仿宋_GB2312"/>
          <w:color w:val="000000" w:themeColor="text1"/>
          <w:sz w:val="24"/>
          <w:szCs w:val="24"/>
          <w:highlight w:val="none"/>
          <w:u w:val="single"/>
          <w14:textFill>
            <w14:solidFill>
              <w14:schemeClr w14:val="tx1"/>
            </w14:solidFill>
          </w14:textFill>
        </w:rPr>
        <w:t xml:space="preserve"> 中国建设银行拉萨北京中路支行  </w:t>
      </w:r>
      <w:permEnd w:id="66"/>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 </w:t>
      </w:r>
    </w:p>
    <w:p w14:paraId="4EB286FE">
      <w:pPr>
        <w:pStyle w:val="12"/>
        <w:spacing w:line="400" w:lineRule="atLeast"/>
        <w:ind w:firstLine="482" w:firstLineChars="200"/>
        <w:rPr>
          <w:highlight w:val="none"/>
        </w:rPr>
      </w:pPr>
      <w:r>
        <w:rPr>
          <w:rFonts w:hint="eastAsia" w:ascii="仿宋_GB2312" w:hAnsi="仿宋_GB2312" w:eastAsia="仿宋_GB2312" w:cs="仿宋_GB2312"/>
          <w:b/>
          <w:bCs/>
          <w:color w:val="000000" w:themeColor="text1"/>
          <w:highlight w:val="none"/>
          <w14:textFill>
            <w14:solidFill>
              <w14:schemeClr w14:val="tx1"/>
            </w14:solidFill>
          </w14:textFill>
        </w:rPr>
        <w:t>6.</w:t>
      </w:r>
      <w:r>
        <w:rPr>
          <w:rFonts w:hint="eastAsia" w:ascii="仿宋_GB2312" w:hAnsi="仿宋_GB2312" w:eastAsia="仿宋_GB2312" w:cs="仿宋_GB2312"/>
          <w:b/>
          <w:bCs/>
          <w:color w:val="000000" w:themeColor="text1"/>
          <w:highlight w:val="none"/>
          <w:lang w:val="en-US" w:eastAsia="zh-CN"/>
          <w14:textFill>
            <w14:solidFill>
              <w14:schemeClr w14:val="tx1"/>
            </w14:solidFill>
          </w14:textFill>
        </w:rPr>
        <w:t>3</w:t>
      </w:r>
      <w:r>
        <w:rPr>
          <w:rFonts w:hint="eastAsia" w:ascii="仿宋_GB2312" w:hAnsi="仿宋_GB2312" w:eastAsia="仿宋_GB2312" w:cs="仿宋_GB2312"/>
          <w:b/>
          <w:bCs/>
          <w:color w:val="000000" w:themeColor="text1"/>
          <w:highlight w:val="none"/>
          <w14:textFill>
            <w14:solidFill>
              <w14:schemeClr w14:val="tx1"/>
            </w14:solidFill>
          </w14:textFill>
        </w:rPr>
        <w:t>履约保证金退还：</w:t>
      </w:r>
      <w:r>
        <w:rPr>
          <w:rFonts w:hint="eastAsia" w:ascii="仿宋_GB2312" w:hAnsi="仿宋_GB2312" w:eastAsia="仿宋_GB2312" w:cs="仿宋_GB2312"/>
          <w:color w:val="000000" w:themeColor="text1"/>
          <w:kern w:val="2"/>
          <w:sz w:val="24"/>
          <w:szCs w:val="24"/>
          <w:highlight w:val="none"/>
          <w:lang w:val="en-US" w:eastAsia="zh-CN" w:bidi="ar-SA"/>
          <w14:textFill>
            <w14:solidFill>
              <w14:schemeClr w14:val="tx1"/>
            </w14:solidFill>
          </w14:textFill>
        </w:rPr>
        <w:t>在合同完成后</w:t>
      </w:r>
      <w:permStart w:id="67" w:edGrp="everyone"/>
      <w:r>
        <w:rPr>
          <w:rFonts w:hint="eastAsia" w:ascii="仿宋_GB2312" w:hAnsi="仿宋_GB2312" w:eastAsia="仿宋_GB2312" w:cs="仿宋_GB2312"/>
          <w:color w:val="000000" w:themeColor="text1"/>
          <w:kern w:val="2"/>
          <w:sz w:val="24"/>
          <w:szCs w:val="24"/>
          <w:highlight w:val="none"/>
          <w:u w:val="single"/>
          <w:lang w:val="en-US" w:eastAsia="zh-CN" w:bidi="ar-SA"/>
          <w14:textFill>
            <w14:solidFill>
              <w14:schemeClr w14:val="tx1"/>
            </w14:solidFill>
          </w14:textFill>
        </w:rPr>
        <w:t xml:space="preserve">  7  </w:t>
      </w:r>
      <w:permEnd w:id="67"/>
      <w:r>
        <w:rPr>
          <w:rFonts w:hint="eastAsia" w:ascii="仿宋_GB2312" w:hAnsi="仿宋_GB2312" w:eastAsia="仿宋_GB2312" w:cs="仿宋_GB2312"/>
          <w:color w:val="000000" w:themeColor="text1"/>
          <w:kern w:val="2"/>
          <w:sz w:val="24"/>
          <w:szCs w:val="24"/>
          <w:highlight w:val="none"/>
          <w:lang w:val="en-US" w:eastAsia="zh-CN" w:bidi="ar-SA"/>
          <w14:textFill>
            <w14:solidFill>
              <w14:schemeClr w14:val="tx1"/>
            </w14:solidFill>
          </w14:textFill>
        </w:rPr>
        <w:t>工作日内甲方无息退还乙方履约保证金（扣除违约金及应扣除款项）</w:t>
      </w:r>
      <w:r>
        <w:rPr>
          <w:rFonts w:hint="eastAsia" w:ascii="仿宋_GB2312" w:hAnsi="仿宋_GB2312" w:eastAsia="仿宋_GB2312" w:cs="仿宋_GB2312"/>
          <w:color w:val="000000" w:themeColor="text1"/>
          <w:highlight w:val="none"/>
          <w14:textFill>
            <w14:solidFill>
              <w14:schemeClr w14:val="tx1"/>
            </w14:solidFill>
          </w14:textFill>
        </w:rPr>
        <w:t>。</w:t>
      </w:r>
    </w:p>
    <w:p w14:paraId="319692C4">
      <w:pPr>
        <w:spacing w:line="400" w:lineRule="atLeast"/>
        <w:ind w:firstLine="482" w:firstLineChars="200"/>
        <w:rPr>
          <w:rFonts w:hint="eastAsia" w:ascii="仿宋_GB2312" w:hAnsi="仿宋_GB2312" w:eastAsia="仿宋_GB2312" w:cs="仿宋_GB2312"/>
          <w:b/>
          <w:bCs/>
          <w:color w:val="000000" w:themeColor="text1"/>
          <w:sz w:val="24"/>
          <w:szCs w:val="24"/>
          <w:highlight w:val="none"/>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en-US" w:eastAsia="zh-CN"/>
          <w14:textFill>
            <w14:solidFill>
              <w14:schemeClr w14:val="tx1"/>
            </w14:solidFill>
          </w14:textFill>
        </w:rPr>
        <w:t>6.4</w:t>
      </w:r>
      <w:r>
        <w:rPr>
          <w:rFonts w:hint="eastAsia" w:ascii="仿宋_GB2312" w:hAnsi="仿宋_GB2312" w:eastAsia="仿宋_GB2312" w:cs="仿宋_GB2312"/>
          <w:b/>
          <w:bCs/>
          <w:color w:val="000000" w:themeColor="text1"/>
          <w:sz w:val="24"/>
          <w:szCs w:val="24"/>
          <w:highlight w:val="none"/>
          <w14:textFill>
            <w14:solidFill>
              <w14:schemeClr w14:val="tx1"/>
            </w14:solidFill>
          </w14:textFill>
        </w:rPr>
        <w:t>已缴纳履约保证金的，如发生以下任何一种情况履约保证金不予退还：</w:t>
      </w:r>
    </w:p>
    <w:p w14:paraId="5BF83DFF">
      <w:pPr>
        <w:spacing w:line="400" w:lineRule="atLeast"/>
        <w:ind w:firstLine="480" w:firstLineChars="200"/>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t>6.4</w:t>
      </w:r>
      <w:r>
        <w:rPr>
          <w:rFonts w:hint="eastAsia" w:ascii="仿宋_GB2312" w:hAnsi="仿宋_GB2312" w:eastAsia="仿宋_GB2312" w:cs="仿宋_GB2312"/>
          <w:color w:val="000000" w:themeColor="text1"/>
          <w:sz w:val="24"/>
          <w:szCs w:val="24"/>
          <w:highlight w:val="none"/>
          <w14:textFill>
            <w14:solidFill>
              <w14:schemeClr w14:val="tx1"/>
            </w14:solidFill>
          </w14:textFill>
        </w:rPr>
        <w:t>.1无法正常供货的情况，包括任何原因的不供货或连续5日历天未能按甲方要求的数量供货。</w:t>
      </w:r>
    </w:p>
    <w:p w14:paraId="7E53E143">
      <w:pPr>
        <w:spacing w:line="400" w:lineRule="atLeast"/>
        <w:ind w:firstLine="480" w:firstLineChars="200"/>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t>6.4</w:t>
      </w:r>
      <w:r>
        <w:rPr>
          <w:rFonts w:hint="eastAsia" w:ascii="仿宋_GB2312" w:hAnsi="仿宋_GB2312" w:eastAsia="仿宋_GB2312" w:cs="仿宋_GB2312"/>
          <w:color w:val="000000" w:themeColor="text1"/>
          <w:sz w:val="24"/>
          <w:szCs w:val="24"/>
          <w:highlight w:val="none"/>
          <w14:textFill>
            <w14:solidFill>
              <w14:schemeClr w14:val="tx1"/>
            </w14:solidFill>
          </w14:textFill>
        </w:rPr>
        <w:t>.2供应的物资不符合国家、甲方、业主和监理相关标准和要求，且在规定时间内不予调换、处理的情况。</w:t>
      </w:r>
    </w:p>
    <w:p w14:paraId="694F78F7">
      <w:pPr>
        <w:spacing w:line="400" w:lineRule="atLeast"/>
        <w:ind w:firstLine="480" w:firstLineChars="200"/>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t>6.4</w:t>
      </w:r>
      <w:r>
        <w:rPr>
          <w:rFonts w:hint="eastAsia" w:ascii="仿宋_GB2312" w:hAnsi="仿宋_GB2312" w:eastAsia="仿宋_GB2312" w:cs="仿宋_GB2312"/>
          <w:color w:val="000000" w:themeColor="text1"/>
          <w:sz w:val="24"/>
          <w:szCs w:val="24"/>
          <w:highlight w:val="none"/>
          <w14:textFill>
            <w14:solidFill>
              <w14:schemeClr w14:val="tx1"/>
            </w14:solidFill>
          </w14:textFill>
        </w:rPr>
        <w:t>.3不服从甲方管理的。</w:t>
      </w:r>
    </w:p>
    <w:p w14:paraId="6D886EC1">
      <w:pPr>
        <w:spacing w:line="400" w:lineRule="atLeast"/>
        <w:ind w:firstLine="480" w:firstLineChars="200"/>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t>6.4</w:t>
      </w:r>
      <w:r>
        <w:rPr>
          <w:rFonts w:hint="eastAsia" w:ascii="仿宋_GB2312" w:hAnsi="仿宋_GB2312" w:eastAsia="仿宋_GB2312" w:cs="仿宋_GB2312"/>
          <w:color w:val="000000" w:themeColor="text1"/>
          <w:sz w:val="24"/>
          <w:szCs w:val="24"/>
          <w:highlight w:val="none"/>
          <w14:textFill>
            <w14:solidFill>
              <w14:schemeClr w14:val="tx1"/>
            </w14:solidFill>
          </w14:textFill>
        </w:rPr>
        <w:t>.4因乙方原因给甲方造成损失的。</w:t>
      </w:r>
    </w:p>
    <w:p w14:paraId="1169D14E">
      <w:pPr>
        <w:spacing w:line="400" w:lineRule="atLeast"/>
        <w:ind w:firstLine="480" w:firstLineChars="200"/>
        <w:rPr>
          <w:rFonts w:hint="default"/>
          <w:highlight w:val="none"/>
          <w:lang w:val="en-US" w:eastAsia="zh-CN"/>
        </w:rPr>
      </w:pPr>
      <w:r>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t>6.4</w:t>
      </w:r>
      <w:r>
        <w:rPr>
          <w:rFonts w:hint="eastAsia" w:ascii="仿宋_GB2312" w:hAnsi="仿宋_GB2312" w:eastAsia="仿宋_GB2312" w:cs="仿宋_GB2312"/>
          <w:color w:val="000000" w:themeColor="text1"/>
          <w:sz w:val="24"/>
          <w:szCs w:val="24"/>
          <w:highlight w:val="none"/>
          <w14:textFill>
            <w14:solidFill>
              <w14:schemeClr w14:val="tx1"/>
            </w14:solidFill>
          </w14:textFill>
        </w:rPr>
        <w:t>.</w:t>
      </w:r>
      <w:r>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t>5</w:t>
      </w:r>
      <w:r>
        <w:rPr>
          <w:rFonts w:hint="eastAsia" w:ascii="仿宋_GB2312" w:hAnsi="仿宋_GB2312" w:eastAsia="仿宋_GB2312" w:cs="仿宋_GB2312"/>
          <w:color w:val="000000" w:themeColor="text1"/>
          <w:sz w:val="24"/>
          <w:szCs w:val="24"/>
          <w:highlight w:val="none"/>
          <w14:textFill>
            <w14:solidFill>
              <w14:schemeClr w14:val="tx1"/>
            </w14:solidFill>
          </w14:textFill>
        </w:rPr>
        <w:t>如履约保证金不足以弥补甲方损失，甲方有权要求相应补偿。</w:t>
      </w:r>
    </w:p>
    <w:p w14:paraId="3C0A2894">
      <w:pPr>
        <w:pStyle w:val="12"/>
        <w:spacing w:line="400" w:lineRule="atLeast"/>
        <w:ind w:firstLine="482" w:firstLineChars="200"/>
        <w:rPr>
          <w:rFonts w:ascii="仿宋_GB2312" w:hAnsi="仿宋_GB2312" w:eastAsia="仿宋_GB2312" w:cs="仿宋_GB2312"/>
          <w:b/>
          <w:bCs/>
          <w:color w:val="000000" w:themeColor="text1"/>
          <w:highlight w:val="none"/>
          <w14:textFill>
            <w14:solidFill>
              <w14:schemeClr w14:val="tx1"/>
            </w14:solidFill>
          </w14:textFill>
        </w:rPr>
      </w:pPr>
      <w:bookmarkStart w:id="31" w:name="_Toc10245"/>
      <w:r>
        <w:rPr>
          <w:rFonts w:hint="eastAsia" w:ascii="仿宋_GB2312" w:hAnsi="仿宋_GB2312" w:eastAsia="仿宋_GB2312" w:cs="仿宋_GB2312"/>
          <w:b/>
          <w:bCs/>
          <w:color w:val="000000" w:themeColor="text1"/>
          <w:highlight w:val="none"/>
          <w14:textFill>
            <w14:solidFill>
              <w14:schemeClr w14:val="tx1"/>
            </w14:solidFill>
          </w14:textFill>
        </w:rPr>
        <w:t>7、甲方禁止项目部及任何人员以甲方、甲方子企业或甲方项目部名义对外借款或者支取任何款项，如乙方或乙方有关人员以任何形式将款项出借或支付或返还给甲方项目部及任何人员，则不论该等款项是否实际用于甲方工程，均与甲方无关，该行为均属于乙方与相关人员个人之间的经济关系，乙方无权向甲方主张任何权利，亦不得要求甲方以货款抵偿。</w:t>
      </w:r>
    </w:p>
    <w:p w14:paraId="5A90A0F0">
      <w:pPr>
        <w:pStyle w:val="12"/>
        <w:spacing w:line="400" w:lineRule="atLeast"/>
        <w:ind w:firstLine="482" w:firstLineChars="200"/>
        <w:rPr>
          <w:rFonts w:hint="eastAsia" w:ascii="仿宋_GB2312" w:hAnsi="仿宋_GB2312" w:eastAsia="仿宋_GB2312" w:cs="仿宋_GB2312"/>
          <w:b/>
          <w:bCs/>
          <w:color w:val="000000" w:themeColor="text1"/>
          <w:sz w:val="24"/>
          <w:szCs w:val="24"/>
          <w:highlight w:val="none"/>
          <w:lang w:val="en-US" w:eastAsia="zh-CN"/>
          <w14:textFill>
            <w14:solidFill>
              <w14:schemeClr w14:val="tx1"/>
            </w14:solidFill>
          </w14:textFill>
        </w:rPr>
      </w:pPr>
      <w:bookmarkStart w:id="32" w:name="_Toc24664"/>
      <w:bookmarkStart w:id="33" w:name="_Toc12208"/>
      <w:r>
        <w:rPr>
          <w:rFonts w:hint="eastAsia" w:ascii="仿宋_GB2312" w:hAnsi="仿宋_GB2312" w:eastAsia="仿宋_GB2312" w:cs="仿宋_GB2312"/>
          <w:b/>
          <w:bCs/>
          <w:color w:val="000000" w:themeColor="text1"/>
          <w:highlight w:val="none"/>
          <w:lang w:val="en-US" w:eastAsia="zh-CN"/>
          <w14:textFill>
            <w14:solidFill>
              <w14:schemeClr w14:val="tx1"/>
            </w14:solidFill>
          </w14:textFill>
        </w:rPr>
        <w:t>8、</w:t>
      </w:r>
      <w:r>
        <w:rPr>
          <w:rFonts w:hint="eastAsia" w:ascii="仿宋_GB2312" w:hAnsi="仿宋_GB2312" w:eastAsia="仿宋_GB2312" w:cs="仿宋_GB2312"/>
          <w:b/>
          <w:bCs/>
          <w:color w:val="000000" w:themeColor="text1"/>
          <w:highlight w:val="yellow"/>
          <w:lang w:val="en-US" w:eastAsia="zh-CN"/>
          <w14:textFill>
            <w14:solidFill>
              <w14:schemeClr w14:val="tx1"/>
            </w14:solidFill>
          </w14:textFill>
        </w:rPr>
        <w:t>如双方因货款支付发生争议，对于争议解决前甲方存在迟付情形的已付款项，乙方放弃索要逾期利息、违约金或资金占用费的权利。非因甲方原因延迟支付结算款的，甲方不承担逾期利息，如甲方依法应承担逾期利息时，利息按照合同订立时全国银行间同业拆借中心公布的一年期贷款市场报价利率（LPR）计算，且逾期利息累计总额最高不超过本合同含税暂定总价的 6%。</w:t>
      </w:r>
    </w:p>
    <w:p w14:paraId="3A6D3229">
      <w:pPr>
        <w:spacing w:line="480" w:lineRule="exact"/>
        <w:ind w:firstLine="482" w:firstLineChars="200"/>
        <w:rPr>
          <w:rFonts w:hint="eastAsia" w:ascii="仿宋_GB2312" w:hAnsi="仿宋_GB2312" w:eastAsia="仿宋_GB2312" w:cs="仿宋_GB2312"/>
          <w:b/>
          <w:bCs/>
          <w:color w:val="000000" w:themeColor="text1"/>
          <w:sz w:val="24"/>
          <w:szCs w:val="24"/>
          <w:highlight w:val="none"/>
          <w:lang w:val="en-US" w:eastAsia="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en-US" w:eastAsia="zh-CN"/>
          <w14:textFill>
            <w14:solidFill>
              <w14:schemeClr w14:val="tx1"/>
            </w14:solidFill>
          </w14:textFill>
        </w:rPr>
        <w:t>9、甲方拖欠线索受理联系人：</w:t>
      </w:r>
    </w:p>
    <w:p w14:paraId="73EDCB42">
      <w:pPr>
        <w:spacing w:line="480" w:lineRule="exact"/>
        <w:ind w:firstLine="482" w:firstLineChars="200"/>
        <w:rPr>
          <w:rFonts w:hint="eastAsia" w:ascii="仿宋_GB2312" w:hAnsi="仿宋_GB2312" w:eastAsia="仿宋_GB2312" w:cs="仿宋_GB2312"/>
          <w:b/>
          <w:bCs/>
          <w:color w:val="000000" w:themeColor="text1"/>
          <w:sz w:val="24"/>
          <w:szCs w:val="24"/>
          <w:highlight w:val="none"/>
          <w:lang w:val="en-US" w:eastAsia="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en-US" w:eastAsia="zh-CN"/>
          <w14:textFill>
            <w14:solidFill>
              <w14:schemeClr w14:val="tx1"/>
            </w14:solidFill>
          </w14:textFill>
        </w:rPr>
        <w:t>项目部联系人：</w:t>
      </w:r>
      <w:permStart w:id="68" w:edGrp="everyone"/>
      <w:r>
        <w:rPr>
          <w:rFonts w:hint="eastAsia" w:ascii="仿宋_GB2312" w:hAnsi="仿宋_GB2312" w:eastAsia="仿宋_GB2312" w:cs="仿宋_GB2312"/>
          <w:b/>
          <w:bCs/>
          <w:color w:val="000000" w:themeColor="text1"/>
          <w:sz w:val="24"/>
          <w:szCs w:val="24"/>
          <w:highlight w:val="none"/>
          <w:u w:val="single"/>
          <w:lang w:val="en-US" w:eastAsia="zh-CN"/>
          <w14:textFill>
            <w14:solidFill>
              <w14:schemeClr w14:val="tx1"/>
            </w14:solidFill>
          </w14:textFill>
        </w:rPr>
        <w:t xml:space="preserve"> 解雄飞 </w:t>
      </w:r>
      <w:permEnd w:id="68"/>
      <w:r>
        <w:rPr>
          <w:rFonts w:hint="eastAsia" w:ascii="仿宋_GB2312" w:hAnsi="仿宋_GB2312" w:eastAsia="仿宋_GB2312" w:cs="仿宋_GB2312"/>
          <w:b/>
          <w:bCs/>
          <w:color w:val="000000" w:themeColor="text1"/>
          <w:sz w:val="24"/>
          <w:szCs w:val="24"/>
          <w:highlight w:val="none"/>
          <w:lang w:val="en-US" w:eastAsia="zh-CN"/>
          <w14:textFill>
            <w14:solidFill>
              <w14:schemeClr w14:val="tx1"/>
            </w14:solidFill>
          </w14:textFill>
        </w:rPr>
        <w:t>，联系电话：</w:t>
      </w:r>
      <w:permStart w:id="69" w:edGrp="everyone"/>
      <w:r>
        <w:rPr>
          <w:rFonts w:hint="eastAsia" w:ascii="仿宋_GB2312" w:hAnsi="仿宋_GB2312" w:eastAsia="仿宋_GB2312" w:cs="仿宋_GB2312"/>
          <w:b/>
          <w:bCs/>
          <w:color w:val="000000" w:themeColor="text1"/>
          <w:sz w:val="24"/>
          <w:szCs w:val="24"/>
          <w:highlight w:val="none"/>
          <w:u w:val="single"/>
          <w:lang w:val="en-US" w:eastAsia="zh-CN"/>
          <w14:textFill>
            <w14:solidFill>
              <w14:schemeClr w14:val="tx1"/>
            </w14:solidFill>
          </w14:textFill>
        </w:rPr>
        <w:t xml:space="preserve"> 17325505696  </w:t>
      </w:r>
      <w:permEnd w:id="69"/>
      <w:r>
        <w:rPr>
          <w:rFonts w:hint="eastAsia" w:ascii="仿宋_GB2312" w:hAnsi="仿宋_GB2312" w:eastAsia="仿宋_GB2312" w:cs="仿宋_GB2312"/>
          <w:b/>
          <w:bCs/>
          <w:color w:val="000000" w:themeColor="text1"/>
          <w:sz w:val="24"/>
          <w:szCs w:val="24"/>
          <w:highlight w:val="none"/>
          <w:lang w:val="en-US" w:eastAsia="zh-CN"/>
          <w14:textFill>
            <w14:solidFill>
              <w14:schemeClr w14:val="tx1"/>
            </w14:solidFill>
          </w14:textFill>
        </w:rPr>
        <w:t xml:space="preserve">； </w:t>
      </w:r>
    </w:p>
    <w:p w14:paraId="01D343B1">
      <w:pPr>
        <w:spacing w:line="480" w:lineRule="exact"/>
        <w:ind w:firstLine="482" w:firstLineChars="200"/>
        <w:rPr>
          <w:rFonts w:hint="eastAsia" w:ascii="仿宋_GB2312" w:hAnsi="仿宋_GB2312" w:eastAsia="仿宋_GB2312" w:cs="仿宋_GB2312"/>
          <w:b/>
          <w:bCs/>
          <w:color w:val="000000" w:themeColor="text1"/>
          <w:sz w:val="24"/>
          <w:szCs w:val="24"/>
          <w:highlight w:val="none"/>
          <w:lang w:val="en-US" w:eastAsia="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en-US" w:eastAsia="zh-CN"/>
          <w14:textFill>
            <w14:solidFill>
              <w14:schemeClr w14:val="tx1"/>
            </w14:solidFill>
          </w14:textFill>
        </w:rPr>
        <w:t>公司联系人：</w:t>
      </w:r>
      <w:permStart w:id="70" w:edGrp="everyone"/>
      <w:r>
        <w:rPr>
          <w:rFonts w:hint="eastAsia" w:ascii="仿宋_GB2312" w:hAnsi="仿宋_GB2312" w:eastAsia="仿宋_GB2312" w:cs="仿宋_GB2312"/>
          <w:b/>
          <w:bCs/>
          <w:color w:val="000000" w:themeColor="text1"/>
          <w:sz w:val="24"/>
          <w:szCs w:val="24"/>
          <w:highlight w:val="none"/>
          <w:u w:val="single"/>
          <w:lang w:val="en-US" w:eastAsia="zh-CN"/>
          <w14:textFill>
            <w14:solidFill>
              <w14:schemeClr w14:val="tx1"/>
            </w14:solidFill>
          </w14:textFill>
        </w:rPr>
        <w:t xml:space="preserve">  张海萍    </w:t>
      </w:r>
      <w:permEnd w:id="70"/>
      <w:r>
        <w:rPr>
          <w:rFonts w:hint="eastAsia" w:ascii="仿宋_GB2312" w:hAnsi="仿宋_GB2312" w:eastAsia="仿宋_GB2312" w:cs="仿宋_GB2312"/>
          <w:b/>
          <w:bCs/>
          <w:color w:val="000000" w:themeColor="text1"/>
          <w:sz w:val="24"/>
          <w:szCs w:val="24"/>
          <w:highlight w:val="none"/>
          <w:lang w:val="en-US" w:eastAsia="zh-CN"/>
          <w14:textFill>
            <w14:solidFill>
              <w14:schemeClr w14:val="tx1"/>
            </w14:solidFill>
          </w14:textFill>
        </w:rPr>
        <w:t>，联系电话：</w:t>
      </w:r>
      <w:permStart w:id="71" w:edGrp="everyone"/>
      <w:r>
        <w:rPr>
          <w:rFonts w:hint="eastAsia" w:ascii="仿宋_GB2312" w:hAnsi="仿宋_GB2312" w:eastAsia="仿宋_GB2312" w:cs="仿宋_GB2312"/>
          <w:b/>
          <w:bCs/>
          <w:color w:val="000000" w:themeColor="text1"/>
          <w:sz w:val="24"/>
          <w:szCs w:val="24"/>
          <w:highlight w:val="none"/>
          <w:u w:val="single"/>
          <w:lang w:val="en-US" w:eastAsia="zh-CN"/>
          <w14:textFill>
            <w14:solidFill>
              <w14:schemeClr w14:val="tx1"/>
            </w14:solidFill>
          </w14:textFill>
        </w:rPr>
        <w:t xml:space="preserve"> </w:t>
      </w:r>
      <w:r>
        <w:rPr>
          <w:rFonts w:hint="eastAsia" w:ascii="仿宋_GB2312" w:hAnsi="仿宋_GB2312" w:eastAsia="仿宋_GB2312" w:cs="仿宋_GB2312"/>
          <w:b/>
          <w:bCs/>
          <w:i/>
          <w:iCs/>
          <w:color w:val="000000" w:themeColor="text1"/>
          <w:sz w:val="24"/>
          <w:szCs w:val="24"/>
          <w:highlight w:val="none"/>
          <w:u w:val="single"/>
          <w:lang w:val="en-US" w:eastAsia="zh-CN"/>
          <w14:textFill>
            <w14:solidFill>
              <w14:schemeClr w14:val="tx1"/>
            </w14:solidFill>
          </w14:textFill>
        </w:rPr>
        <w:t xml:space="preserve">0319-2620099 </w:t>
      </w:r>
      <w:permEnd w:id="71"/>
    </w:p>
    <w:p w14:paraId="54335B34">
      <w:pPr>
        <w:spacing w:line="480" w:lineRule="exact"/>
        <w:ind w:firstLine="482" w:firstLineChars="200"/>
        <w:rPr>
          <w:rFonts w:hint="default" w:ascii="仿宋_GB2312" w:hAnsi="仿宋_GB2312" w:eastAsia="仿宋_GB2312" w:cs="仿宋_GB2312"/>
          <w:b/>
          <w:bCs/>
          <w:color w:val="000000" w:themeColor="text1"/>
          <w:sz w:val="24"/>
          <w:szCs w:val="24"/>
          <w:highlight w:val="none"/>
          <w:u w:val="single"/>
          <w:lang w:val="en-US" w:eastAsia="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en-US" w:eastAsia="zh-CN"/>
          <w14:textFill>
            <w14:solidFill>
              <w14:schemeClr w14:val="tx1"/>
            </w14:solidFill>
          </w14:textFill>
        </w:rPr>
        <w:t>公司信访投诉电话：</w:t>
      </w:r>
      <w:permStart w:id="72" w:edGrp="everyone"/>
      <w:r>
        <w:rPr>
          <w:rFonts w:hint="eastAsia" w:ascii="仿宋_GB2312" w:hAnsi="仿宋_GB2312" w:eastAsia="仿宋_GB2312" w:cs="仿宋_GB2312"/>
          <w:b/>
          <w:bCs/>
          <w:color w:val="000000" w:themeColor="text1"/>
          <w:sz w:val="24"/>
          <w:szCs w:val="24"/>
          <w:highlight w:val="none"/>
          <w:u w:val="single"/>
          <w:lang w:val="en-US" w:eastAsia="zh-CN"/>
          <w14:textFill>
            <w14:solidFill>
              <w14:schemeClr w14:val="tx1"/>
            </w14:solidFill>
          </w14:textFill>
        </w:rPr>
        <w:t xml:space="preserve"> </w:t>
      </w:r>
      <w:r>
        <w:rPr>
          <w:rFonts w:hint="eastAsia" w:ascii="仿宋_GB2312" w:hAnsi="仿宋_GB2312" w:eastAsia="仿宋_GB2312" w:cs="仿宋_GB2312"/>
          <w:b/>
          <w:bCs/>
          <w:i/>
          <w:iCs/>
          <w:color w:val="000000" w:themeColor="text1"/>
          <w:sz w:val="24"/>
          <w:szCs w:val="24"/>
          <w:highlight w:val="none"/>
          <w:u w:val="single"/>
          <w:lang w:val="en-US" w:eastAsia="zh-CN"/>
          <w14:textFill>
            <w14:solidFill>
              <w14:schemeClr w14:val="tx1"/>
            </w14:solidFill>
          </w14:textFill>
        </w:rPr>
        <w:t xml:space="preserve">0319-2620099 </w:t>
      </w:r>
      <w:permEnd w:id="72"/>
    </w:p>
    <w:p w14:paraId="0467C2FB">
      <w:pPr>
        <w:spacing w:line="480" w:lineRule="exact"/>
        <w:ind w:firstLine="482" w:firstLineChars="200"/>
        <w:rPr>
          <w:rFonts w:hint="default" w:ascii="仿宋_GB2312" w:hAnsi="仿宋_GB2312" w:eastAsia="仿宋_GB2312" w:cs="仿宋_GB2312"/>
          <w:b/>
          <w:bCs/>
          <w:color w:val="000000" w:themeColor="text1"/>
          <w:sz w:val="24"/>
          <w:szCs w:val="24"/>
          <w:highlight w:val="none"/>
          <w:lang w:val="en-US" w:eastAsia="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en-US" w:eastAsia="zh-CN"/>
          <w14:textFill>
            <w14:solidFill>
              <w14:schemeClr w14:val="tx1"/>
            </w14:solidFill>
          </w14:textFill>
        </w:rPr>
        <w:t>信访投诉邮箱：</w:t>
      </w:r>
      <w:permStart w:id="73" w:edGrp="everyone"/>
      <w:r>
        <w:rPr>
          <w:rFonts w:hint="eastAsia" w:ascii="仿宋_GB2312" w:hAnsi="仿宋_GB2312" w:eastAsia="仿宋_GB2312" w:cs="仿宋_GB2312"/>
          <w:b/>
          <w:bCs/>
          <w:color w:val="000000" w:themeColor="text1"/>
          <w:sz w:val="24"/>
          <w:szCs w:val="24"/>
          <w:highlight w:val="none"/>
          <w:u w:val="single"/>
          <w:lang w:val="en-US" w:eastAsia="zh-CN"/>
          <w14:textFill>
            <w14:solidFill>
              <w14:schemeClr w14:val="tx1"/>
            </w14:solidFill>
          </w14:textFill>
        </w:rPr>
        <w:t xml:space="preserve"> </w:t>
      </w:r>
      <w:r>
        <w:rPr>
          <w:rFonts w:hint="eastAsia" w:ascii="仿宋_GB2312" w:hAnsi="仿宋_GB2312" w:eastAsia="仿宋_GB2312" w:cs="仿宋_GB2312"/>
          <w:b/>
          <w:bCs/>
          <w:i/>
          <w:iCs/>
          <w:color w:val="000000" w:themeColor="text1"/>
          <w:sz w:val="24"/>
          <w:szCs w:val="24"/>
          <w:highlight w:val="none"/>
          <w:u w:val="single"/>
          <w:lang w:val="en-US" w:eastAsia="zh-CN"/>
          <w14:textFill>
            <w14:solidFill>
              <w14:schemeClr w14:val="tx1"/>
            </w14:solidFill>
          </w14:textFill>
        </w:rPr>
        <w:fldChar w:fldCharType="begin"/>
      </w:r>
      <w:r>
        <w:rPr>
          <w:rFonts w:hint="eastAsia" w:ascii="仿宋_GB2312" w:hAnsi="仿宋_GB2312" w:eastAsia="仿宋_GB2312" w:cs="仿宋_GB2312"/>
          <w:b/>
          <w:bCs/>
          <w:i/>
          <w:iCs/>
          <w:color w:val="000000" w:themeColor="text1"/>
          <w:sz w:val="24"/>
          <w:szCs w:val="24"/>
          <w:highlight w:val="none"/>
          <w:u w:val="single"/>
          <w:lang w:val="en-US" w:eastAsia="zh-CN"/>
          <w14:textFill>
            <w14:solidFill>
              <w14:schemeClr w14:val="tx1"/>
            </w14:solidFill>
          </w14:textFill>
        </w:rPr>
        <w:instrText xml:space="preserve"> HYPERLINK "mailto:zjlq6bgsh@163.com" </w:instrText>
      </w:r>
      <w:r>
        <w:rPr>
          <w:rFonts w:hint="eastAsia" w:ascii="仿宋_GB2312" w:hAnsi="仿宋_GB2312" w:eastAsia="仿宋_GB2312" w:cs="仿宋_GB2312"/>
          <w:b/>
          <w:bCs/>
          <w:i/>
          <w:iCs/>
          <w:color w:val="000000" w:themeColor="text1"/>
          <w:sz w:val="24"/>
          <w:szCs w:val="24"/>
          <w:highlight w:val="none"/>
          <w:u w:val="single"/>
          <w:lang w:val="en-US" w:eastAsia="zh-CN"/>
          <w14:textFill>
            <w14:solidFill>
              <w14:schemeClr w14:val="tx1"/>
            </w14:solidFill>
          </w14:textFill>
        </w:rPr>
        <w:fldChar w:fldCharType="separate"/>
      </w:r>
      <w:r>
        <w:rPr>
          <w:rStyle w:val="11"/>
          <w:rFonts w:hint="eastAsia" w:ascii="仿宋_GB2312" w:hAnsi="仿宋_GB2312" w:eastAsia="仿宋_GB2312" w:cs="仿宋_GB2312"/>
          <w:b/>
          <w:bCs/>
          <w:i/>
          <w:iCs/>
          <w:sz w:val="24"/>
          <w:szCs w:val="24"/>
          <w:highlight w:val="none"/>
          <w:lang w:val="en-US" w:eastAsia="zh-CN"/>
        </w:rPr>
        <w:t>zjlq6bgsh@163.com</w:t>
      </w:r>
      <w:r>
        <w:rPr>
          <w:rFonts w:hint="eastAsia" w:ascii="仿宋_GB2312" w:hAnsi="仿宋_GB2312" w:eastAsia="仿宋_GB2312" w:cs="仿宋_GB2312"/>
          <w:b/>
          <w:bCs/>
          <w:i/>
          <w:iCs/>
          <w:color w:val="000000" w:themeColor="text1"/>
          <w:sz w:val="24"/>
          <w:szCs w:val="24"/>
          <w:highlight w:val="none"/>
          <w:u w:val="single"/>
          <w:lang w:val="en-US" w:eastAsia="zh-CN"/>
          <w14:textFill>
            <w14:solidFill>
              <w14:schemeClr w14:val="tx1"/>
            </w14:solidFill>
          </w14:textFill>
        </w:rPr>
        <w:fldChar w:fldCharType="end"/>
      </w:r>
      <w:r>
        <w:rPr>
          <w:rFonts w:hint="eastAsia" w:ascii="仿宋_GB2312" w:hAnsi="仿宋_GB2312" w:eastAsia="仿宋_GB2312" w:cs="仿宋_GB2312"/>
          <w:b/>
          <w:bCs/>
          <w:i/>
          <w:iCs/>
          <w:color w:val="000000" w:themeColor="text1"/>
          <w:sz w:val="24"/>
          <w:szCs w:val="24"/>
          <w:highlight w:val="none"/>
          <w:u w:val="single"/>
          <w:lang w:val="en-US" w:eastAsia="zh-CN"/>
          <w14:textFill>
            <w14:solidFill>
              <w14:schemeClr w14:val="tx1"/>
            </w14:solidFill>
          </w14:textFill>
        </w:rPr>
        <w:t xml:space="preserve"> </w:t>
      </w:r>
      <w:permEnd w:id="73"/>
    </w:p>
    <w:p w14:paraId="325C55DC">
      <w:pPr>
        <w:spacing w:line="480" w:lineRule="exact"/>
        <w:ind w:firstLine="482" w:firstLineChars="200"/>
        <w:rPr>
          <w:rFonts w:hint="eastAsia" w:ascii="仿宋_GB2312" w:hAnsi="仿宋_GB2312" w:eastAsia="仿宋_GB2312" w:cs="仿宋_GB2312"/>
          <w:b/>
          <w:bCs/>
          <w:color w:val="000000" w:themeColor="text1"/>
          <w:sz w:val="24"/>
          <w:szCs w:val="24"/>
          <w:highlight w:val="none"/>
          <w:lang w:val="en-US" w:eastAsia="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en-US" w:eastAsia="zh-CN"/>
          <w14:textFill>
            <w14:solidFill>
              <w14:schemeClr w14:val="tx1"/>
            </w14:solidFill>
          </w14:textFill>
        </w:rPr>
        <w:t>云筑网中建系统账款投诉平台：https://ts.yzw.cn</w:t>
      </w:r>
    </w:p>
    <w:p w14:paraId="200A400A">
      <w:pPr>
        <w:pStyle w:val="12"/>
        <w:spacing w:line="400" w:lineRule="atLeast"/>
        <w:ind w:firstLine="482" w:firstLineChars="200"/>
        <w:rPr>
          <w:rFonts w:ascii="仿宋_GB2312" w:hAnsi="仿宋_GB2312" w:eastAsia="仿宋_GB2312" w:cs="仿宋_GB2312"/>
          <w:b/>
          <w:bCs/>
          <w:color w:val="000000" w:themeColor="text1"/>
          <w:highlight w:val="none"/>
          <w:u w:val="single"/>
          <w14:textFill>
            <w14:solidFill>
              <w14:schemeClr w14:val="tx1"/>
            </w14:solidFill>
          </w14:textFill>
        </w:rPr>
      </w:pPr>
      <w:r>
        <w:rPr>
          <w:rFonts w:hint="eastAsia" w:ascii="仿宋_GB2312" w:hAnsi="仿宋_GB2312" w:eastAsia="仿宋_GB2312" w:cs="仿宋_GB2312"/>
          <w:b/>
          <w:bCs/>
          <w:color w:val="000000" w:themeColor="text1"/>
          <w:highlight w:val="none"/>
          <w:lang w:val="en-US" w:eastAsia="zh-CN"/>
          <w14:textFill>
            <w14:solidFill>
              <w14:schemeClr w14:val="tx1"/>
            </w14:solidFill>
          </w14:textFill>
        </w:rPr>
        <w:t>10</w:t>
      </w:r>
      <w:r>
        <w:rPr>
          <w:rFonts w:hint="eastAsia" w:ascii="仿宋_GB2312" w:hAnsi="仿宋_GB2312" w:eastAsia="仿宋_GB2312" w:cs="仿宋_GB2312"/>
          <w:b/>
          <w:bCs/>
          <w:color w:val="000000" w:themeColor="text1"/>
          <w:highlight w:val="none"/>
          <w14:textFill>
            <w14:solidFill>
              <w14:schemeClr w14:val="tx1"/>
            </w14:solidFill>
          </w14:textFill>
        </w:rPr>
        <w:t>、其他：</w:t>
      </w:r>
      <w:permStart w:id="74" w:edGrp="everyone"/>
      <w:r>
        <w:rPr>
          <w:rFonts w:hint="eastAsia" w:ascii="仿宋_GB2312" w:hAnsi="仿宋_GB2312" w:eastAsia="仿宋_GB2312" w:cs="仿宋_GB2312"/>
          <w:b/>
          <w:bCs/>
          <w:color w:val="000000" w:themeColor="text1"/>
          <w:highlight w:val="none"/>
          <w:u w:val="single"/>
          <w14:textFill>
            <w14:solidFill>
              <w14:schemeClr w14:val="tx1"/>
            </w14:solidFill>
          </w14:textFill>
        </w:rPr>
        <w:t xml:space="preserve"> </w:t>
      </w:r>
      <w:r>
        <w:rPr>
          <w:rFonts w:hint="eastAsia" w:ascii="仿宋_GB2312" w:hAnsi="仿宋_GB2312" w:eastAsia="仿宋_GB2312" w:cs="仿宋_GB2312"/>
          <w:color w:val="000000" w:themeColor="text1"/>
          <w:highlight w:val="none"/>
          <w:u w:val="single"/>
          <w14:textFill>
            <w14:solidFill>
              <w14:schemeClr w14:val="tx1"/>
            </w14:solidFill>
          </w14:textFill>
        </w:rPr>
        <w:t xml:space="preserve">/                  </w:t>
      </w:r>
      <w:permEnd w:id="74"/>
      <w:r>
        <w:rPr>
          <w:rFonts w:hint="eastAsia" w:ascii="仿宋_GB2312" w:hAnsi="仿宋_GB2312" w:eastAsia="仿宋_GB2312" w:cs="仿宋_GB2312"/>
          <w:color w:val="000000" w:themeColor="text1"/>
          <w:highlight w:val="none"/>
          <w14:textFill>
            <w14:solidFill>
              <w14:schemeClr w14:val="tx1"/>
            </w14:solidFill>
          </w14:textFill>
        </w:rPr>
        <w:t>。</w:t>
      </w:r>
    </w:p>
    <w:p w14:paraId="4AC043B0">
      <w:pPr>
        <w:pStyle w:val="12"/>
        <w:numPr>
          <w:ilvl w:val="0"/>
          <w:numId w:val="1"/>
        </w:numPr>
        <w:spacing w:before="120" w:beforeLines="50" w:after="120" w:afterLines="50" w:line="400" w:lineRule="atLeast"/>
        <w:ind w:firstLine="482" w:firstLineChars="200"/>
        <w:outlineLvl w:val="0"/>
        <w:rPr>
          <w:rFonts w:ascii="仿宋_GB2312" w:hAnsi="仿宋_GB2312" w:eastAsia="仿宋_GB2312" w:cs="仿宋_GB2312"/>
          <w:b/>
          <w:bCs/>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通知与送达</w:t>
      </w:r>
      <w:bookmarkEnd w:id="31"/>
      <w:bookmarkEnd w:id="32"/>
      <w:bookmarkEnd w:id="33"/>
    </w:p>
    <w:p w14:paraId="4B8451AC">
      <w:pPr>
        <w:pStyle w:val="12"/>
        <w:numPr>
          <w:ilvl w:val="0"/>
          <w:numId w:val="5"/>
        </w:numPr>
        <w:spacing w:line="400" w:lineRule="atLeast"/>
        <w:ind w:firstLine="480" w:firstLineChars="200"/>
        <w:jc w:val="both"/>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本合同中涉及合同、文件、律师函、诉讼文书的送达地址或邮箱及法律后果作如下约定：</w:t>
      </w:r>
    </w:p>
    <w:p w14:paraId="75BE6E7A">
      <w:pPr>
        <w:pStyle w:val="12"/>
        <w:spacing w:line="400" w:lineRule="atLeast"/>
        <w:ind w:firstLine="480" w:firstLineChars="200"/>
        <w:jc w:val="both"/>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1.1甲方确认其有效的送达地址为：</w:t>
      </w:r>
      <w:permStart w:id="75" w:edGrp="everyone"/>
      <w:r>
        <w:rPr>
          <w:rFonts w:hint="eastAsia" w:ascii="仿宋_GB2312" w:hAnsi="仿宋_GB2312" w:eastAsia="仿宋_GB2312" w:cs="仿宋_GB2312"/>
          <w:color w:val="000000" w:themeColor="text1"/>
          <w:highlight w:val="none"/>
          <w:u w:val="single"/>
          <w14:textFill>
            <w14:solidFill>
              <w14:schemeClr w14:val="tx1"/>
            </w14:solidFill>
          </w14:textFill>
        </w:rPr>
        <w:t>西藏自治区那曲市嘉黎县尼屋乡堆巴村</w:t>
      </w:r>
      <w:r>
        <w:rPr>
          <w:rFonts w:hint="eastAsia" w:ascii="仿宋_GB2312" w:hAnsi="仿宋_GB2312" w:eastAsia="仿宋_GB2312" w:cs="仿宋_GB2312"/>
          <w:color w:val="000000" w:themeColor="text1"/>
          <w:highlight w:val="none"/>
          <w:u w:val="single"/>
          <w:lang w:val="en-US" w:eastAsia="zh-CN"/>
          <w14:textFill>
            <w14:solidFill>
              <w14:schemeClr w14:val="tx1"/>
            </w14:solidFill>
          </w14:textFill>
        </w:rPr>
        <w:t>公路改建项目经理部</w:t>
      </w:r>
      <w:r>
        <w:rPr>
          <w:rFonts w:hint="eastAsia" w:ascii="仿宋_GB2312" w:hAnsi="仿宋_GB2312" w:eastAsia="仿宋_GB2312" w:cs="仿宋_GB2312"/>
          <w:color w:val="000000" w:themeColor="text1"/>
          <w:highlight w:val="none"/>
          <w:u w:val="single"/>
          <w14:textFill>
            <w14:solidFill>
              <w14:schemeClr w14:val="tx1"/>
            </w14:solidFill>
          </w14:textFill>
        </w:rPr>
        <w:t xml:space="preserve"> </w:t>
      </w:r>
      <w:permEnd w:id="75"/>
      <w:r>
        <w:rPr>
          <w:rFonts w:hint="eastAsia" w:ascii="仿宋_GB2312" w:hAnsi="仿宋_GB2312" w:eastAsia="仿宋_GB2312" w:cs="仿宋_GB2312"/>
          <w:color w:val="000000" w:themeColor="text1"/>
          <w:highlight w:val="none"/>
          <w14:textFill>
            <w14:solidFill>
              <w14:schemeClr w14:val="tx1"/>
            </w14:solidFill>
          </w14:textFill>
        </w:rPr>
        <w:t>；</w:t>
      </w:r>
    </w:p>
    <w:p w14:paraId="6104C108">
      <w:pPr>
        <w:pStyle w:val="12"/>
        <w:spacing w:line="400" w:lineRule="atLeast"/>
        <w:ind w:firstLine="720" w:firstLineChars="300"/>
        <w:jc w:val="both"/>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联系人及电话：</w:t>
      </w:r>
      <w:permStart w:id="76" w:edGrp="everyone"/>
      <w:r>
        <w:rPr>
          <w:rFonts w:hint="eastAsia" w:ascii="仿宋_GB2312" w:hAnsi="仿宋_GB2312" w:eastAsia="仿宋_GB2312" w:cs="仿宋_GB2312"/>
          <w:color w:val="000000" w:themeColor="text1"/>
          <w:highlight w:val="none"/>
          <w:u w:val="single"/>
          <w14:textFill>
            <w14:solidFill>
              <w14:schemeClr w14:val="tx1"/>
            </w14:solidFill>
          </w14:textFill>
        </w:rPr>
        <w:t xml:space="preserve"> </w:t>
      </w:r>
      <w:r>
        <w:rPr>
          <w:rFonts w:hint="eastAsia" w:ascii="仿宋_GB2312" w:hAnsi="仿宋_GB2312" w:eastAsia="仿宋_GB2312" w:cs="仿宋_GB2312"/>
          <w:color w:val="000000" w:themeColor="text1"/>
          <w:highlight w:val="none"/>
          <w:u w:val="single"/>
          <w:lang w:val="en-US" w:eastAsia="zh-CN"/>
          <w14:textFill>
            <w14:solidFill>
              <w14:schemeClr w14:val="tx1"/>
            </w14:solidFill>
          </w14:textFill>
        </w:rPr>
        <w:t>解雄飞</w:t>
      </w:r>
      <w:r>
        <w:rPr>
          <w:rFonts w:hint="eastAsia" w:ascii="仿宋_GB2312" w:hAnsi="仿宋_GB2312" w:eastAsia="仿宋_GB2312" w:cs="仿宋_GB2312"/>
          <w:color w:val="000000" w:themeColor="text1"/>
          <w:highlight w:val="none"/>
          <w:u w:val="single"/>
          <w:lang w:eastAsia="zh-CN"/>
          <w14:textFill>
            <w14:solidFill>
              <w14:schemeClr w14:val="tx1"/>
            </w14:solidFill>
          </w14:textFill>
        </w:rPr>
        <w:t>、</w:t>
      </w:r>
      <w:r>
        <w:rPr>
          <w:rFonts w:hint="eastAsia" w:ascii="仿宋_GB2312" w:hAnsi="仿宋_GB2312" w:eastAsia="仿宋_GB2312" w:cs="仿宋_GB2312"/>
          <w:color w:val="000000" w:themeColor="text1"/>
          <w:highlight w:val="none"/>
          <w:u w:val="single"/>
          <w:lang w:val="en-US" w:eastAsia="zh-CN"/>
          <w14:textFill>
            <w14:solidFill>
              <w14:schemeClr w14:val="tx1"/>
            </w14:solidFill>
          </w14:textFill>
        </w:rPr>
        <w:t>17325505696</w:t>
      </w:r>
      <w:r>
        <w:rPr>
          <w:rFonts w:hint="eastAsia" w:ascii="仿宋_GB2312" w:hAnsi="仿宋_GB2312" w:eastAsia="仿宋_GB2312" w:cs="仿宋_GB2312"/>
          <w:color w:val="000000" w:themeColor="text1"/>
          <w:highlight w:val="none"/>
          <w:u w:val="single"/>
          <w14:textFill>
            <w14:solidFill>
              <w14:schemeClr w14:val="tx1"/>
            </w14:solidFill>
          </w14:textFill>
        </w:rPr>
        <w:t xml:space="preserve"> </w:t>
      </w:r>
      <w:permEnd w:id="76"/>
      <w:r>
        <w:rPr>
          <w:rFonts w:hint="eastAsia" w:ascii="仿宋_GB2312" w:hAnsi="仿宋_GB2312" w:eastAsia="仿宋_GB2312" w:cs="仿宋_GB2312"/>
          <w:color w:val="000000" w:themeColor="text1"/>
          <w:highlight w:val="none"/>
          <w14:textFill>
            <w14:solidFill>
              <w14:schemeClr w14:val="tx1"/>
            </w14:solidFill>
          </w14:textFill>
        </w:rPr>
        <w:t>；邮箱：</w:t>
      </w:r>
      <w:permStart w:id="77" w:edGrp="everyone"/>
      <w:r>
        <w:rPr>
          <w:rFonts w:hint="eastAsia" w:ascii="仿宋_GB2312" w:hAnsi="仿宋_GB2312" w:eastAsia="仿宋_GB2312" w:cs="仿宋_GB2312"/>
          <w:color w:val="000000" w:themeColor="text1"/>
          <w:highlight w:val="none"/>
          <w:u w:val="single"/>
          <w14:textFill>
            <w14:solidFill>
              <w14:schemeClr w14:val="tx1"/>
            </w14:solidFill>
          </w14:textFill>
        </w:rPr>
        <w:t xml:space="preserve">      </w:t>
      </w:r>
      <w:permEnd w:id="77"/>
      <w:r>
        <w:rPr>
          <w:rFonts w:hint="eastAsia" w:ascii="仿宋_GB2312" w:hAnsi="仿宋_GB2312" w:eastAsia="仿宋_GB2312" w:cs="仿宋_GB2312"/>
          <w:color w:val="000000" w:themeColor="text1"/>
          <w:highlight w:val="none"/>
          <w14:textFill>
            <w14:solidFill>
              <w14:schemeClr w14:val="tx1"/>
            </w14:solidFill>
          </w14:textFill>
        </w:rPr>
        <w:t>；</w:t>
      </w:r>
    </w:p>
    <w:p w14:paraId="0738D054">
      <w:pPr>
        <w:pStyle w:val="12"/>
        <w:spacing w:line="400" w:lineRule="atLeast"/>
        <w:ind w:firstLine="480" w:firstLineChars="200"/>
        <w:jc w:val="both"/>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1.2乙方确认其有效的送达地址为：</w:t>
      </w:r>
      <w:permStart w:id="78" w:edGrp="everyone"/>
      <w:r>
        <w:rPr>
          <w:rFonts w:hint="eastAsia" w:ascii="仿宋_GB2312" w:hAnsi="仿宋_GB2312" w:eastAsia="仿宋_GB2312" w:cs="仿宋_GB2312"/>
          <w:color w:val="000000" w:themeColor="text1"/>
          <w:highlight w:val="none"/>
          <w:u w:val="single"/>
          <w14:textFill>
            <w14:solidFill>
              <w14:schemeClr w14:val="tx1"/>
            </w14:solidFill>
          </w14:textFill>
        </w:rPr>
        <w:t xml:space="preserve">      </w:t>
      </w:r>
      <w:permEnd w:id="78"/>
      <w:r>
        <w:rPr>
          <w:rFonts w:hint="eastAsia" w:ascii="仿宋_GB2312" w:hAnsi="仿宋_GB2312" w:eastAsia="仿宋_GB2312" w:cs="仿宋_GB2312"/>
          <w:color w:val="000000" w:themeColor="text1"/>
          <w:highlight w:val="none"/>
          <w14:textFill>
            <w14:solidFill>
              <w14:schemeClr w14:val="tx1"/>
            </w14:solidFill>
          </w14:textFill>
        </w:rPr>
        <w:t>；</w:t>
      </w:r>
    </w:p>
    <w:p w14:paraId="0D0B70A8">
      <w:pPr>
        <w:pStyle w:val="12"/>
        <w:spacing w:line="400" w:lineRule="atLeast"/>
        <w:ind w:firstLine="720" w:firstLineChars="300"/>
        <w:jc w:val="both"/>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联系人及电话：</w:t>
      </w:r>
      <w:permStart w:id="79" w:edGrp="everyone"/>
      <w:r>
        <w:rPr>
          <w:rFonts w:hint="eastAsia" w:ascii="仿宋_GB2312" w:hAnsi="仿宋_GB2312" w:eastAsia="仿宋_GB2312" w:cs="仿宋_GB2312"/>
          <w:color w:val="000000" w:themeColor="text1"/>
          <w:highlight w:val="none"/>
          <w:u w:val="single"/>
          <w14:textFill>
            <w14:solidFill>
              <w14:schemeClr w14:val="tx1"/>
            </w14:solidFill>
          </w14:textFill>
        </w:rPr>
        <w:t xml:space="preserve">      </w:t>
      </w:r>
      <w:permEnd w:id="79"/>
      <w:r>
        <w:rPr>
          <w:rFonts w:hint="eastAsia" w:ascii="仿宋_GB2312" w:hAnsi="仿宋_GB2312" w:eastAsia="仿宋_GB2312" w:cs="仿宋_GB2312"/>
          <w:color w:val="000000" w:themeColor="text1"/>
          <w:highlight w:val="none"/>
          <w14:textFill>
            <w14:solidFill>
              <w14:schemeClr w14:val="tx1"/>
            </w14:solidFill>
          </w14:textFill>
        </w:rPr>
        <w:t>；邮箱：</w:t>
      </w:r>
      <w:permStart w:id="80" w:edGrp="everyone"/>
      <w:r>
        <w:rPr>
          <w:rFonts w:hint="eastAsia" w:ascii="仿宋_GB2312" w:hAnsi="仿宋_GB2312" w:eastAsia="仿宋_GB2312" w:cs="仿宋_GB2312"/>
          <w:color w:val="000000" w:themeColor="text1"/>
          <w:highlight w:val="none"/>
          <w:u w:val="single"/>
          <w14:textFill>
            <w14:solidFill>
              <w14:schemeClr w14:val="tx1"/>
            </w14:solidFill>
          </w14:textFill>
        </w:rPr>
        <w:t xml:space="preserve">      </w:t>
      </w:r>
      <w:permEnd w:id="80"/>
      <w:r>
        <w:rPr>
          <w:rFonts w:hint="eastAsia" w:ascii="仿宋_GB2312" w:hAnsi="仿宋_GB2312" w:eastAsia="仿宋_GB2312" w:cs="仿宋_GB2312"/>
          <w:color w:val="000000" w:themeColor="text1"/>
          <w:highlight w:val="none"/>
          <w14:textFill>
            <w14:solidFill>
              <w14:schemeClr w14:val="tx1"/>
            </w14:solidFill>
          </w14:textFill>
        </w:rPr>
        <w:t>；</w:t>
      </w:r>
    </w:p>
    <w:p w14:paraId="462D0592">
      <w:pPr>
        <w:pStyle w:val="12"/>
        <w:spacing w:line="400" w:lineRule="atLeast"/>
        <w:ind w:firstLine="480" w:firstLineChars="200"/>
        <w:jc w:val="both"/>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2、双方该送达地址或邮箱适用范围包括双方就合同发生纠纷时的律师函和法律文书的送达，同时包括在争议进入民事诉讼程序（如有）后的一审、二审、再审和执行程序。</w:t>
      </w:r>
    </w:p>
    <w:p w14:paraId="5FC7124D">
      <w:pPr>
        <w:pStyle w:val="12"/>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3、乙方因提供的送达地址或邮箱不准确、变更后未及时书面告知甲方、其指定的接收人拒绝签收等原因，导致法律文书未能被其实际接收的，视为对乙方送达成功：邮寄送达的，以文件退回之日视为送达之日；直接送达的，送达人当场在送达回证上记明情况之日视为送达之日。</w:t>
      </w:r>
    </w:p>
    <w:p w14:paraId="0FBA1299">
      <w:pPr>
        <w:pStyle w:val="12"/>
        <w:numPr>
          <w:ilvl w:val="0"/>
          <w:numId w:val="1"/>
        </w:numPr>
        <w:spacing w:before="120" w:beforeLines="50" w:after="120" w:afterLines="50" w:line="400" w:lineRule="atLeast"/>
        <w:ind w:firstLine="482" w:firstLineChars="200"/>
        <w:outlineLvl w:val="0"/>
        <w:rPr>
          <w:rFonts w:ascii="仿宋_GB2312" w:hAnsi="仿宋_GB2312" w:eastAsia="仿宋_GB2312" w:cs="仿宋_GB2312"/>
          <w:b/>
          <w:bCs/>
          <w:color w:val="000000" w:themeColor="text1"/>
          <w:highlight w:val="none"/>
          <w14:textFill>
            <w14:solidFill>
              <w14:schemeClr w14:val="tx1"/>
            </w14:solidFill>
          </w14:textFill>
        </w:rPr>
      </w:pPr>
      <w:bookmarkStart w:id="34" w:name="_Toc21843"/>
      <w:bookmarkStart w:id="35" w:name="_Toc4701"/>
      <w:bookmarkStart w:id="36" w:name="_Toc26478"/>
      <w:r>
        <w:rPr>
          <w:rFonts w:hint="eastAsia" w:ascii="仿宋_GB2312" w:hAnsi="仿宋_GB2312" w:eastAsia="仿宋_GB2312" w:cs="仿宋_GB2312"/>
          <w:b/>
          <w:bCs/>
          <w:color w:val="000000" w:themeColor="text1"/>
          <w:highlight w:val="none"/>
          <w14:textFill>
            <w14:solidFill>
              <w14:schemeClr w14:val="tx1"/>
            </w14:solidFill>
          </w14:textFill>
        </w:rPr>
        <w:t>合同生效</w:t>
      </w:r>
      <w:bookmarkEnd w:id="34"/>
      <w:bookmarkEnd w:id="35"/>
      <w:bookmarkEnd w:id="36"/>
    </w:p>
    <w:p w14:paraId="09D5058E">
      <w:pPr>
        <w:pStyle w:val="12"/>
        <w:numPr>
          <w:ilvl w:val="255"/>
          <w:numId w:val="0"/>
        </w:numPr>
        <w:spacing w:line="400" w:lineRule="atLeast"/>
        <w:ind w:firstLine="480" w:firstLineChars="200"/>
        <w:jc w:val="both"/>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1、本合同签约形式适用第</w:t>
      </w:r>
      <w:permStart w:id="81" w:edGrp="everyone"/>
      <w:r>
        <w:rPr>
          <w:rFonts w:hint="eastAsia" w:ascii="仿宋_GB2312" w:hAnsi="仿宋_GB2312" w:eastAsia="仿宋_GB2312" w:cs="仿宋_GB2312"/>
          <w:color w:val="000000" w:themeColor="text1"/>
          <w:highlight w:val="none"/>
          <w:u w:val="single"/>
          <w14:textFill>
            <w14:solidFill>
              <w14:schemeClr w14:val="tx1"/>
            </w14:solidFill>
          </w14:textFill>
        </w:rPr>
        <w:t xml:space="preserve"> </w:t>
      </w:r>
      <w:r>
        <w:rPr>
          <w:rFonts w:hint="eastAsia" w:ascii="仿宋_GB2312" w:hAnsi="仿宋_GB2312" w:eastAsia="仿宋_GB2312" w:cs="仿宋_GB2312"/>
          <w:color w:val="000000" w:themeColor="text1"/>
          <w:highlight w:val="none"/>
          <w:u w:val="single"/>
          <w:lang w:val="en-US" w:eastAsia="zh-CN"/>
          <w14:textFill>
            <w14:solidFill>
              <w14:schemeClr w14:val="tx1"/>
            </w14:solidFill>
          </w14:textFill>
        </w:rPr>
        <w:t xml:space="preserve">  1.2 </w:t>
      </w:r>
      <w:r>
        <w:rPr>
          <w:rFonts w:hint="eastAsia" w:ascii="仿宋_GB2312" w:hAnsi="仿宋_GB2312" w:eastAsia="仿宋_GB2312" w:cs="仿宋_GB2312"/>
          <w:color w:val="000000" w:themeColor="text1"/>
          <w:highlight w:val="none"/>
          <w:u w:val="single"/>
          <w14:textFill>
            <w14:solidFill>
              <w14:schemeClr w14:val="tx1"/>
            </w14:solidFill>
          </w14:textFill>
        </w:rPr>
        <w:t xml:space="preserve"> </w:t>
      </w:r>
      <w:permEnd w:id="81"/>
      <w:r>
        <w:rPr>
          <w:rFonts w:hint="eastAsia" w:ascii="仿宋_GB2312" w:hAnsi="仿宋_GB2312" w:eastAsia="仿宋_GB2312" w:cs="仿宋_GB2312"/>
          <w:color w:val="000000" w:themeColor="text1"/>
          <w:highlight w:val="none"/>
          <w14:textFill>
            <w14:solidFill>
              <w14:schemeClr w14:val="tx1"/>
            </w14:solidFill>
          </w14:textFill>
        </w:rPr>
        <w:t>条；</w:t>
      </w:r>
    </w:p>
    <w:p w14:paraId="494C227F">
      <w:pPr>
        <w:pStyle w:val="12"/>
        <w:numPr>
          <w:ilvl w:val="255"/>
          <w:numId w:val="0"/>
        </w:numPr>
        <w:spacing w:line="400" w:lineRule="atLeast"/>
        <w:ind w:firstLine="480" w:firstLineChars="200"/>
        <w:jc w:val="left"/>
        <w:rPr>
          <w:rFonts w:ascii="仿宋_GB2312" w:hAnsi="仿宋_GB2312" w:eastAsia="仿宋_GB2312" w:cs="仿宋_GB2312"/>
          <w:color w:val="000000" w:themeColor="text1"/>
          <w:highlight w:val="none"/>
          <w14:textFill>
            <w14:solidFill>
              <w14:schemeClr w14:val="tx1"/>
            </w14:solidFill>
          </w14:textFill>
        </w:rPr>
      </w:pPr>
      <w:bookmarkStart w:id="37" w:name="_Toc31827_WPSOffice_Level1"/>
      <w:bookmarkStart w:id="38" w:name="_Toc7989"/>
      <w:bookmarkStart w:id="39" w:name="_Toc15785_WPSOffice_Level1"/>
      <w:bookmarkStart w:id="40" w:name="_Toc6851_WPSOffice_Level1"/>
      <w:bookmarkStart w:id="41" w:name="_Toc21939"/>
      <w:r>
        <w:rPr>
          <w:rFonts w:hint="eastAsia" w:ascii="仿宋_GB2312" w:hAnsi="仿宋_GB2312" w:eastAsia="仿宋_GB2312" w:cs="仿宋_GB2312"/>
          <w:color w:val="000000" w:themeColor="text1"/>
          <w:highlight w:val="none"/>
          <w14:textFill>
            <w14:solidFill>
              <w14:schemeClr w14:val="tx1"/>
            </w14:solidFill>
          </w14:textFill>
        </w:rPr>
        <w:t>1.1双方同意通过“E签宝”(网址：https://121.28.96.6:8813/main-index-web)以电子签章的方式签署本合同，本合同自双方加盖电子签章之日起生效。合同生效后，双方均可对本合同进行查阅、下载、打印。下载、打印后的合同可以与“E签宝</w:t>
      </w:r>
      <w:r>
        <w:rPr>
          <w:rFonts w:hint="eastAsia" w:ascii="仿宋_GB2312" w:hAnsi="仿宋_GB2312" w:eastAsia="仿宋_GB2312" w:cs="仿宋_GB2312"/>
          <w:color w:val="000000" w:themeColor="text1"/>
          <w:highlight w:val="none"/>
          <w:lang w:eastAsia="zh-CN"/>
          <w14:textFill>
            <w14:solidFill>
              <w14:schemeClr w14:val="tx1"/>
            </w14:solidFill>
          </w14:textFill>
        </w:rPr>
        <w:t>”</w:t>
      </w:r>
      <w:r>
        <w:rPr>
          <w:rFonts w:hint="eastAsia" w:ascii="仿宋_GB2312" w:hAnsi="仿宋_GB2312" w:eastAsia="仿宋_GB2312" w:cs="仿宋_GB2312"/>
          <w:color w:val="000000" w:themeColor="text1"/>
          <w:highlight w:val="none"/>
          <w14:textFill>
            <w14:solidFill>
              <w14:schemeClr w14:val="tx1"/>
            </w14:solidFill>
          </w14:textFill>
        </w:rPr>
        <w:t>中的电子合同进行比对，如有不同，以“E签宝”中的电子合同为准。甲乙双方使用电子签章方式签署的合同，只有通过验证生效的电子原件具有法律效力，未经电子印章服务平台公司提供书面证明材料的电子合同打印版不能作为法律依据。如因乙方使用不当给甲方造成损失，乙方愿自行承担由此造成的全部经济损失和法律责任。</w:t>
      </w:r>
    </w:p>
    <w:p w14:paraId="4E1F31F4">
      <w:pPr>
        <w:pStyle w:val="12"/>
        <w:numPr>
          <w:ilvl w:val="0"/>
          <w:numId w:val="0"/>
        </w:numPr>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1.2双方同意通过加盖物理印章的方式签署本合同，合同自双方盖章后生效，完成合同约定的全部内容且保修期满后即告终止。合同壹式</w:t>
      </w:r>
      <w:permStart w:id="82" w:edGrp="everyone"/>
      <w:r>
        <w:rPr>
          <w:rFonts w:hint="eastAsia" w:ascii="仿宋_GB2312" w:hAnsi="仿宋_GB2312" w:eastAsia="仿宋_GB2312" w:cs="仿宋_GB2312"/>
          <w:color w:val="000000" w:themeColor="text1"/>
          <w:highlight w:val="none"/>
          <w:lang w:val="en-US" w:eastAsia="zh-CN"/>
          <w14:textFill>
            <w14:solidFill>
              <w14:schemeClr w14:val="tx1"/>
            </w14:solidFill>
          </w14:textFill>
        </w:rPr>
        <w:t>伍</w:t>
      </w:r>
      <w:permEnd w:id="82"/>
      <w:r>
        <w:rPr>
          <w:rFonts w:hint="eastAsia" w:ascii="仿宋_GB2312" w:hAnsi="仿宋_GB2312" w:eastAsia="仿宋_GB2312" w:cs="仿宋_GB2312"/>
          <w:color w:val="000000" w:themeColor="text1"/>
          <w:highlight w:val="none"/>
          <w14:textFill>
            <w14:solidFill>
              <w14:schemeClr w14:val="tx1"/>
            </w14:solidFill>
          </w14:textFill>
        </w:rPr>
        <w:t>份，甲方执</w:t>
      </w:r>
      <w:permStart w:id="83" w:edGrp="everyone"/>
      <w:r>
        <w:rPr>
          <w:rFonts w:hint="eastAsia" w:ascii="仿宋_GB2312" w:hAnsi="仿宋_GB2312" w:eastAsia="仿宋_GB2312" w:cs="仿宋_GB2312"/>
          <w:color w:val="000000" w:themeColor="text1"/>
          <w:highlight w:val="none"/>
          <w:lang w:val="en-US" w:eastAsia="zh-CN"/>
          <w14:textFill>
            <w14:solidFill>
              <w14:schemeClr w14:val="tx1"/>
            </w14:solidFill>
          </w14:textFill>
        </w:rPr>
        <w:t>肆</w:t>
      </w:r>
      <w:permEnd w:id="83"/>
      <w:r>
        <w:rPr>
          <w:rFonts w:hint="eastAsia" w:ascii="仿宋_GB2312" w:hAnsi="仿宋_GB2312" w:eastAsia="仿宋_GB2312" w:cs="仿宋_GB2312"/>
          <w:color w:val="000000" w:themeColor="text1"/>
          <w:highlight w:val="none"/>
          <w14:textFill>
            <w14:solidFill>
              <w14:schemeClr w14:val="tx1"/>
            </w14:solidFill>
          </w14:textFill>
        </w:rPr>
        <w:t>份，乙方执</w:t>
      </w:r>
      <w:permStart w:id="84" w:edGrp="everyone"/>
      <w:r>
        <w:rPr>
          <w:rFonts w:hint="eastAsia" w:ascii="仿宋_GB2312" w:hAnsi="仿宋_GB2312" w:eastAsia="仿宋_GB2312" w:cs="仿宋_GB2312"/>
          <w:color w:val="000000" w:themeColor="text1"/>
          <w:highlight w:val="none"/>
          <w:lang w:val="en-US" w:eastAsia="zh-CN"/>
          <w14:textFill>
            <w14:solidFill>
              <w14:schemeClr w14:val="tx1"/>
            </w14:solidFill>
          </w14:textFill>
        </w:rPr>
        <w:t>壹</w:t>
      </w:r>
      <w:permEnd w:id="84"/>
      <w:r>
        <w:rPr>
          <w:rFonts w:hint="eastAsia" w:ascii="仿宋_GB2312" w:hAnsi="仿宋_GB2312" w:eastAsia="仿宋_GB2312" w:cs="仿宋_GB2312"/>
          <w:color w:val="000000" w:themeColor="text1"/>
          <w:highlight w:val="none"/>
          <w14:textFill>
            <w14:solidFill>
              <w14:schemeClr w14:val="tx1"/>
            </w14:solidFill>
          </w14:textFill>
        </w:rPr>
        <w:t>份。</w:t>
      </w:r>
    </w:p>
    <w:p w14:paraId="30468C57">
      <w:pPr>
        <w:spacing w:line="400" w:lineRule="atLeast"/>
        <w:ind w:firstLine="504" w:firstLineChars="200"/>
        <w:jc w:val="left"/>
        <w:rPr>
          <w:rFonts w:ascii="仿宋_GB2312" w:hAnsi="仿宋_GB2312" w:eastAsia="仿宋_GB2312" w:cs="仿宋_GB2312"/>
          <w:color w:val="000000" w:themeColor="text1"/>
          <w:kern w:val="0"/>
          <w:sz w:val="24"/>
          <w:szCs w:val="24"/>
          <w:highlight w:val="none"/>
          <w14:textFill>
            <w14:solidFill>
              <w14:schemeClr w14:val="tx1"/>
            </w14:solidFill>
          </w14:textFill>
        </w:rPr>
      </w:pPr>
      <w:r>
        <w:rPr>
          <w:rFonts w:hint="eastAsia" w:ascii="仿宋_GB2312" w:hAnsi="仿宋_GB2312" w:eastAsia="仿宋_GB2312" w:cs="仿宋_GB2312"/>
          <w:bCs/>
          <w:color w:val="000000" w:themeColor="text1"/>
          <w:spacing w:val="6"/>
          <w:sz w:val="24"/>
          <w:szCs w:val="24"/>
          <w:highlight w:val="none"/>
          <w14:textFill>
            <w14:solidFill>
              <w14:schemeClr w14:val="tx1"/>
            </w14:solidFill>
          </w14:textFill>
        </w:rPr>
        <w:t>以下无正文</w:t>
      </w:r>
      <w:bookmarkEnd w:id="37"/>
      <w:bookmarkEnd w:id="38"/>
      <w:bookmarkEnd w:id="39"/>
      <w:bookmarkEnd w:id="40"/>
      <w:bookmarkEnd w:id="41"/>
      <w:bookmarkStart w:id="42" w:name="_Toc8898_WPSOffice_Level1"/>
      <w:bookmarkStart w:id="43" w:name="_Toc6163_WPSOffice_Level1"/>
      <w:bookmarkStart w:id="44" w:name="_Toc19595_WPSOffice_Level1"/>
    </w:p>
    <w:p w14:paraId="51E53A87">
      <w:pPr>
        <w:spacing w:line="400" w:lineRule="atLeast"/>
        <w:ind w:firstLine="480" w:firstLineChars="200"/>
        <w:rPr>
          <w:rFonts w:ascii="仿宋_GB2312" w:hAnsi="仿宋_GB2312" w:eastAsia="仿宋_GB2312" w:cs="仿宋_GB2312"/>
          <w:color w:val="000000" w:themeColor="text1"/>
          <w:kern w:val="0"/>
          <w:sz w:val="24"/>
          <w:szCs w:val="24"/>
          <w:highlight w:val="none"/>
          <w14:textFill>
            <w14:solidFill>
              <w14:schemeClr w14:val="tx1"/>
            </w14:solidFill>
          </w14:textFill>
        </w:rPr>
      </w:pPr>
      <w:bookmarkStart w:id="45" w:name="_Toc31108"/>
      <w:bookmarkStart w:id="46" w:name="_Toc23374"/>
      <w:bookmarkStart w:id="47" w:name="_Toc23779"/>
      <w:r>
        <w:rPr>
          <w:rFonts w:hint="eastAsia" w:ascii="仿宋_GB2312" w:hAnsi="仿宋_GB2312" w:eastAsia="仿宋_GB2312" w:cs="仿宋_GB2312"/>
          <w:color w:val="000000" w:themeColor="text1"/>
          <w:kern w:val="0"/>
          <w:sz w:val="24"/>
          <w:szCs w:val="24"/>
          <w:highlight w:val="none"/>
          <w14:textFill>
            <w14:solidFill>
              <w14:schemeClr w14:val="tx1"/>
            </w14:solidFill>
          </w14:textFill>
        </w:rPr>
        <w:t>附件一 授权委托书</w:t>
      </w:r>
      <w:bookmarkEnd w:id="42"/>
      <w:bookmarkEnd w:id="43"/>
      <w:bookmarkEnd w:id="44"/>
      <w:bookmarkEnd w:id="45"/>
      <w:bookmarkEnd w:id="46"/>
      <w:bookmarkEnd w:id="47"/>
    </w:p>
    <w:p w14:paraId="5C3D72FB">
      <w:pPr>
        <w:spacing w:line="400" w:lineRule="atLeast"/>
        <w:ind w:firstLine="480" w:firstLineChars="200"/>
        <w:rPr>
          <w:rFonts w:ascii="仿宋_GB2312" w:hAnsi="仿宋_GB2312" w:eastAsia="仿宋_GB2312" w:cs="仿宋_GB2312"/>
          <w:color w:val="000000" w:themeColor="text1"/>
          <w:kern w:val="0"/>
          <w:sz w:val="24"/>
          <w:szCs w:val="24"/>
          <w:highlight w:val="none"/>
          <w14:textFill>
            <w14:solidFill>
              <w14:schemeClr w14:val="tx1"/>
            </w14:solidFill>
          </w14:textFill>
        </w:rPr>
      </w:pPr>
      <w:bookmarkStart w:id="48" w:name="_Toc16133_WPSOffice_Level1"/>
      <w:bookmarkStart w:id="49" w:name="_Toc3383_WPSOffice_Level1"/>
      <w:bookmarkStart w:id="50" w:name="_Toc27542"/>
      <w:bookmarkStart w:id="51" w:name="_Toc14040"/>
      <w:bookmarkStart w:id="52" w:name="_Toc5250_WPSOffice_Level1"/>
      <w:bookmarkStart w:id="53" w:name="_Toc6903"/>
      <w:r>
        <w:rPr>
          <w:rFonts w:hint="eastAsia" w:ascii="仿宋_GB2312" w:hAnsi="仿宋_GB2312" w:eastAsia="仿宋_GB2312" w:cs="仿宋_GB2312"/>
          <w:color w:val="000000" w:themeColor="text1"/>
          <w:kern w:val="0"/>
          <w:sz w:val="24"/>
          <w:szCs w:val="24"/>
          <w:highlight w:val="none"/>
          <w14:textFill>
            <w14:solidFill>
              <w14:schemeClr w14:val="tx1"/>
            </w14:solidFill>
          </w14:textFill>
        </w:rPr>
        <w:t xml:space="preserve">附件二 </w:t>
      </w:r>
      <w:bookmarkEnd w:id="48"/>
      <w:bookmarkEnd w:id="49"/>
      <w:bookmarkEnd w:id="50"/>
      <w:bookmarkEnd w:id="51"/>
      <w:bookmarkEnd w:id="52"/>
      <w:r>
        <w:rPr>
          <w:rFonts w:hint="eastAsia" w:ascii="仿宋_GB2312" w:hAnsi="仿宋_GB2312" w:eastAsia="仿宋_GB2312" w:cs="仿宋_GB2312"/>
          <w:color w:val="000000" w:themeColor="text1"/>
          <w:kern w:val="0"/>
          <w:sz w:val="24"/>
          <w:szCs w:val="24"/>
          <w:highlight w:val="none"/>
          <w14:textFill>
            <w14:solidFill>
              <w14:schemeClr w14:val="tx1"/>
            </w14:solidFill>
          </w14:textFill>
        </w:rPr>
        <w:t>项目部合规权限告知书</w:t>
      </w:r>
      <w:bookmarkEnd w:id="53"/>
    </w:p>
    <w:p w14:paraId="610E4D93">
      <w:pPr>
        <w:spacing w:line="400" w:lineRule="atLeast"/>
        <w:ind w:firstLine="480" w:firstLineChars="200"/>
        <w:rPr>
          <w:rFonts w:ascii="仿宋_GB2312" w:hAnsi="仿宋_GB2312" w:eastAsia="仿宋_GB2312" w:cs="仿宋_GB2312"/>
          <w:color w:val="000000" w:themeColor="text1"/>
          <w:kern w:val="0"/>
          <w:sz w:val="24"/>
          <w:szCs w:val="24"/>
          <w:highlight w:val="none"/>
          <w14:textFill>
            <w14:solidFill>
              <w14:schemeClr w14:val="tx1"/>
            </w14:solidFill>
          </w14:textFill>
        </w:rPr>
      </w:pPr>
      <w:bookmarkStart w:id="54" w:name="_Toc641_WPSOffice_Level1"/>
      <w:bookmarkStart w:id="55" w:name="_Toc22730_WPSOffice_Level1"/>
      <w:bookmarkStart w:id="56" w:name="_Toc19768_WPSOffice_Level1"/>
      <w:bookmarkStart w:id="57" w:name="_Toc26596"/>
      <w:bookmarkStart w:id="58" w:name="_Toc660"/>
      <w:bookmarkStart w:id="59" w:name="_Toc3486"/>
      <w:r>
        <w:rPr>
          <w:rFonts w:hint="eastAsia" w:ascii="仿宋_GB2312" w:hAnsi="仿宋_GB2312" w:eastAsia="仿宋_GB2312" w:cs="仿宋_GB2312"/>
          <w:color w:val="000000" w:themeColor="text1"/>
          <w:kern w:val="0"/>
          <w:sz w:val="24"/>
          <w:szCs w:val="24"/>
          <w:highlight w:val="none"/>
          <w14:textFill>
            <w14:solidFill>
              <w14:schemeClr w14:val="tx1"/>
            </w14:solidFill>
          </w14:textFill>
        </w:rPr>
        <w:t xml:space="preserve">附件三 </w:t>
      </w:r>
      <w:bookmarkEnd w:id="54"/>
      <w:bookmarkEnd w:id="55"/>
      <w:bookmarkEnd w:id="56"/>
      <w:r>
        <w:rPr>
          <w:rFonts w:hint="eastAsia" w:ascii="仿宋_GB2312" w:hAnsi="仿宋_GB2312" w:eastAsia="仿宋_GB2312" w:cs="仿宋_GB2312"/>
          <w:color w:val="000000" w:themeColor="text1"/>
          <w:kern w:val="0"/>
          <w:sz w:val="24"/>
          <w:szCs w:val="24"/>
          <w:highlight w:val="none"/>
          <w14:textFill>
            <w14:solidFill>
              <w14:schemeClr w14:val="tx1"/>
            </w14:solidFill>
          </w14:textFill>
        </w:rPr>
        <w:t>安全管理协议书</w:t>
      </w:r>
      <w:bookmarkEnd w:id="57"/>
      <w:bookmarkEnd w:id="58"/>
      <w:bookmarkEnd w:id="59"/>
    </w:p>
    <w:p w14:paraId="0732E351">
      <w:pPr>
        <w:pStyle w:val="12"/>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bookmarkStart w:id="60" w:name="_Toc24584_WPSOffice_Level1"/>
      <w:bookmarkStart w:id="61" w:name="_Toc19161_WPSOffice_Level1"/>
      <w:bookmarkStart w:id="62" w:name="_Toc8260_WPSOffice_Level1"/>
      <w:bookmarkStart w:id="63" w:name="_Toc6994"/>
      <w:bookmarkStart w:id="64" w:name="_Toc459"/>
      <w:bookmarkStart w:id="65" w:name="_Toc25961"/>
      <w:r>
        <w:rPr>
          <w:rFonts w:hint="eastAsia" w:ascii="仿宋_GB2312" w:hAnsi="仿宋_GB2312" w:eastAsia="仿宋_GB2312" w:cs="仿宋_GB2312"/>
          <w:color w:val="000000" w:themeColor="text1"/>
          <w:highlight w:val="none"/>
          <w14:textFill>
            <w14:solidFill>
              <w14:schemeClr w14:val="tx1"/>
            </w14:solidFill>
          </w14:textFill>
        </w:rPr>
        <w:t xml:space="preserve">附件四 </w:t>
      </w:r>
      <w:bookmarkEnd w:id="60"/>
      <w:bookmarkEnd w:id="61"/>
      <w:bookmarkEnd w:id="62"/>
      <w:r>
        <w:rPr>
          <w:rFonts w:hint="eastAsia" w:ascii="仿宋_GB2312" w:hAnsi="仿宋_GB2312" w:eastAsia="仿宋_GB2312" w:cs="仿宋_GB2312"/>
          <w:color w:val="000000" w:themeColor="text1"/>
          <w:highlight w:val="none"/>
          <w14:textFill>
            <w14:solidFill>
              <w14:schemeClr w14:val="tx1"/>
            </w14:solidFill>
          </w14:textFill>
        </w:rPr>
        <w:t>廉洁从业共建协议</w:t>
      </w:r>
      <w:bookmarkEnd w:id="63"/>
      <w:bookmarkEnd w:id="64"/>
      <w:bookmarkEnd w:id="65"/>
    </w:p>
    <w:p w14:paraId="0D4F77DC">
      <w:pPr>
        <w:pStyle w:val="12"/>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p>
    <w:p w14:paraId="1BC49BB8">
      <w:pPr>
        <w:pStyle w:val="12"/>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p>
    <w:p w14:paraId="711F15D0">
      <w:pPr>
        <w:autoSpaceDE w:val="0"/>
        <w:autoSpaceDN w:val="0"/>
        <w:adjustRightInd w:val="0"/>
        <w:spacing w:line="400" w:lineRule="atLeast"/>
        <w:ind w:firstLine="480" w:firstLineChars="200"/>
        <w:rPr>
          <w:rFonts w:ascii="仿宋_GB2312" w:hAnsi="仿宋_GB2312" w:eastAsia="仿宋_GB2312" w:cs="仿宋_GB2312"/>
          <w:color w:val="000000" w:themeColor="text1"/>
          <w:kern w:val="0"/>
          <w:sz w:val="24"/>
          <w:szCs w:val="24"/>
          <w:highlight w:val="none"/>
          <w14:textFill>
            <w14:solidFill>
              <w14:schemeClr w14:val="tx1"/>
            </w14:solidFill>
          </w14:textFill>
        </w:rPr>
      </w:pPr>
      <w:r>
        <w:rPr>
          <w:rFonts w:hint="eastAsia" w:ascii="仿宋_GB2312" w:hAnsi="仿宋_GB2312" w:eastAsia="仿宋_GB2312" w:cs="仿宋_GB2312"/>
          <w:color w:val="000000" w:themeColor="text1"/>
          <w:kern w:val="0"/>
          <w:sz w:val="24"/>
          <w:szCs w:val="24"/>
          <w:highlight w:val="none"/>
          <w14:textFill>
            <w14:solidFill>
              <w14:schemeClr w14:val="tx1"/>
            </w14:solidFill>
          </w14:textFill>
        </w:rPr>
        <w:t xml:space="preserve">甲方（盖章）：                        乙方（公章）：             </w:t>
      </w:r>
    </w:p>
    <w:p w14:paraId="53159D93">
      <w:pPr>
        <w:autoSpaceDE w:val="0"/>
        <w:autoSpaceDN w:val="0"/>
        <w:adjustRightInd w:val="0"/>
        <w:spacing w:line="400" w:lineRule="atLeast"/>
        <w:rPr>
          <w:rFonts w:hint="eastAsia" w:ascii="仿宋_GB2312" w:hAnsi="仿宋_GB2312" w:eastAsia="仿宋_GB2312" w:cs="仿宋_GB2312"/>
          <w:color w:val="000000" w:themeColor="text1"/>
          <w:kern w:val="0"/>
          <w:sz w:val="24"/>
          <w:szCs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kern w:val="0"/>
          <w:sz w:val="24"/>
          <w:szCs w:val="24"/>
          <w:highlight w:val="none"/>
          <w14:textFill>
            <w14:solidFill>
              <w14:schemeClr w14:val="tx1"/>
            </w14:solidFill>
          </w14:textFill>
        </w:rPr>
        <w:t xml:space="preserve">  </w:t>
      </w:r>
      <w:r>
        <w:rPr>
          <w:rFonts w:hint="eastAsia" w:ascii="仿宋_GB2312" w:hAnsi="仿宋_GB2312" w:eastAsia="仿宋_GB2312" w:cs="仿宋_GB2312"/>
          <w:color w:val="000000" w:themeColor="text1"/>
          <w:kern w:val="0"/>
          <w:sz w:val="24"/>
          <w:szCs w:val="24"/>
          <w:highlight w:val="none"/>
          <w:lang w:val="en-US" w:eastAsia="zh-CN"/>
          <w14:textFill>
            <w14:solidFill>
              <w14:schemeClr w14:val="tx1"/>
            </w14:solidFill>
          </w14:textFill>
        </w:rPr>
        <w:t xml:space="preserve">  </w:t>
      </w:r>
    </w:p>
    <w:p w14:paraId="63F3CB92">
      <w:pPr>
        <w:autoSpaceDE w:val="0"/>
        <w:autoSpaceDN w:val="0"/>
        <w:adjustRightInd w:val="0"/>
        <w:spacing w:line="400" w:lineRule="atLeast"/>
        <w:ind w:firstLine="480" w:firstLineChars="200"/>
        <w:rPr>
          <w:rFonts w:ascii="仿宋_GB2312" w:hAnsi="仿宋_GB2312" w:eastAsia="仿宋_GB2312" w:cs="仿宋_GB2312"/>
          <w:color w:val="000000" w:themeColor="text1"/>
          <w:kern w:val="0"/>
          <w:sz w:val="24"/>
          <w:szCs w:val="24"/>
          <w:highlight w:val="none"/>
          <w14:textFill>
            <w14:solidFill>
              <w14:schemeClr w14:val="tx1"/>
            </w14:solidFill>
          </w14:textFill>
        </w:rPr>
      </w:pPr>
      <w:r>
        <w:rPr>
          <w:rFonts w:hint="eastAsia" w:ascii="仿宋_GB2312" w:hAnsi="仿宋_GB2312" w:eastAsia="仿宋_GB2312" w:cs="仿宋_GB2312"/>
          <w:color w:val="000000" w:themeColor="text1"/>
          <w:kern w:val="0"/>
          <w:sz w:val="24"/>
          <w:szCs w:val="24"/>
          <w:highlight w:val="none"/>
          <w14:textFill>
            <w14:solidFill>
              <w14:schemeClr w14:val="tx1"/>
            </w14:solidFill>
          </w14:textFill>
        </w:rPr>
        <w:t>法定代表人：                           法定代表人：</w:t>
      </w:r>
    </w:p>
    <w:p w14:paraId="2F501C3F">
      <w:pPr>
        <w:autoSpaceDE w:val="0"/>
        <w:autoSpaceDN w:val="0"/>
        <w:adjustRightInd w:val="0"/>
        <w:spacing w:line="400" w:lineRule="atLeast"/>
        <w:ind w:firstLine="480" w:firstLineChars="200"/>
        <w:rPr>
          <w:rFonts w:ascii="仿宋_GB2312" w:hAnsi="仿宋_GB2312" w:eastAsia="仿宋_GB2312" w:cs="仿宋_GB2312"/>
          <w:color w:val="000000" w:themeColor="text1"/>
          <w:kern w:val="0"/>
          <w:sz w:val="24"/>
          <w:szCs w:val="24"/>
          <w:highlight w:val="none"/>
          <w14:textFill>
            <w14:solidFill>
              <w14:schemeClr w14:val="tx1"/>
            </w14:solidFill>
          </w14:textFill>
        </w:rPr>
      </w:pPr>
      <w:r>
        <w:rPr>
          <w:rFonts w:hint="eastAsia" w:ascii="仿宋_GB2312" w:hAnsi="仿宋_GB2312" w:eastAsia="仿宋_GB2312" w:cs="仿宋_GB2312"/>
          <w:color w:val="000000" w:themeColor="text1"/>
          <w:kern w:val="0"/>
          <w:sz w:val="24"/>
          <w:szCs w:val="24"/>
          <w:highlight w:val="none"/>
          <w14:textFill>
            <w14:solidFill>
              <w14:schemeClr w14:val="tx1"/>
            </w14:solidFill>
          </w14:textFill>
        </w:rPr>
        <w:t xml:space="preserve">    或                                   </w:t>
      </w:r>
      <w:r>
        <w:rPr>
          <w:rFonts w:hint="eastAsia" w:ascii="仿宋_GB2312" w:hAnsi="仿宋_GB2312" w:eastAsia="仿宋_GB2312" w:cs="仿宋_GB2312"/>
          <w:color w:val="000000" w:themeColor="text1"/>
          <w:kern w:val="0"/>
          <w:sz w:val="24"/>
          <w:szCs w:val="24"/>
          <w:highlight w:val="non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kern w:val="0"/>
          <w:sz w:val="24"/>
          <w:szCs w:val="24"/>
          <w:highlight w:val="none"/>
          <w14:textFill>
            <w14:solidFill>
              <w14:schemeClr w14:val="tx1"/>
            </w14:solidFill>
          </w14:textFill>
        </w:rPr>
        <w:t xml:space="preserve"> 或</w:t>
      </w:r>
    </w:p>
    <w:p w14:paraId="01238BA8">
      <w:pPr>
        <w:autoSpaceDE w:val="0"/>
        <w:autoSpaceDN w:val="0"/>
        <w:adjustRightInd w:val="0"/>
        <w:spacing w:line="400" w:lineRule="atLeast"/>
        <w:ind w:firstLine="720" w:firstLineChars="300"/>
        <w:rPr>
          <w:rFonts w:ascii="仿宋_GB2312" w:hAnsi="仿宋_GB2312" w:eastAsia="仿宋_GB2312" w:cs="仿宋_GB2312"/>
          <w:color w:val="000000" w:themeColor="text1"/>
          <w:kern w:val="0"/>
          <w:sz w:val="24"/>
          <w:szCs w:val="24"/>
          <w:highlight w:val="none"/>
          <w14:textFill>
            <w14:solidFill>
              <w14:schemeClr w14:val="tx1"/>
            </w14:solidFill>
          </w14:textFill>
        </w:rPr>
      </w:pPr>
      <w:r>
        <w:rPr>
          <w:rFonts w:hint="eastAsia" w:ascii="仿宋_GB2312" w:hAnsi="仿宋_GB2312" w:eastAsia="仿宋_GB2312" w:cs="仿宋_GB2312"/>
          <w:color w:val="000000" w:themeColor="text1"/>
          <w:kern w:val="0"/>
          <w:sz w:val="24"/>
          <w:szCs w:val="24"/>
          <w:highlight w:val="none"/>
          <w:lang w:val="en-US" w:eastAsia="zh-CN"/>
          <w14:textFill>
            <w14:solidFill>
              <w14:schemeClr w14:val="tx1"/>
            </w14:solidFill>
          </w14:textFill>
        </w:rPr>
        <w:t>被委托</w:t>
      </w:r>
      <w:r>
        <w:rPr>
          <w:rFonts w:hint="eastAsia" w:ascii="仿宋_GB2312" w:hAnsi="仿宋_GB2312" w:eastAsia="仿宋_GB2312" w:cs="仿宋_GB2312"/>
          <w:color w:val="000000" w:themeColor="text1"/>
          <w:kern w:val="0"/>
          <w:sz w:val="24"/>
          <w:szCs w:val="24"/>
          <w:highlight w:val="none"/>
          <w14:textFill>
            <w14:solidFill>
              <w14:schemeClr w14:val="tx1"/>
            </w14:solidFill>
          </w14:textFill>
        </w:rPr>
        <w:t xml:space="preserve">人：                           </w:t>
      </w:r>
      <w:r>
        <w:rPr>
          <w:rFonts w:hint="eastAsia" w:ascii="仿宋_GB2312" w:hAnsi="仿宋_GB2312" w:eastAsia="仿宋_GB2312" w:cs="仿宋_GB2312"/>
          <w:color w:val="000000" w:themeColor="text1"/>
          <w:kern w:val="0"/>
          <w:sz w:val="24"/>
          <w:szCs w:val="24"/>
          <w:highlight w:val="none"/>
          <w:lang w:val="en-US" w:eastAsia="zh-CN"/>
          <w14:textFill>
            <w14:solidFill>
              <w14:schemeClr w14:val="tx1"/>
            </w14:solidFill>
          </w14:textFill>
        </w:rPr>
        <w:t>被委托</w:t>
      </w:r>
      <w:r>
        <w:rPr>
          <w:rFonts w:hint="eastAsia" w:ascii="仿宋_GB2312" w:hAnsi="仿宋_GB2312" w:eastAsia="仿宋_GB2312" w:cs="仿宋_GB2312"/>
          <w:color w:val="000000" w:themeColor="text1"/>
          <w:kern w:val="0"/>
          <w:sz w:val="24"/>
          <w:szCs w:val="24"/>
          <w:highlight w:val="none"/>
          <w14:textFill>
            <w14:solidFill>
              <w14:schemeClr w14:val="tx1"/>
            </w14:solidFill>
          </w14:textFill>
        </w:rPr>
        <w:t>人：</w:t>
      </w:r>
    </w:p>
    <w:p w14:paraId="6C3D7439">
      <w:pPr>
        <w:pStyle w:val="12"/>
        <w:spacing w:line="400" w:lineRule="atLeast"/>
        <w:rPr>
          <w:rFonts w:ascii="仿宋_GB2312" w:hAnsi="仿宋_GB2312" w:eastAsia="仿宋_GB2312" w:cs="仿宋_GB2312"/>
          <w:color w:val="000000" w:themeColor="text1"/>
          <w:highlight w:val="none"/>
          <w14:textFill>
            <w14:solidFill>
              <w14:schemeClr w14:val="tx1"/>
            </w14:solidFill>
          </w14:textFill>
        </w:rPr>
      </w:pPr>
    </w:p>
    <w:p w14:paraId="6FDACB7A">
      <w:pPr>
        <w:pStyle w:val="12"/>
        <w:spacing w:line="400" w:lineRule="exact"/>
        <w:ind w:firstLine="480"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 xml:space="preserve">        </w:t>
      </w:r>
      <w:r>
        <w:rPr>
          <w:rFonts w:hint="eastAsia" w:ascii="仿宋_GB2312" w:hAnsi="仿宋_GB2312" w:eastAsia="仿宋_GB2312" w:cs="仿宋_GB2312"/>
          <w:color w:val="000000" w:themeColor="text1"/>
          <w:highlight w:val="none"/>
          <w:lang w:val="zh-CN"/>
          <w14:textFill>
            <w14:solidFill>
              <w14:schemeClr w14:val="tx1"/>
            </w14:solidFill>
          </w14:textFill>
        </w:rPr>
        <w:t>年</w:t>
      </w:r>
      <w:r>
        <w:rPr>
          <w:rFonts w:hint="eastAsia" w:ascii="仿宋_GB2312" w:hAnsi="仿宋_GB2312" w:eastAsia="仿宋_GB2312" w:cs="仿宋_GB2312"/>
          <w:color w:val="000000" w:themeColor="text1"/>
          <w:highlight w:val="none"/>
          <w14:textFill>
            <w14:solidFill>
              <w14:schemeClr w14:val="tx1"/>
            </w14:solidFill>
          </w14:textFill>
        </w:rPr>
        <w:t xml:space="preserve">   </w:t>
      </w:r>
      <w:r>
        <w:rPr>
          <w:rFonts w:hint="eastAsia" w:ascii="仿宋_GB2312" w:hAnsi="仿宋_GB2312" w:eastAsia="仿宋_GB2312" w:cs="仿宋_GB2312"/>
          <w:color w:val="000000" w:themeColor="text1"/>
          <w:highlight w:val="none"/>
          <w:lang w:val="zh-CN"/>
          <w14:textFill>
            <w14:solidFill>
              <w14:schemeClr w14:val="tx1"/>
            </w14:solidFill>
          </w14:textFill>
        </w:rPr>
        <w:t>月</w:t>
      </w:r>
      <w:r>
        <w:rPr>
          <w:rFonts w:hint="eastAsia" w:ascii="仿宋_GB2312" w:hAnsi="仿宋_GB2312" w:eastAsia="仿宋_GB2312" w:cs="仿宋_GB2312"/>
          <w:color w:val="000000" w:themeColor="text1"/>
          <w:highlight w:val="none"/>
          <w14:textFill>
            <w14:solidFill>
              <w14:schemeClr w14:val="tx1"/>
            </w14:solidFill>
          </w14:textFill>
        </w:rPr>
        <w:t xml:space="preserve">   </w:t>
      </w:r>
      <w:r>
        <w:rPr>
          <w:rFonts w:hint="eastAsia" w:ascii="仿宋_GB2312" w:hAnsi="仿宋_GB2312" w:eastAsia="仿宋_GB2312" w:cs="仿宋_GB2312"/>
          <w:color w:val="000000" w:themeColor="text1"/>
          <w:highlight w:val="none"/>
          <w:lang w:val="zh-CN"/>
          <w14:textFill>
            <w14:solidFill>
              <w14:schemeClr w14:val="tx1"/>
            </w14:solidFill>
          </w14:textFill>
        </w:rPr>
        <w:t>日</w:t>
      </w:r>
      <w:r>
        <w:rPr>
          <w:rFonts w:hint="eastAsia" w:ascii="仿宋_GB2312" w:hAnsi="仿宋_GB2312" w:eastAsia="仿宋_GB2312" w:cs="仿宋_GB2312"/>
          <w:color w:val="000000" w:themeColor="text1"/>
          <w:highlight w:val="none"/>
          <w14:textFill>
            <w14:solidFill>
              <w14:schemeClr w14:val="tx1"/>
            </w14:solidFill>
          </w14:textFill>
        </w:rPr>
        <w:t xml:space="preserve">                          </w:t>
      </w:r>
      <w:r>
        <w:rPr>
          <w:rFonts w:hint="eastAsia" w:ascii="仿宋_GB2312" w:hAnsi="仿宋_GB2312" w:eastAsia="仿宋_GB2312" w:cs="仿宋_GB2312"/>
          <w:color w:val="000000" w:themeColor="text1"/>
          <w:highlight w:val="none"/>
          <w:lang w:val="zh-CN"/>
          <w14:textFill>
            <w14:solidFill>
              <w14:schemeClr w14:val="tx1"/>
            </w14:solidFill>
          </w14:textFill>
        </w:rPr>
        <w:t>年</w:t>
      </w:r>
      <w:r>
        <w:rPr>
          <w:rFonts w:hint="eastAsia" w:ascii="仿宋_GB2312" w:hAnsi="仿宋_GB2312" w:eastAsia="仿宋_GB2312" w:cs="仿宋_GB2312"/>
          <w:color w:val="000000" w:themeColor="text1"/>
          <w:highlight w:val="none"/>
          <w14:textFill>
            <w14:solidFill>
              <w14:schemeClr w14:val="tx1"/>
            </w14:solidFill>
          </w14:textFill>
        </w:rPr>
        <w:t xml:space="preserve">   </w:t>
      </w:r>
      <w:r>
        <w:rPr>
          <w:rFonts w:hint="eastAsia" w:ascii="仿宋_GB2312" w:hAnsi="仿宋_GB2312" w:eastAsia="仿宋_GB2312" w:cs="仿宋_GB2312"/>
          <w:color w:val="000000" w:themeColor="text1"/>
          <w:highlight w:val="none"/>
          <w:lang w:val="zh-CN"/>
          <w14:textFill>
            <w14:solidFill>
              <w14:schemeClr w14:val="tx1"/>
            </w14:solidFill>
          </w14:textFill>
        </w:rPr>
        <w:t>月</w:t>
      </w:r>
      <w:r>
        <w:rPr>
          <w:rFonts w:hint="eastAsia" w:ascii="仿宋_GB2312" w:hAnsi="仿宋_GB2312" w:eastAsia="仿宋_GB2312" w:cs="仿宋_GB2312"/>
          <w:color w:val="000000" w:themeColor="text1"/>
          <w:highlight w:val="none"/>
          <w14:textFill>
            <w14:solidFill>
              <w14:schemeClr w14:val="tx1"/>
            </w14:solidFill>
          </w14:textFill>
        </w:rPr>
        <w:t xml:space="preserve">   </w:t>
      </w:r>
      <w:r>
        <w:rPr>
          <w:rFonts w:hint="eastAsia" w:ascii="仿宋_GB2312" w:hAnsi="仿宋_GB2312" w:eastAsia="仿宋_GB2312" w:cs="仿宋_GB2312"/>
          <w:color w:val="000000" w:themeColor="text1"/>
          <w:highlight w:val="none"/>
          <w:lang w:val="zh-CN"/>
          <w14:textFill>
            <w14:solidFill>
              <w14:schemeClr w14:val="tx1"/>
            </w14:solidFill>
          </w14:textFill>
        </w:rPr>
        <w:t>日</w:t>
      </w:r>
    </w:p>
    <w:p w14:paraId="594E8F4F">
      <w:pPr>
        <w:pStyle w:val="12"/>
        <w:spacing w:line="400" w:lineRule="exact"/>
        <w:ind w:firstLine="480" w:firstLineChars="200"/>
        <w:rPr>
          <w:rFonts w:ascii="仿宋_GB2312" w:hAnsi="仿宋_GB2312" w:eastAsia="仿宋_GB2312" w:cs="仿宋_GB2312"/>
          <w:color w:val="000000" w:themeColor="text1"/>
          <w:highlight w:val="none"/>
          <w14:textFill>
            <w14:solidFill>
              <w14:schemeClr w14:val="tx1"/>
            </w14:solidFill>
          </w14:textFill>
        </w:rPr>
        <w:sectPr>
          <w:headerReference r:id="rId10" w:type="default"/>
          <w:footerReference r:id="rId11" w:type="default"/>
          <w:pgSz w:w="11906" w:h="16838"/>
          <w:pgMar w:top="1440" w:right="1800" w:bottom="1440" w:left="1800" w:header="850" w:footer="975" w:gutter="0"/>
          <w:pgNumType w:start="1"/>
          <w:cols w:space="0" w:num="1"/>
          <w:docGrid w:linePitch="312" w:charSpace="0"/>
        </w:sectPr>
      </w:pPr>
    </w:p>
    <w:p w14:paraId="2C1BEA80">
      <w:pPr>
        <w:autoSpaceDE w:val="0"/>
        <w:autoSpaceDN w:val="0"/>
        <w:adjustRightInd w:val="0"/>
        <w:spacing w:line="400" w:lineRule="exact"/>
        <w:outlineLvl w:val="0"/>
        <w:rPr>
          <w:rFonts w:ascii="仿宋_GB2312" w:hAnsi="仿宋_GB2312" w:eastAsia="仿宋_GB2312" w:cs="仿宋_GB2312"/>
          <w:color w:val="000000" w:themeColor="text1"/>
          <w:kern w:val="0"/>
          <w:sz w:val="30"/>
          <w:szCs w:val="30"/>
          <w:highlight w:val="none"/>
          <w14:textFill>
            <w14:solidFill>
              <w14:schemeClr w14:val="tx1"/>
            </w14:solidFill>
          </w14:textFill>
        </w:rPr>
      </w:pPr>
      <w:bookmarkStart w:id="66" w:name="_Toc25426"/>
      <w:bookmarkStart w:id="67" w:name="_Toc31445"/>
      <w:bookmarkStart w:id="68" w:name="_Toc7321"/>
      <w:r>
        <w:rPr>
          <w:rFonts w:hint="eastAsia" w:ascii="仿宋_GB2312" w:hAnsi="仿宋_GB2312" w:eastAsia="仿宋_GB2312" w:cs="仿宋_GB2312"/>
          <w:color w:val="000000" w:themeColor="text1"/>
          <w:kern w:val="0"/>
          <w:sz w:val="30"/>
          <w:szCs w:val="30"/>
          <w:highlight w:val="none"/>
          <w14:textFill>
            <w14:solidFill>
              <w14:schemeClr w14:val="tx1"/>
            </w14:solidFill>
          </w14:textFill>
        </w:rPr>
        <w:t>附件一：</w:t>
      </w:r>
      <w:bookmarkEnd w:id="66"/>
      <w:bookmarkEnd w:id="67"/>
      <w:bookmarkEnd w:id="68"/>
    </w:p>
    <w:p w14:paraId="22A8DD24">
      <w:pPr>
        <w:autoSpaceDE w:val="0"/>
        <w:autoSpaceDN w:val="0"/>
        <w:adjustRightInd w:val="0"/>
        <w:spacing w:line="400" w:lineRule="exact"/>
        <w:jc w:val="center"/>
        <w:rPr>
          <w:rFonts w:ascii="仿宋_GB2312" w:hAnsi="仿宋_GB2312" w:eastAsia="仿宋_GB2312" w:cs="仿宋_GB2312"/>
          <w:b/>
          <w:color w:val="000000" w:themeColor="text1"/>
          <w:sz w:val="30"/>
          <w:szCs w:val="30"/>
          <w:highlight w:val="none"/>
          <w14:textFill>
            <w14:solidFill>
              <w14:schemeClr w14:val="tx1"/>
            </w14:solidFill>
          </w14:textFill>
        </w:rPr>
      </w:pPr>
      <w:r>
        <w:rPr>
          <w:rFonts w:hint="eastAsia" w:ascii="仿宋_GB2312" w:hAnsi="仿宋_GB2312" w:eastAsia="仿宋_GB2312" w:cs="仿宋_GB2312"/>
          <w:b/>
          <w:color w:val="000000" w:themeColor="text1"/>
          <w:sz w:val="30"/>
          <w:szCs w:val="30"/>
          <w:highlight w:val="none"/>
          <w14:textFill>
            <w14:solidFill>
              <w14:schemeClr w14:val="tx1"/>
            </w14:solidFill>
          </w14:textFill>
        </w:rPr>
        <w:t>授权委托书</w:t>
      </w:r>
    </w:p>
    <w:p w14:paraId="7EF0B586">
      <w:pPr>
        <w:autoSpaceDE w:val="0"/>
        <w:autoSpaceDN w:val="0"/>
        <w:adjustRightInd w:val="0"/>
        <w:spacing w:line="400" w:lineRule="exact"/>
        <w:rPr>
          <w:rFonts w:ascii="仿宋_GB2312" w:hAnsi="仿宋_GB2312" w:eastAsia="仿宋_GB2312" w:cs="仿宋_GB2312"/>
          <w:b/>
          <w:color w:val="000000" w:themeColor="text1"/>
          <w:sz w:val="24"/>
          <w:szCs w:val="24"/>
          <w:highlight w:val="none"/>
          <w14:textFill>
            <w14:solidFill>
              <w14:schemeClr w14:val="tx1"/>
            </w14:solidFill>
          </w14:textFill>
        </w:rPr>
      </w:pPr>
    </w:p>
    <w:p w14:paraId="4D5633C0">
      <w:pPr>
        <w:autoSpaceDE w:val="0"/>
        <w:autoSpaceDN w:val="0"/>
        <w:adjustRightInd w:val="0"/>
        <w:spacing w:line="400" w:lineRule="exact"/>
        <w:ind w:firstLine="482" w:firstLineChars="200"/>
        <w:jc w:val="left"/>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b/>
          <w:color w:val="000000" w:themeColor="text1"/>
          <w:sz w:val="24"/>
          <w:szCs w:val="24"/>
          <w:highlight w:val="none"/>
          <w14:textFill>
            <w14:solidFill>
              <w14:schemeClr w14:val="tx1"/>
            </w14:solidFill>
          </w14:textFill>
        </w:rPr>
        <w:t>本授权委托书声明：</w:t>
      </w:r>
      <w:r>
        <w:rPr>
          <w:rFonts w:hint="eastAsia" w:ascii="仿宋_GB2312" w:hAnsi="仿宋_GB2312" w:eastAsia="仿宋_GB2312" w:cs="仿宋_GB2312"/>
          <w:color w:val="000000" w:themeColor="text1"/>
          <w:sz w:val="24"/>
          <w:szCs w:val="24"/>
          <w:highlight w:val="none"/>
          <w14:textFill>
            <w14:solidFill>
              <w14:schemeClr w14:val="tx1"/>
            </w14:solidFill>
          </w14:textFill>
        </w:rPr>
        <w:t>我</w:t>
      </w:r>
      <w:permStart w:id="85" w:edGrp="everyone"/>
      <w:r>
        <w:rPr>
          <w:rFonts w:hint="eastAsia" w:ascii="仿宋_GB2312" w:hAnsi="仿宋_GB2312" w:eastAsia="仿宋_GB2312" w:cs="仿宋_GB2312"/>
          <w:color w:val="000000" w:themeColor="text1"/>
          <w:sz w:val="24"/>
          <w:szCs w:val="24"/>
          <w:highlight w:val="none"/>
          <w:u w:val="single"/>
          <w14:textFill>
            <w14:solidFill>
              <w14:schemeClr w14:val="tx1"/>
            </w14:solidFill>
          </w14:textFill>
        </w:rPr>
        <w:t xml:space="preserve">      </w:t>
      </w:r>
      <w:permEnd w:id="85"/>
      <w:r>
        <w:rPr>
          <w:rFonts w:hint="eastAsia" w:ascii="仿宋_GB2312" w:hAnsi="仿宋_GB2312" w:eastAsia="仿宋_GB2312" w:cs="仿宋_GB2312"/>
          <w:color w:val="000000" w:themeColor="text1"/>
          <w:sz w:val="24"/>
          <w:szCs w:val="24"/>
          <w:highlight w:val="none"/>
          <w14:textFill>
            <w14:solidFill>
              <w14:schemeClr w14:val="tx1"/>
            </w14:solidFill>
          </w14:textFill>
        </w:rPr>
        <w:t>（身份证号：</w:t>
      </w:r>
      <w:permStart w:id="86" w:edGrp="everyone"/>
      <w:r>
        <w:rPr>
          <w:rFonts w:hint="eastAsia" w:ascii="仿宋_GB2312" w:hAnsi="仿宋_GB2312" w:eastAsia="仿宋_GB2312" w:cs="仿宋_GB2312"/>
          <w:color w:val="000000" w:themeColor="text1"/>
          <w:sz w:val="24"/>
          <w:szCs w:val="24"/>
          <w:highlight w:val="none"/>
          <w:u w:val="single"/>
          <w14:textFill>
            <w14:solidFill>
              <w14:schemeClr w14:val="tx1"/>
            </w14:solidFill>
          </w14:textFill>
        </w:rPr>
        <w:t xml:space="preserve">      </w:t>
      </w:r>
      <w:permEnd w:id="86"/>
      <w:r>
        <w:rPr>
          <w:rFonts w:hint="eastAsia" w:ascii="仿宋_GB2312" w:hAnsi="仿宋_GB2312" w:eastAsia="仿宋_GB2312" w:cs="仿宋_GB2312"/>
          <w:color w:val="000000" w:themeColor="text1"/>
          <w:sz w:val="24"/>
          <w:szCs w:val="24"/>
          <w:highlight w:val="none"/>
          <w14:textFill>
            <w14:solidFill>
              <w14:schemeClr w14:val="tx1"/>
            </w14:solidFill>
          </w14:textFill>
        </w:rPr>
        <w:t>）系</w:t>
      </w:r>
      <w:permStart w:id="87" w:edGrp="everyone"/>
      <w:r>
        <w:rPr>
          <w:rFonts w:hint="eastAsia" w:ascii="仿宋_GB2312" w:hAnsi="仿宋_GB2312" w:eastAsia="仿宋_GB2312" w:cs="仿宋_GB2312"/>
          <w:color w:val="000000" w:themeColor="text1"/>
          <w:sz w:val="24"/>
          <w:szCs w:val="24"/>
          <w:highlight w:val="none"/>
          <w:u w:val="single"/>
          <w14:textFill>
            <w14:solidFill>
              <w14:schemeClr w14:val="tx1"/>
            </w14:solidFill>
          </w14:textFill>
        </w:rPr>
        <w:t xml:space="preserve">      </w:t>
      </w:r>
      <w:permEnd w:id="87"/>
      <w:r>
        <w:rPr>
          <w:rFonts w:hint="eastAsia" w:ascii="仿宋_GB2312" w:hAnsi="仿宋_GB2312" w:eastAsia="仿宋_GB2312" w:cs="仿宋_GB2312"/>
          <w:color w:val="000000" w:themeColor="text1"/>
          <w:sz w:val="24"/>
          <w:szCs w:val="24"/>
          <w:highlight w:val="none"/>
          <w14:textFill>
            <w14:solidFill>
              <w14:schemeClr w14:val="tx1"/>
            </w14:solidFill>
          </w14:textFill>
        </w:rPr>
        <w:t>公司（乙方）的法定代表人，现授权委托</w:t>
      </w:r>
      <w:permStart w:id="88" w:edGrp="everyone"/>
      <w:r>
        <w:rPr>
          <w:rFonts w:hint="eastAsia" w:ascii="仿宋_GB2312" w:hAnsi="仿宋_GB2312" w:eastAsia="仿宋_GB2312" w:cs="仿宋_GB2312"/>
          <w:color w:val="000000" w:themeColor="text1"/>
          <w:sz w:val="24"/>
          <w:szCs w:val="24"/>
          <w:highlight w:val="none"/>
          <w:u w:val="single"/>
          <w14:textFill>
            <w14:solidFill>
              <w14:schemeClr w14:val="tx1"/>
            </w14:solidFill>
          </w14:textFill>
        </w:rPr>
        <w:t xml:space="preserve">      </w:t>
      </w:r>
      <w:permEnd w:id="88"/>
      <w:r>
        <w:rPr>
          <w:rFonts w:hint="eastAsia" w:ascii="仿宋_GB2312" w:hAnsi="仿宋_GB2312" w:eastAsia="仿宋_GB2312" w:cs="仿宋_GB2312"/>
          <w:color w:val="000000" w:themeColor="text1"/>
          <w:sz w:val="24"/>
          <w:szCs w:val="24"/>
          <w:highlight w:val="none"/>
          <w14:textFill>
            <w14:solidFill>
              <w14:schemeClr w14:val="tx1"/>
            </w14:solidFill>
          </w14:textFill>
        </w:rPr>
        <w:t>（身份证号：</w:t>
      </w:r>
      <w:permStart w:id="89" w:edGrp="everyone"/>
      <w:r>
        <w:rPr>
          <w:rFonts w:hint="eastAsia" w:ascii="仿宋_GB2312" w:hAnsi="仿宋_GB2312" w:eastAsia="仿宋_GB2312" w:cs="仿宋_GB2312"/>
          <w:color w:val="000000" w:themeColor="text1"/>
          <w:sz w:val="24"/>
          <w:szCs w:val="24"/>
          <w:highlight w:val="none"/>
          <w:u w:val="single"/>
          <w14:textFill>
            <w14:solidFill>
              <w14:schemeClr w14:val="tx1"/>
            </w14:solidFill>
          </w14:textFill>
        </w:rPr>
        <w:t xml:space="preserve">      </w:t>
      </w:r>
      <w:permEnd w:id="89"/>
      <w:r>
        <w:rPr>
          <w:rFonts w:hint="eastAsia" w:ascii="仿宋_GB2312" w:hAnsi="仿宋_GB2312" w:eastAsia="仿宋_GB2312" w:cs="仿宋_GB2312"/>
          <w:color w:val="000000" w:themeColor="text1"/>
          <w:sz w:val="24"/>
          <w:szCs w:val="24"/>
          <w:highlight w:val="none"/>
          <w14:textFill>
            <w14:solidFill>
              <w14:schemeClr w14:val="tx1"/>
            </w14:solidFill>
          </w14:textFill>
        </w:rPr>
        <w:t>）为我公司合法的代理人。以本公司的名义负责</w:t>
      </w:r>
      <w:permStart w:id="90" w:edGrp="everyone"/>
      <w:r>
        <w:rPr>
          <w:rFonts w:hint="eastAsia" w:ascii="仿宋_GB2312" w:hAnsi="仿宋_GB2312" w:eastAsia="仿宋_GB2312" w:cs="仿宋_GB2312"/>
          <w:color w:val="000000" w:themeColor="text1"/>
          <w:sz w:val="24"/>
          <w:szCs w:val="24"/>
          <w:highlight w:val="none"/>
          <w:u w:val="single"/>
          <w14:textFill>
            <w14:solidFill>
              <w14:schemeClr w14:val="tx1"/>
            </w14:solidFill>
          </w14:textFill>
        </w:rPr>
        <w:t xml:space="preserve"> 堆巴村公路改建工程 </w:t>
      </w:r>
      <w:permEnd w:id="90"/>
      <w:r>
        <w:rPr>
          <w:rFonts w:hint="eastAsia" w:ascii="仿宋_GB2312" w:hAnsi="仿宋_GB2312" w:eastAsia="仿宋_GB2312" w:cs="仿宋_GB2312"/>
          <w:color w:val="000000" w:themeColor="text1"/>
          <w:sz w:val="24"/>
          <w:szCs w:val="24"/>
          <w:highlight w:val="none"/>
          <w14:textFill>
            <w14:solidFill>
              <w14:schemeClr w14:val="tx1"/>
            </w14:solidFill>
          </w14:textFill>
        </w:rPr>
        <w:t>项目</w:t>
      </w:r>
      <w:r>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t>响应</w:t>
      </w:r>
      <w:r>
        <w:rPr>
          <w:rFonts w:hint="eastAsia" w:ascii="仿宋_GB2312" w:hAnsi="仿宋_GB2312" w:eastAsia="仿宋_GB2312" w:cs="仿宋_GB2312"/>
          <w:color w:val="000000" w:themeColor="text1"/>
          <w:sz w:val="24"/>
          <w:szCs w:val="24"/>
          <w:highlight w:val="none"/>
          <w14:textFill>
            <w14:solidFill>
              <w14:schemeClr w14:val="tx1"/>
            </w14:solidFill>
          </w14:textFill>
        </w:rPr>
        <w:t>、合同签署及合同履行等事宜。</w:t>
      </w:r>
    </w:p>
    <w:p w14:paraId="199108A4">
      <w:pPr>
        <w:autoSpaceDE w:val="0"/>
        <w:autoSpaceDN w:val="0"/>
        <w:adjustRightInd w:val="0"/>
        <w:spacing w:line="400" w:lineRule="exact"/>
        <w:ind w:firstLine="480" w:firstLineChars="200"/>
        <w:jc w:val="left"/>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代理人在合同履行过程中所签署的一切文件和处理与之有关的一切事务，包括但不限于签署往来函件、签署会议纪要、货物供应、结算办理、</w:t>
      </w:r>
      <w:r>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t>货</w:t>
      </w:r>
      <w:r>
        <w:rPr>
          <w:rFonts w:hint="eastAsia" w:ascii="仿宋_GB2312" w:hAnsi="仿宋_GB2312" w:eastAsia="仿宋_GB2312" w:cs="仿宋_GB2312"/>
          <w:color w:val="000000" w:themeColor="text1"/>
          <w:sz w:val="24"/>
          <w:szCs w:val="24"/>
          <w:highlight w:val="none"/>
          <w14:textFill>
            <w14:solidFill>
              <w14:schemeClr w14:val="tx1"/>
            </w14:solidFill>
          </w14:textFill>
        </w:rPr>
        <w:t>款的收取、发票开具等</w:t>
      </w:r>
      <w:r>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t>处理与此有关的经济事务及函件往来</w:t>
      </w:r>
      <w:r>
        <w:rPr>
          <w:rFonts w:hint="eastAsia" w:ascii="仿宋_GB2312" w:hAnsi="仿宋_GB2312" w:eastAsia="仿宋_GB2312" w:cs="仿宋_GB2312"/>
          <w:color w:val="000000" w:themeColor="text1"/>
          <w:sz w:val="24"/>
          <w:szCs w:val="24"/>
          <w:highlight w:val="none"/>
          <w14:textFill>
            <w14:solidFill>
              <w14:schemeClr w14:val="tx1"/>
            </w14:solidFill>
          </w14:textFill>
        </w:rPr>
        <w:t>均具有法律效力，授权人均予以认可。</w:t>
      </w:r>
    </w:p>
    <w:p w14:paraId="4CB806F8">
      <w:pPr>
        <w:keepNext/>
        <w:keepLines/>
        <w:spacing w:line="400" w:lineRule="exact"/>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本授权委托的期限为自</w:t>
      </w:r>
      <w:permStart w:id="91" w:edGrp="everyone"/>
      <w:r>
        <w:rPr>
          <w:rFonts w:hint="eastAsia" w:ascii="仿宋_GB2312" w:hAnsi="仿宋_GB2312" w:eastAsia="仿宋_GB2312" w:cs="仿宋_GB2312"/>
          <w:color w:val="000000" w:themeColor="text1"/>
          <w:sz w:val="24"/>
          <w:szCs w:val="24"/>
          <w:highlight w:val="none"/>
          <w:u w:val="single"/>
          <w14:textFill>
            <w14:solidFill>
              <w14:schemeClr w14:val="tx1"/>
            </w14:solidFill>
          </w14:textFill>
        </w:rPr>
        <w:t xml:space="preserve">      </w:t>
      </w:r>
      <w:permEnd w:id="91"/>
      <w:r>
        <w:rPr>
          <w:rFonts w:hint="eastAsia" w:ascii="仿宋_GB2312" w:hAnsi="仿宋_GB2312" w:eastAsia="仿宋_GB2312" w:cs="仿宋_GB2312"/>
          <w:color w:val="000000" w:themeColor="text1"/>
          <w:sz w:val="24"/>
          <w:szCs w:val="24"/>
          <w:highlight w:val="none"/>
          <w14:textFill>
            <w14:solidFill>
              <w14:schemeClr w14:val="tx1"/>
            </w14:solidFill>
          </w14:textFill>
        </w:rPr>
        <w:t>年</w:t>
      </w:r>
      <w:permStart w:id="92" w:edGrp="everyone"/>
      <w:r>
        <w:rPr>
          <w:rFonts w:hint="eastAsia" w:ascii="仿宋_GB2312" w:hAnsi="仿宋_GB2312" w:eastAsia="仿宋_GB2312" w:cs="仿宋_GB2312"/>
          <w:color w:val="000000" w:themeColor="text1"/>
          <w:sz w:val="24"/>
          <w:szCs w:val="24"/>
          <w:highlight w:val="none"/>
          <w:u w:val="single"/>
          <w14:textFill>
            <w14:solidFill>
              <w14:schemeClr w14:val="tx1"/>
            </w14:solidFill>
          </w14:textFill>
        </w:rPr>
        <w:t xml:space="preserve">     </w:t>
      </w:r>
      <w:permEnd w:id="92"/>
      <w:r>
        <w:rPr>
          <w:rFonts w:hint="eastAsia" w:ascii="仿宋_GB2312" w:hAnsi="仿宋_GB2312" w:eastAsia="仿宋_GB2312" w:cs="仿宋_GB2312"/>
          <w:color w:val="000000" w:themeColor="text1"/>
          <w:sz w:val="24"/>
          <w:szCs w:val="24"/>
          <w:highlight w:val="none"/>
          <w14:textFill>
            <w14:solidFill>
              <w14:schemeClr w14:val="tx1"/>
            </w14:solidFill>
          </w14:textFill>
        </w:rPr>
        <w:t>月</w:t>
      </w:r>
      <w:permStart w:id="93" w:edGrp="everyone"/>
      <w:r>
        <w:rPr>
          <w:rFonts w:hint="eastAsia" w:ascii="仿宋_GB2312" w:hAnsi="仿宋_GB2312" w:eastAsia="仿宋_GB2312" w:cs="仿宋_GB2312"/>
          <w:color w:val="000000" w:themeColor="text1"/>
          <w:sz w:val="24"/>
          <w:szCs w:val="24"/>
          <w:highlight w:val="none"/>
          <w:u w:val="single"/>
          <w14:textFill>
            <w14:solidFill>
              <w14:schemeClr w14:val="tx1"/>
            </w14:solidFill>
          </w14:textFill>
        </w:rPr>
        <w:t xml:space="preserve">     </w:t>
      </w:r>
      <w:permEnd w:id="93"/>
      <w:r>
        <w:rPr>
          <w:rFonts w:hint="eastAsia" w:ascii="仿宋_GB2312" w:hAnsi="仿宋_GB2312" w:eastAsia="仿宋_GB2312" w:cs="仿宋_GB2312"/>
          <w:color w:val="000000" w:themeColor="text1"/>
          <w:sz w:val="24"/>
          <w:szCs w:val="24"/>
          <w:highlight w:val="none"/>
          <w14:textFill>
            <w14:solidFill>
              <w14:schemeClr w14:val="tx1"/>
            </w14:solidFill>
          </w14:textFill>
        </w:rPr>
        <w:t>日至</w:t>
      </w:r>
      <w:permStart w:id="94" w:edGrp="everyone"/>
      <w:r>
        <w:rPr>
          <w:rFonts w:hint="eastAsia" w:ascii="仿宋_GB2312" w:hAnsi="仿宋_GB2312" w:eastAsia="仿宋_GB2312" w:cs="仿宋_GB2312"/>
          <w:color w:val="000000" w:themeColor="text1"/>
          <w:sz w:val="24"/>
          <w:szCs w:val="24"/>
          <w:highlight w:val="none"/>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highlight w:val="none"/>
          <w14:textFill>
            <w14:solidFill>
              <w14:schemeClr w14:val="tx1"/>
            </w14:solidFill>
          </w14:textFill>
        </w:rPr>
        <w:t>年</w:t>
      </w:r>
      <w:r>
        <w:rPr>
          <w:rFonts w:hint="eastAsia" w:ascii="仿宋_GB2312" w:hAnsi="仿宋_GB2312" w:eastAsia="仿宋_GB2312" w:cs="仿宋_GB2312"/>
          <w:color w:val="000000" w:themeColor="text1"/>
          <w:sz w:val="24"/>
          <w:szCs w:val="24"/>
          <w:highlight w:val="none"/>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highlight w:val="none"/>
          <w14:textFill>
            <w14:solidFill>
              <w14:schemeClr w14:val="tx1"/>
            </w14:solidFill>
          </w14:textFill>
        </w:rPr>
        <w:t>月</w:t>
      </w:r>
      <w:r>
        <w:rPr>
          <w:rFonts w:hint="eastAsia" w:ascii="仿宋_GB2312" w:hAnsi="仿宋_GB2312" w:eastAsia="仿宋_GB2312" w:cs="仿宋_GB2312"/>
          <w:color w:val="000000" w:themeColor="text1"/>
          <w:sz w:val="24"/>
          <w:szCs w:val="24"/>
          <w:highlight w:val="none"/>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highlight w:val="none"/>
          <w14:textFill>
            <w14:solidFill>
              <w14:schemeClr w14:val="tx1"/>
            </w14:solidFill>
          </w14:textFill>
        </w:rPr>
        <w:t>日</w:t>
      </w:r>
      <w:permEnd w:id="94"/>
      <w:r>
        <w:rPr>
          <w:rFonts w:hint="eastAsia" w:ascii="仿宋_GB2312" w:hAnsi="仿宋_GB2312" w:eastAsia="仿宋_GB2312" w:cs="仿宋_GB2312"/>
          <w:color w:val="000000" w:themeColor="text1"/>
          <w:sz w:val="24"/>
          <w:szCs w:val="24"/>
          <w:highlight w:val="none"/>
          <w14:textFill>
            <w14:solidFill>
              <w14:schemeClr w14:val="tx1"/>
            </w14:solidFill>
          </w14:textFill>
        </w:rPr>
        <w:t>。</w:t>
      </w:r>
    </w:p>
    <w:p w14:paraId="70268024">
      <w:pPr>
        <w:spacing w:line="400" w:lineRule="exact"/>
        <w:ind w:firstLine="480" w:firstLineChars="200"/>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代理人无转委托权。</w:t>
      </w:r>
    </w:p>
    <w:p w14:paraId="37CE0930">
      <w:pPr>
        <w:spacing w:line="400" w:lineRule="exact"/>
        <w:ind w:firstLine="480" w:firstLineChars="200"/>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特此授权。</w:t>
      </w:r>
    </w:p>
    <w:p w14:paraId="63EB6D37">
      <w:pPr>
        <w:spacing w:line="400" w:lineRule="exact"/>
        <w:ind w:firstLine="480" w:firstLineChars="200"/>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                                    委托单位全称（公章）：          </w:t>
      </w:r>
    </w:p>
    <w:p w14:paraId="28996E1C">
      <w:pPr>
        <w:spacing w:line="400" w:lineRule="exact"/>
        <w:ind w:firstLine="480" w:firstLineChars="200"/>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                                    法定代表人：</w:t>
      </w:r>
    </w:p>
    <w:p w14:paraId="651633DD">
      <w:pPr>
        <w:spacing w:line="400" w:lineRule="exact"/>
        <w:ind w:firstLine="480" w:firstLineChars="200"/>
        <w:jc w:val="right"/>
        <w:rPr>
          <w:rFonts w:ascii="仿宋_GB2312" w:hAnsi="仿宋_GB2312" w:eastAsia="仿宋_GB2312" w:cs="仿宋_GB2312"/>
          <w:b/>
          <w:color w:val="000000" w:themeColor="text1"/>
          <w:sz w:val="24"/>
          <w:szCs w:val="24"/>
          <w:highlight w:val="none"/>
          <w14:textFill>
            <w14:solidFill>
              <w14:schemeClr w14:val="tx1"/>
            </w14:solidFill>
          </w14:textFill>
        </w:rPr>
      </w:pPr>
      <w:permStart w:id="95" w:edGrp="everyone"/>
      <w:r>
        <w:rPr>
          <w:rFonts w:hint="eastAsia" w:ascii="仿宋_GB2312" w:hAnsi="仿宋_GB2312" w:eastAsia="仿宋_GB2312" w:cs="仿宋_GB2312"/>
          <w:color w:val="000000" w:themeColor="text1"/>
          <w:sz w:val="24"/>
          <w:szCs w:val="24"/>
          <w:highlight w:val="none"/>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highlight w:val="none"/>
          <w14:textFill>
            <w14:solidFill>
              <w14:schemeClr w14:val="tx1"/>
            </w14:solidFill>
          </w14:textFill>
        </w:rPr>
        <w:t>年</w:t>
      </w:r>
      <w:r>
        <w:rPr>
          <w:rFonts w:hint="eastAsia" w:ascii="仿宋_GB2312" w:hAnsi="仿宋_GB2312" w:eastAsia="仿宋_GB2312" w:cs="仿宋_GB2312"/>
          <w:color w:val="000000" w:themeColor="text1"/>
          <w:sz w:val="24"/>
          <w:szCs w:val="24"/>
          <w:highlight w:val="none"/>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highlight w:val="none"/>
          <w14:textFill>
            <w14:solidFill>
              <w14:schemeClr w14:val="tx1"/>
            </w14:solidFill>
          </w14:textFill>
        </w:rPr>
        <w:t>月</w:t>
      </w:r>
      <w:r>
        <w:rPr>
          <w:rFonts w:hint="eastAsia" w:ascii="仿宋_GB2312" w:hAnsi="仿宋_GB2312" w:eastAsia="仿宋_GB2312" w:cs="仿宋_GB2312"/>
          <w:color w:val="000000" w:themeColor="text1"/>
          <w:sz w:val="24"/>
          <w:szCs w:val="24"/>
          <w:highlight w:val="none"/>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日 </w:t>
      </w:r>
      <w:permEnd w:id="95"/>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    </w:t>
      </w:r>
      <w:r>
        <w:rPr>
          <w:rFonts w:hint="eastAsia" w:ascii="仿宋_GB2312" w:hAnsi="仿宋_GB2312" w:eastAsia="仿宋_GB2312" w:cs="仿宋_GB2312"/>
          <w:b/>
          <w:color w:val="000000" w:themeColor="text1"/>
          <w:sz w:val="24"/>
          <w:szCs w:val="24"/>
          <w:highlight w:val="none"/>
          <w14:textFill>
            <w14:solidFill>
              <w14:schemeClr w14:val="tx1"/>
            </w14:solidFill>
          </w14:textFill>
        </w:rPr>
        <w:t xml:space="preserve"> </w:t>
      </w:r>
    </w:p>
    <w:p w14:paraId="36D111C6">
      <w:pPr>
        <w:spacing w:before="120" w:beforeLines="50" w:after="120" w:afterLines="50" w:line="400" w:lineRule="exact"/>
        <w:ind w:firstLine="482" w:firstLineChars="200"/>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b/>
          <w:color w:val="000000" w:themeColor="text1"/>
          <w:sz w:val="24"/>
          <w:szCs w:val="24"/>
          <w:highlight w:val="none"/>
          <w14:textFill>
            <w14:solidFill>
              <w14:schemeClr w14:val="tx1"/>
            </w14:solidFill>
          </w14:textFill>
        </w:rPr>
        <w:t>代理人声明</w:t>
      </w:r>
      <w:r>
        <w:rPr>
          <w:rFonts w:hint="eastAsia" w:ascii="仿宋_GB2312" w:hAnsi="仿宋_GB2312" w:eastAsia="仿宋_GB2312" w:cs="仿宋_GB2312"/>
          <w:color w:val="000000" w:themeColor="text1"/>
          <w:sz w:val="24"/>
          <w:szCs w:val="24"/>
          <w:highlight w:val="none"/>
          <w14:textFill>
            <w14:solidFill>
              <w14:schemeClr w14:val="tx1"/>
            </w14:solidFill>
          </w14:textFill>
        </w:rPr>
        <w:t>：我对以上授权委托事项完全接受，自愿履行。</w:t>
      </w:r>
    </w:p>
    <w:p w14:paraId="0D03E0F3">
      <w:pPr>
        <w:spacing w:line="400" w:lineRule="exact"/>
        <w:ind w:firstLine="480" w:firstLineChars="200"/>
        <w:jc w:val="center"/>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                           代理人（本人签字）：</w:t>
      </w:r>
    </w:p>
    <w:p w14:paraId="0DA4503C">
      <w:pPr>
        <w:spacing w:line="400" w:lineRule="exact"/>
        <w:ind w:firstLine="480" w:firstLineChars="200"/>
        <w:jc w:val="right"/>
        <w:rPr>
          <w:rFonts w:ascii="仿宋_GB2312" w:hAnsi="仿宋_GB2312" w:eastAsia="仿宋_GB2312" w:cs="仿宋_GB2312"/>
          <w:color w:val="000000" w:themeColor="text1"/>
          <w:sz w:val="24"/>
          <w:szCs w:val="24"/>
          <w:highlight w:val="none"/>
          <w14:textFill>
            <w14:solidFill>
              <w14:schemeClr w14:val="tx1"/>
            </w14:solidFill>
          </w14:textFill>
        </w:rPr>
      </w:pPr>
      <w:permStart w:id="96" w:edGrp="everyone"/>
      <w:r>
        <w:rPr>
          <w:rFonts w:hint="eastAsia" w:ascii="仿宋_GB2312" w:hAnsi="仿宋_GB2312" w:eastAsia="仿宋_GB2312" w:cs="仿宋_GB2312"/>
          <w:color w:val="000000" w:themeColor="text1"/>
          <w:sz w:val="24"/>
          <w:szCs w:val="24"/>
          <w:highlight w:val="none"/>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highlight w:val="none"/>
          <w14:textFill>
            <w14:solidFill>
              <w14:schemeClr w14:val="tx1"/>
            </w14:solidFill>
          </w14:textFill>
        </w:rPr>
        <w:t>年</w:t>
      </w:r>
      <w:r>
        <w:rPr>
          <w:rFonts w:hint="eastAsia" w:ascii="仿宋_GB2312" w:hAnsi="仿宋_GB2312" w:eastAsia="仿宋_GB2312" w:cs="仿宋_GB2312"/>
          <w:color w:val="000000" w:themeColor="text1"/>
          <w:sz w:val="24"/>
          <w:szCs w:val="24"/>
          <w:highlight w:val="none"/>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highlight w:val="none"/>
          <w14:textFill>
            <w14:solidFill>
              <w14:schemeClr w14:val="tx1"/>
            </w14:solidFill>
          </w14:textFill>
        </w:rPr>
        <w:t>月</w:t>
      </w:r>
      <w:r>
        <w:rPr>
          <w:rFonts w:hint="eastAsia" w:ascii="仿宋_GB2312" w:hAnsi="仿宋_GB2312" w:eastAsia="仿宋_GB2312" w:cs="仿宋_GB2312"/>
          <w:color w:val="000000" w:themeColor="text1"/>
          <w:sz w:val="24"/>
          <w:szCs w:val="24"/>
          <w:highlight w:val="none"/>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highlight w:val="none"/>
          <w14:textFill>
            <w14:solidFill>
              <w14:schemeClr w14:val="tx1"/>
            </w14:solidFill>
          </w14:textFill>
        </w:rPr>
        <w:t>日</w:t>
      </w:r>
      <w:permEnd w:id="96"/>
    </w:p>
    <w:tbl>
      <w:tblPr>
        <w:tblStyle w:val="9"/>
        <w:tblpPr w:leftFromText="180" w:rightFromText="180" w:vertAnchor="text" w:horzAnchor="page" w:tblpX="1551" w:tblpY="508"/>
        <w:tblOverlap w:val="never"/>
        <w:tblW w:w="90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70"/>
        <w:gridCol w:w="4560"/>
      </w:tblGrid>
      <w:tr w14:paraId="615AB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3" w:hRule="atLeast"/>
        </w:trPr>
        <w:tc>
          <w:tcPr>
            <w:tcW w:w="4470" w:type="dxa"/>
            <w:tcBorders>
              <w:right w:val="single" w:color="000000" w:sz="4" w:space="0"/>
            </w:tcBorders>
            <w:vAlign w:val="center"/>
          </w:tcPr>
          <w:p w14:paraId="30641724">
            <w:pPr>
              <w:autoSpaceDE w:val="0"/>
              <w:autoSpaceDN w:val="0"/>
              <w:adjustRightInd w:val="0"/>
              <w:spacing w:line="400" w:lineRule="exact"/>
              <w:jc w:val="center"/>
              <w:rPr>
                <w:rFonts w:hint="default" w:ascii="仿宋_GB2312" w:hAnsi="仿宋_GB2312" w:eastAsia="仿宋_GB2312" w:cs="仿宋_GB2312"/>
                <w:color w:val="000000" w:themeColor="text1"/>
                <w:sz w:val="24"/>
                <w:szCs w:val="24"/>
                <w:highlight w:val="none"/>
                <w:lang w:val="en-US" w:eastAsia="zh-CN"/>
                <w14:textFill>
                  <w14:solidFill>
                    <w14:schemeClr w14:val="tx1"/>
                  </w14:solidFill>
                </w14:textFill>
              </w:rPr>
            </w:pPr>
            <w:permStart w:id="97" w:edGrp="everyone"/>
            <w:r>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t>正面</w:t>
            </w:r>
          </w:p>
        </w:tc>
        <w:tc>
          <w:tcPr>
            <w:tcW w:w="4560" w:type="dxa"/>
            <w:tcBorders>
              <w:left w:val="single" w:color="000000" w:sz="4" w:space="0"/>
            </w:tcBorders>
            <w:vAlign w:val="center"/>
          </w:tcPr>
          <w:p w14:paraId="2A64513D">
            <w:pPr>
              <w:autoSpaceDE w:val="0"/>
              <w:autoSpaceDN w:val="0"/>
              <w:adjustRightInd w:val="0"/>
              <w:spacing w:line="400" w:lineRule="exact"/>
              <w:ind w:firstLine="1920" w:firstLineChars="800"/>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t>背面</w:t>
            </w:r>
          </w:p>
        </w:tc>
      </w:tr>
      <w:permEnd w:id="97"/>
    </w:tbl>
    <w:p w14:paraId="3A3D4E58">
      <w:pPr>
        <w:spacing w:line="400" w:lineRule="exact"/>
        <w:ind w:firstLine="482" w:firstLineChars="200"/>
        <w:rPr>
          <w:rFonts w:ascii="仿宋_GB2312" w:hAnsi="仿宋_GB2312" w:eastAsia="仿宋_GB2312" w:cs="仿宋_GB2312"/>
          <w:b/>
          <w:color w:val="000000" w:themeColor="text1"/>
          <w:sz w:val="24"/>
          <w:szCs w:val="24"/>
          <w:highlight w:val="none"/>
          <w14:textFill>
            <w14:solidFill>
              <w14:schemeClr w14:val="tx1"/>
            </w14:solidFill>
          </w14:textFill>
        </w:rPr>
      </w:pPr>
      <w:r>
        <w:rPr>
          <w:rFonts w:hint="eastAsia" w:ascii="仿宋_GB2312" w:hAnsi="仿宋_GB2312" w:eastAsia="仿宋_GB2312" w:cs="仿宋_GB2312"/>
          <w:b/>
          <w:color w:val="000000" w:themeColor="text1"/>
          <w:sz w:val="24"/>
          <w:szCs w:val="24"/>
          <w:highlight w:val="none"/>
          <w:u w:val="dash"/>
          <w14:textFill>
            <w14:solidFill>
              <w14:schemeClr w14:val="tx1"/>
            </w14:solidFill>
          </w14:textFill>
        </w:rPr>
        <w:t>代理人身份证复印件粘贴处</w:t>
      </w:r>
      <w:r>
        <w:rPr>
          <w:rFonts w:hint="eastAsia" w:ascii="仿宋_GB2312" w:hAnsi="仿宋_GB2312" w:eastAsia="仿宋_GB2312" w:cs="仿宋_GB2312"/>
          <w:b/>
          <w:color w:val="000000" w:themeColor="text1"/>
          <w:sz w:val="24"/>
          <w:szCs w:val="24"/>
          <w:highlight w:val="none"/>
          <w14:textFill>
            <w14:solidFill>
              <w14:schemeClr w14:val="tx1"/>
            </w14:solidFill>
          </w14:textFill>
        </w:rPr>
        <w:t>：</w:t>
      </w:r>
    </w:p>
    <w:tbl>
      <w:tblPr>
        <w:tblStyle w:val="9"/>
        <w:tblpPr w:leftFromText="180" w:rightFromText="180" w:vertAnchor="text" w:horzAnchor="page" w:tblpX="1551" w:tblpY="3249"/>
        <w:tblOverlap w:val="never"/>
        <w:tblW w:w="90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85"/>
        <w:gridCol w:w="4530"/>
      </w:tblGrid>
      <w:tr w14:paraId="492F0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5" w:hRule="atLeast"/>
        </w:trPr>
        <w:tc>
          <w:tcPr>
            <w:tcW w:w="4485" w:type="dxa"/>
            <w:tcBorders>
              <w:right w:val="single" w:color="000000" w:sz="4" w:space="0"/>
            </w:tcBorders>
            <w:vAlign w:val="center"/>
          </w:tcPr>
          <w:p w14:paraId="4ABFA87A">
            <w:pPr>
              <w:autoSpaceDE w:val="0"/>
              <w:autoSpaceDN w:val="0"/>
              <w:adjustRightInd w:val="0"/>
              <w:spacing w:line="400" w:lineRule="exact"/>
              <w:jc w:val="center"/>
              <w:rPr>
                <w:rFonts w:hint="default" w:ascii="仿宋_GB2312" w:hAnsi="仿宋_GB2312" w:eastAsia="仿宋_GB2312" w:cs="仿宋_GB2312"/>
                <w:color w:val="000000" w:themeColor="text1"/>
                <w:sz w:val="24"/>
                <w:szCs w:val="24"/>
                <w:highlight w:val="none"/>
                <w:lang w:val="en-US" w:eastAsia="zh-CN"/>
                <w14:textFill>
                  <w14:solidFill>
                    <w14:schemeClr w14:val="tx1"/>
                  </w14:solidFill>
                </w14:textFill>
              </w:rPr>
            </w:pPr>
            <w:permStart w:id="98" w:edGrp="everyone"/>
            <w:r>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t>正面</w:t>
            </w:r>
          </w:p>
        </w:tc>
        <w:tc>
          <w:tcPr>
            <w:tcW w:w="4530" w:type="dxa"/>
            <w:tcBorders>
              <w:left w:val="single" w:color="000000" w:sz="4" w:space="0"/>
            </w:tcBorders>
            <w:vAlign w:val="center"/>
          </w:tcPr>
          <w:p w14:paraId="6619FC2E">
            <w:pPr>
              <w:autoSpaceDE w:val="0"/>
              <w:autoSpaceDN w:val="0"/>
              <w:adjustRightInd w:val="0"/>
              <w:spacing w:line="400" w:lineRule="exact"/>
              <w:ind w:firstLine="1920" w:firstLineChars="800"/>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t>背面</w:t>
            </w:r>
          </w:p>
        </w:tc>
      </w:tr>
      <w:permEnd w:id="98"/>
    </w:tbl>
    <w:p w14:paraId="0325FF7E">
      <w:pPr>
        <w:spacing w:line="400" w:lineRule="exact"/>
        <w:ind w:firstLine="482" w:firstLineChars="200"/>
        <w:rPr>
          <w:rFonts w:ascii="仿宋_GB2312" w:hAnsi="仿宋_GB2312" w:eastAsia="仿宋_GB2312" w:cs="仿宋_GB2312"/>
          <w:b/>
          <w:color w:val="000000" w:themeColor="text1"/>
          <w:sz w:val="24"/>
          <w:szCs w:val="24"/>
          <w:highlight w:val="none"/>
          <w:u w:val="dash"/>
          <w14:textFill>
            <w14:solidFill>
              <w14:schemeClr w14:val="tx1"/>
            </w14:solidFill>
          </w14:textFill>
        </w:rPr>
      </w:pPr>
      <w:r>
        <w:rPr>
          <w:rFonts w:hint="eastAsia" w:ascii="仿宋_GB2312" w:hAnsi="仿宋_GB2312" w:eastAsia="仿宋_GB2312" w:cs="仿宋_GB2312"/>
          <w:b/>
          <w:color w:val="000000" w:themeColor="text1"/>
          <w:sz w:val="24"/>
          <w:szCs w:val="24"/>
          <w:highlight w:val="none"/>
          <w:u w:val="dash"/>
          <w14:textFill>
            <w14:solidFill>
              <w14:schemeClr w14:val="tx1"/>
            </w14:solidFill>
          </w14:textFill>
        </w:rPr>
        <w:t>法定代表人身份证复印件粘贴处：</w:t>
      </w:r>
    </w:p>
    <w:p w14:paraId="5D409106">
      <w:pPr>
        <w:pStyle w:val="12"/>
        <w:spacing w:line="400" w:lineRule="exact"/>
        <w:ind w:firstLine="480" w:firstLineChars="200"/>
        <w:rPr>
          <w:rFonts w:ascii="仿宋_GB2312" w:hAnsi="仿宋_GB2312" w:eastAsia="仿宋_GB2312" w:cs="仿宋_GB2312"/>
          <w:color w:val="000000" w:themeColor="text1"/>
          <w:highlight w:val="none"/>
          <w14:textFill>
            <w14:solidFill>
              <w14:schemeClr w14:val="tx1"/>
            </w14:solidFill>
          </w14:textFill>
        </w:rPr>
        <w:sectPr>
          <w:pgSz w:w="11906" w:h="16838"/>
          <w:pgMar w:top="1440" w:right="1800" w:bottom="1440" w:left="1800" w:header="850" w:footer="975" w:gutter="0"/>
          <w:cols w:space="0" w:num="1"/>
          <w:docGrid w:linePitch="312" w:charSpace="0"/>
        </w:sectPr>
      </w:pPr>
    </w:p>
    <w:p w14:paraId="5AF9C604">
      <w:pPr>
        <w:spacing w:line="400" w:lineRule="exact"/>
        <w:ind w:right="210" w:rightChars="100"/>
        <w:outlineLvl w:val="0"/>
        <w:rPr>
          <w:rFonts w:ascii="仿宋_GB2312" w:hAnsi="仿宋_GB2312" w:eastAsia="仿宋_GB2312" w:cs="仿宋_GB2312"/>
          <w:color w:val="000000" w:themeColor="text1"/>
          <w:sz w:val="30"/>
          <w:szCs w:val="30"/>
          <w:highlight w:val="none"/>
          <w14:textFill>
            <w14:solidFill>
              <w14:schemeClr w14:val="tx1"/>
            </w14:solidFill>
          </w14:textFill>
        </w:rPr>
      </w:pPr>
      <w:bookmarkStart w:id="69" w:name="_Toc4519"/>
      <w:bookmarkStart w:id="70" w:name="_Toc16973"/>
      <w:bookmarkStart w:id="71" w:name="_Toc21254"/>
      <w:r>
        <w:rPr>
          <w:rFonts w:hint="eastAsia" w:ascii="仿宋_GB2312" w:hAnsi="仿宋_GB2312" w:eastAsia="仿宋_GB2312" w:cs="仿宋_GB2312"/>
          <w:color w:val="000000" w:themeColor="text1"/>
          <w:sz w:val="30"/>
          <w:szCs w:val="30"/>
          <w:highlight w:val="none"/>
          <w14:textFill>
            <w14:solidFill>
              <w14:schemeClr w14:val="tx1"/>
            </w14:solidFill>
          </w14:textFill>
        </w:rPr>
        <w:t>附件二：</w:t>
      </w:r>
      <w:bookmarkEnd w:id="69"/>
      <w:bookmarkEnd w:id="70"/>
      <w:bookmarkEnd w:id="71"/>
    </w:p>
    <w:p w14:paraId="60A16B4E">
      <w:pPr>
        <w:spacing w:line="400" w:lineRule="exact"/>
        <w:jc w:val="center"/>
        <w:rPr>
          <w:rFonts w:ascii="仿宋_GB2312" w:hAnsi="仿宋_GB2312" w:eastAsia="仿宋_GB2312" w:cs="仿宋_GB2312"/>
          <w:b/>
          <w:bCs/>
          <w:color w:val="000000" w:themeColor="text1"/>
          <w:sz w:val="30"/>
          <w:szCs w:val="30"/>
          <w:highlight w:val="none"/>
          <w14:textFill>
            <w14:solidFill>
              <w14:schemeClr w14:val="tx1"/>
            </w14:solidFill>
          </w14:textFill>
        </w:rPr>
      </w:pPr>
      <w:r>
        <w:rPr>
          <w:rFonts w:hint="eastAsia" w:ascii="仿宋_GB2312" w:hAnsi="仿宋_GB2312" w:eastAsia="仿宋_GB2312" w:cs="仿宋_GB2312"/>
          <w:b/>
          <w:bCs/>
          <w:color w:val="000000" w:themeColor="text1"/>
          <w:sz w:val="30"/>
          <w:szCs w:val="30"/>
          <w:highlight w:val="none"/>
          <w14:textFill>
            <w14:solidFill>
              <w14:schemeClr w14:val="tx1"/>
            </w14:solidFill>
          </w14:textFill>
        </w:rPr>
        <w:t>项目部合规权限告知书</w:t>
      </w:r>
    </w:p>
    <w:p w14:paraId="649FAF19">
      <w:pPr>
        <w:autoSpaceDE w:val="0"/>
        <w:autoSpaceDN w:val="0"/>
        <w:adjustRightInd w:val="0"/>
        <w:spacing w:before="240" w:beforeLines="100" w:line="400" w:lineRule="exact"/>
        <w:rPr>
          <w:rFonts w:hint="eastAsia" w:ascii="仿宋_GB2312" w:hAnsi="仿宋_GB2312" w:eastAsia="仿宋_GB2312" w:cs="仿宋_GB2312"/>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val="zh-CN"/>
          <w14:textFill>
            <w14:solidFill>
              <w14:schemeClr w14:val="tx1"/>
            </w14:solidFill>
          </w14:textFill>
        </w:rPr>
        <w:t>致：</w:t>
      </w:r>
      <w:permStart w:id="99" w:edGrp="everyone"/>
      <w:r>
        <w:rPr>
          <w:rFonts w:hint="eastAsia" w:ascii="仿宋_GB2312" w:hAnsi="仿宋_GB2312" w:eastAsia="仿宋_GB2312" w:cs="仿宋_GB2312"/>
          <w:color w:val="000000" w:themeColor="text1"/>
          <w:sz w:val="24"/>
          <w:szCs w:val="24"/>
          <w:highlight w:val="none"/>
          <w:u w:val="single"/>
          <w14:textFill>
            <w14:solidFill>
              <w14:schemeClr w14:val="tx1"/>
            </w14:solidFill>
          </w14:textFill>
        </w:rPr>
        <w:t xml:space="preserve">            </w:t>
      </w:r>
      <w:permEnd w:id="99"/>
      <w:r>
        <w:rPr>
          <w:rFonts w:hint="eastAsia" w:ascii="仿宋_GB2312" w:hAnsi="仿宋_GB2312" w:eastAsia="仿宋_GB2312" w:cs="仿宋_GB2312"/>
          <w:color w:val="000000" w:themeColor="text1"/>
          <w:sz w:val="24"/>
          <w:szCs w:val="24"/>
          <w:highlight w:val="none"/>
          <w14:textFill>
            <w14:solidFill>
              <w14:schemeClr w14:val="tx1"/>
            </w14:solidFill>
          </w14:textFill>
        </w:rPr>
        <w:t>（乙方全称）</w:t>
      </w:r>
    </w:p>
    <w:p w14:paraId="5D0D3F7A">
      <w:pPr>
        <w:autoSpaceDE w:val="0"/>
        <w:autoSpaceDN w:val="0"/>
        <w:adjustRightInd w:val="0"/>
        <w:spacing w:line="400" w:lineRule="exact"/>
        <w:rPr>
          <w:rFonts w:hint="eastAsia" w:ascii="仿宋_GB2312" w:hAnsi="仿宋_GB2312" w:eastAsia="仿宋_GB2312" w:cs="仿宋_GB2312"/>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   </w:t>
      </w:r>
      <w:permStart w:id="100" w:edGrp="everyone"/>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 </w:t>
      </w:r>
      <w:r>
        <w:rPr>
          <w:rFonts w:hint="eastAsia" w:ascii="仿宋_GB2312" w:hAnsi="仿宋_GB2312" w:eastAsia="仿宋_GB2312" w:cs="仿宋_GB2312"/>
          <w:color w:val="000000" w:themeColor="text1"/>
          <w:sz w:val="24"/>
          <w:szCs w:val="24"/>
          <w:highlight w:val="none"/>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highlight w:val="none"/>
          <w:u w:val="single"/>
          <w:lang w:eastAsia="zh-CN"/>
          <w14:textFill>
            <w14:solidFill>
              <w14:schemeClr w14:val="tx1"/>
            </w14:solidFill>
          </w14:textFill>
        </w:rPr>
        <w:t>西藏中建建设有限责任公司</w:t>
      </w:r>
      <w:permEnd w:id="100"/>
      <w:r>
        <w:rPr>
          <w:rFonts w:hint="eastAsia" w:ascii="仿宋_GB2312" w:hAnsi="仿宋_GB2312" w:eastAsia="仿宋_GB2312" w:cs="仿宋_GB2312"/>
          <w:color w:val="000000" w:themeColor="text1"/>
          <w:sz w:val="24"/>
          <w:szCs w:val="24"/>
          <w:highlight w:val="none"/>
          <w:lang w:val="zh-CN"/>
          <w14:textFill>
            <w14:solidFill>
              <w14:schemeClr w14:val="tx1"/>
            </w14:solidFill>
          </w14:textFill>
        </w:rPr>
        <w:t>（</w:t>
      </w:r>
      <w:r>
        <w:rPr>
          <w:rFonts w:hint="eastAsia" w:ascii="仿宋_GB2312" w:hAnsi="仿宋_GB2312" w:eastAsia="仿宋_GB2312" w:cs="仿宋_GB2312"/>
          <w:color w:val="000000" w:themeColor="text1"/>
          <w:sz w:val="24"/>
          <w:szCs w:val="24"/>
          <w:highlight w:val="none"/>
          <w14:textFill>
            <w14:solidFill>
              <w14:schemeClr w14:val="tx1"/>
            </w14:solidFill>
          </w14:textFill>
        </w:rPr>
        <w:t>采购方</w:t>
      </w:r>
      <w:r>
        <w:rPr>
          <w:rFonts w:hint="eastAsia" w:ascii="仿宋_GB2312" w:hAnsi="仿宋_GB2312" w:eastAsia="仿宋_GB2312" w:cs="仿宋_GB2312"/>
          <w:color w:val="000000" w:themeColor="text1"/>
          <w:sz w:val="24"/>
          <w:szCs w:val="24"/>
          <w:highlight w:val="none"/>
          <w:lang w:val="zh-CN"/>
          <w14:textFill>
            <w14:solidFill>
              <w14:schemeClr w14:val="tx1"/>
            </w14:solidFill>
          </w14:textFill>
        </w:rPr>
        <w:t>全称，以下简称本公司），系依法成立并有效存续的公司。现向本公司</w:t>
      </w:r>
      <w:permStart w:id="101" w:edGrp="everyone"/>
      <w:r>
        <w:rPr>
          <w:rFonts w:hint="eastAsia" w:ascii="仿宋_GB2312" w:hAnsi="仿宋_GB2312" w:eastAsia="仿宋_GB2312" w:cs="仿宋_GB2312"/>
          <w:color w:val="000000" w:themeColor="text1"/>
          <w:sz w:val="24"/>
          <w:szCs w:val="24"/>
          <w:highlight w:val="none"/>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u w:val="single"/>
          <w:lang w:val="en-US" w:eastAsia="zh-CN"/>
          <w14:textFill>
            <w14:solidFill>
              <w14:schemeClr w14:val="tx1"/>
            </w14:solidFill>
          </w14:textFill>
        </w:rPr>
        <w:t>堆巴村公路改建工程</w:t>
      </w:r>
      <w:r>
        <w:rPr>
          <w:rFonts w:hint="eastAsia" w:ascii="仿宋_GB2312" w:hAnsi="仿宋_GB2312" w:eastAsia="仿宋_GB2312" w:cs="仿宋_GB2312"/>
          <w:color w:val="000000" w:themeColor="text1"/>
          <w:sz w:val="24"/>
          <w:szCs w:val="24"/>
          <w:highlight w:val="none"/>
          <w:u w:val="single"/>
          <w14:textFill>
            <w14:solidFill>
              <w14:schemeClr w14:val="tx1"/>
            </w14:solidFill>
          </w14:textFill>
        </w:rPr>
        <w:t xml:space="preserve"> </w:t>
      </w:r>
      <w:permEnd w:id="101"/>
      <w:r>
        <w:rPr>
          <w:rFonts w:hint="eastAsia" w:ascii="仿宋_GB2312" w:hAnsi="仿宋_GB2312" w:eastAsia="仿宋_GB2312" w:cs="仿宋_GB2312"/>
          <w:color w:val="000000" w:themeColor="text1"/>
          <w:sz w:val="24"/>
          <w:szCs w:val="24"/>
          <w:highlight w:val="none"/>
          <w:lang w:val="zh-CN"/>
          <w14:textFill>
            <w14:solidFill>
              <w14:schemeClr w14:val="tx1"/>
            </w14:solidFill>
          </w14:textFill>
        </w:rPr>
        <w:t>项目部(以下简称项目部)签发项目部合规权限告知书（以下简称本</w:t>
      </w:r>
      <w:r>
        <w:rPr>
          <w:rFonts w:hint="eastAsia" w:ascii="仿宋_GB2312" w:hAnsi="仿宋_GB2312" w:eastAsia="仿宋_GB2312" w:cs="仿宋_GB2312"/>
          <w:color w:val="000000" w:themeColor="text1"/>
          <w:sz w:val="24"/>
          <w:szCs w:val="24"/>
          <w:highlight w:val="none"/>
          <w14:textFill>
            <w14:solidFill>
              <w14:schemeClr w14:val="tx1"/>
            </w14:solidFill>
          </w14:textFill>
        </w:rPr>
        <w:t>告知</w:t>
      </w:r>
      <w:r>
        <w:rPr>
          <w:rFonts w:hint="eastAsia" w:ascii="仿宋_GB2312" w:hAnsi="仿宋_GB2312" w:eastAsia="仿宋_GB2312" w:cs="仿宋_GB2312"/>
          <w:color w:val="000000" w:themeColor="text1"/>
          <w:sz w:val="24"/>
          <w:szCs w:val="24"/>
          <w:highlight w:val="none"/>
          <w:lang w:val="zh-CN"/>
          <w14:textFill>
            <w14:solidFill>
              <w14:schemeClr w14:val="tx1"/>
            </w14:solidFill>
          </w14:textFill>
        </w:rPr>
        <w:t>书），项目经理</w:t>
      </w:r>
      <w:permStart w:id="102" w:edGrp="everyone"/>
      <w:r>
        <w:rPr>
          <w:rFonts w:hint="eastAsia" w:ascii="仿宋_GB2312" w:hAnsi="仿宋_GB2312" w:eastAsia="仿宋_GB2312" w:cs="仿宋_GB2312"/>
          <w:color w:val="000000" w:themeColor="text1"/>
          <w:sz w:val="24"/>
          <w:szCs w:val="24"/>
          <w:highlight w:val="none"/>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u w:val="single"/>
          <w:lang w:val="en-US" w:eastAsia="zh-CN"/>
          <w14:textFill>
            <w14:solidFill>
              <w14:schemeClr w14:val="tx1"/>
            </w14:solidFill>
          </w14:textFill>
        </w:rPr>
        <w:t>解雄飞</w:t>
      </w:r>
      <w:r>
        <w:rPr>
          <w:rFonts w:hint="eastAsia" w:ascii="仿宋_GB2312" w:hAnsi="仿宋_GB2312" w:eastAsia="仿宋_GB2312" w:cs="仿宋_GB2312"/>
          <w:color w:val="000000" w:themeColor="text1"/>
          <w:sz w:val="24"/>
          <w:szCs w:val="24"/>
          <w:highlight w:val="none"/>
          <w:u w:val="single"/>
          <w14:textFill>
            <w14:solidFill>
              <w14:schemeClr w14:val="tx1"/>
            </w14:solidFill>
          </w14:textFill>
        </w:rPr>
        <w:t xml:space="preserve"> </w:t>
      </w:r>
      <w:permEnd w:id="102"/>
      <w:r>
        <w:rPr>
          <w:rFonts w:hint="eastAsia" w:ascii="仿宋_GB2312" w:hAnsi="仿宋_GB2312" w:eastAsia="仿宋_GB2312" w:cs="仿宋_GB2312"/>
          <w:color w:val="000000" w:themeColor="text1"/>
          <w:sz w:val="24"/>
          <w:szCs w:val="24"/>
          <w:highlight w:val="none"/>
          <w14:textFill>
            <w14:solidFill>
              <w14:schemeClr w14:val="tx1"/>
            </w14:solidFill>
          </w14:textFill>
        </w:rPr>
        <w:t>（身份证号：</w:t>
      </w:r>
      <w:permStart w:id="103" w:edGrp="everyone"/>
      <w:r>
        <w:rPr>
          <w:rFonts w:hint="eastAsia" w:ascii="仿宋_GB2312" w:hAnsi="仿宋_GB2312" w:eastAsia="仿宋_GB2312" w:cs="仿宋_GB2312"/>
          <w:color w:val="000000" w:themeColor="text1"/>
          <w:sz w:val="24"/>
          <w:szCs w:val="24"/>
          <w:highlight w:val="none"/>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u w:val="single"/>
          <w14:textFill>
            <w14:solidFill>
              <w14:schemeClr w14:val="tx1"/>
            </w14:solidFill>
          </w14:textFill>
        </w:rPr>
        <w:t>130682198902122430</w:t>
      </w:r>
      <w:r>
        <w:rPr>
          <w:rFonts w:hint="eastAsia" w:ascii="仿宋_GB2312" w:hAnsi="仿宋_GB2312" w:eastAsia="仿宋_GB2312" w:cs="仿宋_GB2312"/>
          <w:color w:val="000000" w:themeColor="text1"/>
          <w:sz w:val="24"/>
          <w:szCs w:val="24"/>
          <w:highlight w:val="none"/>
          <w:u w:val="single"/>
          <w14:textFill>
            <w14:solidFill>
              <w14:schemeClr w14:val="tx1"/>
            </w14:solidFill>
          </w14:textFill>
        </w:rPr>
        <w:t xml:space="preserve"> </w:t>
      </w:r>
      <w:permEnd w:id="103"/>
      <w:r>
        <w:rPr>
          <w:rFonts w:hint="eastAsia" w:ascii="仿宋_GB2312" w:hAnsi="仿宋_GB2312" w:eastAsia="仿宋_GB2312" w:cs="仿宋_GB2312"/>
          <w:color w:val="000000" w:themeColor="text1"/>
          <w:sz w:val="24"/>
          <w:szCs w:val="24"/>
          <w:highlight w:val="none"/>
          <w14:textFill>
            <w14:solidFill>
              <w14:schemeClr w14:val="tx1"/>
            </w14:solidFill>
          </w14:textFill>
        </w:rPr>
        <w:t>）</w:t>
      </w:r>
      <w:r>
        <w:rPr>
          <w:rFonts w:hint="eastAsia" w:ascii="仿宋_GB2312" w:hAnsi="仿宋_GB2312" w:eastAsia="仿宋_GB2312" w:cs="仿宋_GB2312"/>
          <w:color w:val="000000" w:themeColor="text1"/>
          <w:sz w:val="24"/>
          <w:szCs w:val="24"/>
          <w:highlight w:val="none"/>
          <w:lang w:val="zh-CN"/>
          <w14:textFill>
            <w14:solidFill>
              <w14:schemeClr w14:val="tx1"/>
            </w14:solidFill>
          </w14:textFill>
        </w:rPr>
        <w:t xml:space="preserve">代表本公司行使权限。 </w:t>
      </w:r>
    </w:p>
    <w:p w14:paraId="60490CA7">
      <w:pPr>
        <w:autoSpaceDE w:val="0"/>
        <w:autoSpaceDN w:val="0"/>
        <w:adjustRightInd w:val="0"/>
        <w:spacing w:line="400" w:lineRule="exact"/>
        <w:rPr>
          <w:rFonts w:hint="eastAsia" w:ascii="仿宋_GB2312" w:hAnsi="仿宋_GB2312" w:eastAsia="仿宋_GB2312" w:cs="仿宋_GB2312"/>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    一、</w:t>
      </w:r>
      <w:r>
        <w:rPr>
          <w:rFonts w:hint="eastAsia" w:ascii="仿宋_GB2312" w:hAnsi="仿宋_GB2312" w:eastAsia="仿宋_GB2312" w:cs="仿宋_GB2312"/>
          <w:color w:val="000000" w:themeColor="text1"/>
          <w:sz w:val="24"/>
          <w:szCs w:val="24"/>
          <w:highlight w:val="none"/>
          <w:lang w:val="zh-CN"/>
          <w14:textFill>
            <w14:solidFill>
              <w14:schemeClr w14:val="tx1"/>
            </w14:solidFill>
          </w14:textFill>
        </w:rPr>
        <w:t>项目部须严格按合同约定行使权利，履行义务。本授权书规定与合同约定相冲突的，以合同约定为准。</w:t>
      </w:r>
    </w:p>
    <w:p w14:paraId="6D773AA2">
      <w:pPr>
        <w:autoSpaceDE w:val="0"/>
        <w:autoSpaceDN w:val="0"/>
        <w:adjustRightInd w:val="0"/>
        <w:spacing w:line="400" w:lineRule="exact"/>
        <w:rPr>
          <w:rFonts w:hint="eastAsia" w:ascii="仿宋_GB2312" w:hAnsi="仿宋_GB2312" w:eastAsia="仿宋_GB2312" w:cs="仿宋_GB2312"/>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    </w:t>
      </w:r>
      <w:r>
        <w:rPr>
          <w:rFonts w:hint="eastAsia" w:ascii="仿宋_GB2312" w:hAnsi="仿宋_GB2312" w:eastAsia="仿宋_GB2312" w:cs="仿宋_GB2312"/>
          <w:color w:val="000000" w:themeColor="text1"/>
          <w:sz w:val="24"/>
          <w:szCs w:val="24"/>
          <w:highlight w:val="none"/>
          <w:lang w:val="zh-CN"/>
          <w14:textFill>
            <w14:solidFill>
              <w14:schemeClr w14:val="tx1"/>
            </w14:solidFill>
          </w14:textFill>
        </w:rPr>
        <w:t>二、项目部行使权限，须由项目经理签字并加盖项目部公章，否则本公司不予认可，亦不承担任何责任。</w:t>
      </w:r>
    </w:p>
    <w:p w14:paraId="12113C22">
      <w:pPr>
        <w:autoSpaceDE w:val="0"/>
        <w:autoSpaceDN w:val="0"/>
        <w:adjustRightInd w:val="0"/>
        <w:spacing w:line="400" w:lineRule="exact"/>
        <w:rPr>
          <w:rFonts w:hint="eastAsia" w:ascii="仿宋_GB2312" w:hAnsi="仿宋_GB2312" w:eastAsia="仿宋_GB2312" w:cs="仿宋_GB2312"/>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    </w:t>
      </w:r>
      <w:r>
        <w:rPr>
          <w:rFonts w:hint="eastAsia" w:ascii="仿宋_GB2312" w:hAnsi="仿宋_GB2312" w:eastAsia="仿宋_GB2312" w:cs="仿宋_GB2312"/>
          <w:color w:val="000000" w:themeColor="text1"/>
          <w:sz w:val="24"/>
          <w:szCs w:val="24"/>
          <w:highlight w:val="none"/>
          <w:lang w:val="zh-CN"/>
          <w14:textFill>
            <w14:solidFill>
              <w14:schemeClr w14:val="tx1"/>
            </w14:solidFill>
          </w14:textFill>
        </w:rPr>
        <w:t>三、项目经理</w:t>
      </w:r>
      <w:r>
        <w:rPr>
          <w:rFonts w:hint="eastAsia" w:ascii="仿宋_GB2312" w:hAnsi="仿宋_GB2312" w:eastAsia="仿宋_GB2312" w:cs="仿宋_GB2312"/>
          <w:color w:val="000000" w:themeColor="text1"/>
          <w:sz w:val="24"/>
          <w:szCs w:val="24"/>
          <w:highlight w:val="none"/>
          <w14:textFill>
            <w14:solidFill>
              <w14:schemeClr w14:val="tx1"/>
            </w14:solidFill>
          </w14:textFill>
        </w:rPr>
        <w:t>不</w:t>
      </w:r>
      <w:r>
        <w:rPr>
          <w:rFonts w:hint="eastAsia" w:ascii="仿宋_GB2312" w:hAnsi="仿宋_GB2312" w:eastAsia="仿宋_GB2312" w:cs="仿宋_GB2312"/>
          <w:color w:val="000000" w:themeColor="text1"/>
          <w:sz w:val="24"/>
          <w:szCs w:val="24"/>
          <w:highlight w:val="none"/>
          <w:lang w:val="zh-CN"/>
          <w14:textFill>
            <w14:solidFill>
              <w14:schemeClr w14:val="tx1"/>
            </w14:solidFill>
          </w14:textFill>
        </w:rPr>
        <w:t>可将其部分权限以书面形式转授权项目部其他人员，项目部任何内设机构及项目经理</w:t>
      </w:r>
      <w:r>
        <w:rPr>
          <w:rFonts w:hint="eastAsia" w:ascii="仿宋_GB2312" w:hAnsi="仿宋_GB2312" w:eastAsia="仿宋_GB2312" w:cs="仿宋_GB2312"/>
          <w:color w:val="000000" w:themeColor="text1"/>
          <w:sz w:val="24"/>
          <w:szCs w:val="24"/>
          <w:highlight w:val="none"/>
          <w14:textFill>
            <w14:solidFill>
              <w14:schemeClr w14:val="tx1"/>
            </w14:solidFill>
          </w14:textFill>
        </w:rPr>
        <w:t>擅自</w:t>
      </w:r>
      <w:r>
        <w:rPr>
          <w:rFonts w:hint="eastAsia" w:ascii="仿宋_GB2312" w:hAnsi="仿宋_GB2312" w:eastAsia="仿宋_GB2312" w:cs="仿宋_GB2312"/>
          <w:color w:val="000000" w:themeColor="text1"/>
          <w:sz w:val="24"/>
          <w:szCs w:val="24"/>
          <w:highlight w:val="none"/>
          <w:lang w:val="zh-CN"/>
          <w14:textFill>
            <w14:solidFill>
              <w14:schemeClr w14:val="tx1"/>
            </w14:solidFill>
          </w14:textFill>
        </w:rPr>
        <w:t>转授权人员以任何形式签字、盖章本公司均不予认可，亦不承担任何责任。</w:t>
      </w:r>
    </w:p>
    <w:p w14:paraId="3A3CB1C1">
      <w:pPr>
        <w:autoSpaceDE w:val="0"/>
        <w:autoSpaceDN w:val="0"/>
        <w:adjustRightInd w:val="0"/>
        <w:spacing w:line="400" w:lineRule="exact"/>
        <w:ind w:firstLine="480" w:firstLineChars="200"/>
        <w:rPr>
          <w:rFonts w:hint="eastAsia" w:ascii="仿宋_GB2312" w:hAnsi="仿宋_GB2312" w:eastAsia="仿宋_GB2312" w:cs="仿宋_GB2312"/>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val="zh-CN"/>
          <w14:textFill>
            <w14:solidFill>
              <w14:schemeClr w14:val="tx1"/>
            </w14:solidFill>
          </w14:textFill>
        </w:rPr>
        <w:t>四、项目所有合同、协议等具有权利义务性质的文件均需加盖合同专用章，否则本公司不予认可，亦不承担任何责任。</w:t>
      </w:r>
    </w:p>
    <w:p w14:paraId="457C04F1">
      <w:pPr>
        <w:autoSpaceDE w:val="0"/>
        <w:autoSpaceDN w:val="0"/>
        <w:adjustRightInd w:val="0"/>
        <w:spacing w:line="400" w:lineRule="exact"/>
        <w:ind w:firstLine="480"/>
        <w:rPr>
          <w:rFonts w:hint="eastAsia" w:ascii="仿宋_GB2312" w:hAnsi="仿宋_GB2312" w:eastAsia="仿宋_GB2312" w:cs="仿宋_GB2312"/>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val="zh-CN"/>
          <w14:textFill>
            <w14:solidFill>
              <w14:schemeClr w14:val="tx1"/>
            </w14:solidFill>
          </w14:textFill>
        </w:rPr>
        <w:t>五、凡涉及项目经济性事项，项目部须严格在本授权书规定的权限范围内行使，否则，即使经项目部加盖公章、项目经理签字，本公司亦不予认可，不承担任何责任。</w:t>
      </w:r>
    </w:p>
    <w:p w14:paraId="41D6647F">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1.项目部有权审批如下事项：</w:t>
      </w:r>
    </w:p>
    <w:tbl>
      <w:tblPr>
        <w:tblStyle w:val="9"/>
        <w:tblpPr w:leftFromText="180" w:rightFromText="180" w:vertAnchor="text" w:horzAnchor="margin" w:tblpXSpec="center" w:tblpY="87"/>
        <w:tblOverlap w:val="never"/>
        <w:tblW w:w="90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3"/>
        <w:gridCol w:w="1209"/>
        <w:gridCol w:w="1974"/>
        <w:gridCol w:w="5117"/>
      </w:tblGrid>
      <w:tr w14:paraId="01D40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23" w:type="dxa"/>
            <w:vAlign w:val="center"/>
          </w:tcPr>
          <w:p w14:paraId="5D82AE6E">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序号</w:t>
            </w:r>
          </w:p>
        </w:tc>
        <w:tc>
          <w:tcPr>
            <w:tcW w:w="1209" w:type="dxa"/>
            <w:vAlign w:val="center"/>
          </w:tcPr>
          <w:p w14:paraId="33EF7F07">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板块</w:t>
            </w:r>
          </w:p>
        </w:tc>
        <w:tc>
          <w:tcPr>
            <w:tcW w:w="1974" w:type="dxa"/>
            <w:vAlign w:val="center"/>
          </w:tcPr>
          <w:p w14:paraId="180DD124">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授权事项</w:t>
            </w:r>
          </w:p>
        </w:tc>
        <w:tc>
          <w:tcPr>
            <w:tcW w:w="5117" w:type="dxa"/>
            <w:vAlign w:val="center"/>
          </w:tcPr>
          <w:p w14:paraId="5D9C7181">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授权权限</w:t>
            </w:r>
          </w:p>
        </w:tc>
      </w:tr>
      <w:tr w14:paraId="7B542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23" w:type="dxa"/>
            <w:vAlign w:val="center"/>
          </w:tcPr>
          <w:p w14:paraId="5264620C">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1</w:t>
            </w:r>
          </w:p>
        </w:tc>
        <w:tc>
          <w:tcPr>
            <w:tcW w:w="1209" w:type="dxa"/>
            <w:vMerge w:val="restart"/>
            <w:vAlign w:val="center"/>
          </w:tcPr>
          <w:p w14:paraId="7385B78D">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总包管理</w:t>
            </w:r>
          </w:p>
        </w:tc>
        <w:tc>
          <w:tcPr>
            <w:tcW w:w="1974" w:type="dxa"/>
            <w:vAlign w:val="center"/>
          </w:tcPr>
          <w:p w14:paraId="048A599B">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申请开工</w:t>
            </w:r>
          </w:p>
        </w:tc>
        <w:tc>
          <w:tcPr>
            <w:tcW w:w="5117" w:type="dxa"/>
            <w:vAlign w:val="center"/>
          </w:tcPr>
          <w:p w14:paraId="2FCF9E3A">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有权向建设单位申请开工。</w:t>
            </w:r>
          </w:p>
        </w:tc>
      </w:tr>
      <w:tr w14:paraId="6B93E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23" w:type="dxa"/>
            <w:vAlign w:val="center"/>
          </w:tcPr>
          <w:p w14:paraId="1F25DAA8">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2</w:t>
            </w:r>
          </w:p>
        </w:tc>
        <w:tc>
          <w:tcPr>
            <w:tcW w:w="1209" w:type="dxa"/>
            <w:vMerge w:val="continue"/>
            <w:vAlign w:val="center"/>
          </w:tcPr>
          <w:p w14:paraId="1E3E5AD4">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p>
        </w:tc>
        <w:tc>
          <w:tcPr>
            <w:tcW w:w="1974" w:type="dxa"/>
            <w:vAlign w:val="center"/>
          </w:tcPr>
          <w:p w14:paraId="5DB52A4A">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施工方案、施工组织设计</w:t>
            </w:r>
          </w:p>
        </w:tc>
        <w:tc>
          <w:tcPr>
            <w:tcW w:w="5117" w:type="dxa"/>
            <w:vAlign w:val="center"/>
          </w:tcPr>
          <w:p w14:paraId="07292AE6">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施工方案、施工组织设计、技术措施的编制、交底、实施和落实。</w:t>
            </w:r>
          </w:p>
        </w:tc>
      </w:tr>
      <w:tr w14:paraId="482F4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23" w:type="dxa"/>
            <w:vAlign w:val="center"/>
          </w:tcPr>
          <w:p w14:paraId="3C4210AB">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3</w:t>
            </w:r>
          </w:p>
        </w:tc>
        <w:tc>
          <w:tcPr>
            <w:tcW w:w="1209" w:type="dxa"/>
            <w:vMerge w:val="continue"/>
            <w:vAlign w:val="center"/>
          </w:tcPr>
          <w:p w14:paraId="45303366">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p>
        </w:tc>
        <w:tc>
          <w:tcPr>
            <w:tcW w:w="1974" w:type="dxa"/>
            <w:vAlign w:val="center"/>
          </w:tcPr>
          <w:p w14:paraId="262C9BEF">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报送工程进度</w:t>
            </w:r>
          </w:p>
        </w:tc>
        <w:tc>
          <w:tcPr>
            <w:tcW w:w="5117" w:type="dxa"/>
            <w:vAlign w:val="center"/>
          </w:tcPr>
          <w:p w14:paraId="0D805D0B">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对外报送工程进度计划及调整。</w:t>
            </w:r>
          </w:p>
        </w:tc>
      </w:tr>
      <w:tr w14:paraId="3748D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23" w:type="dxa"/>
            <w:vAlign w:val="center"/>
          </w:tcPr>
          <w:p w14:paraId="59178FDF">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4</w:t>
            </w:r>
          </w:p>
        </w:tc>
        <w:tc>
          <w:tcPr>
            <w:tcW w:w="1209" w:type="dxa"/>
            <w:vMerge w:val="continue"/>
            <w:vAlign w:val="center"/>
          </w:tcPr>
          <w:p w14:paraId="2325CF66">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p>
        </w:tc>
        <w:tc>
          <w:tcPr>
            <w:tcW w:w="1974" w:type="dxa"/>
            <w:vAlign w:val="center"/>
          </w:tcPr>
          <w:p w14:paraId="30A5FE51">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物资需用计划</w:t>
            </w:r>
          </w:p>
        </w:tc>
        <w:tc>
          <w:tcPr>
            <w:tcW w:w="5117" w:type="dxa"/>
            <w:vAlign w:val="center"/>
          </w:tcPr>
          <w:p w14:paraId="42BAB0FA">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有权向建设单位报送物资需用计划（适用于工程所需材料由建设单位提供）。</w:t>
            </w:r>
          </w:p>
        </w:tc>
      </w:tr>
      <w:tr w14:paraId="04BA8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23" w:type="dxa"/>
            <w:vAlign w:val="center"/>
          </w:tcPr>
          <w:p w14:paraId="29EACC5C">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5</w:t>
            </w:r>
          </w:p>
        </w:tc>
        <w:tc>
          <w:tcPr>
            <w:tcW w:w="1209" w:type="dxa"/>
            <w:vMerge w:val="continue"/>
            <w:vAlign w:val="center"/>
          </w:tcPr>
          <w:p w14:paraId="56E27294">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p>
        </w:tc>
        <w:tc>
          <w:tcPr>
            <w:tcW w:w="1974" w:type="dxa"/>
            <w:vAlign w:val="center"/>
          </w:tcPr>
          <w:p w14:paraId="59739B24">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甲供材过程及质量问题反馈</w:t>
            </w:r>
          </w:p>
        </w:tc>
        <w:tc>
          <w:tcPr>
            <w:tcW w:w="5117" w:type="dxa"/>
            <w:vAlign w:val="center"/>
          </w:tcPr>
          <w:p w14:paraId="61BA3B7E">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有权就建设单位方供应（控制）的物质，供货过程及质量问题，向建设单位发联系函。</w:t>
            </w:r>
          </w:p>
        </w:tc>
      </w:tr>
      <w:tr w14:paraId="2C909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23" w:type="dxa"/>
            <w:vAlign w:val="center"/>
          </w:tcPr>
          <w:p w14:paraId="4E944B8B">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6</w:t>
            </w:r>
          </w:p>
        </w:tc>
        <w:tc>
          <w:tcPr>
            <w:tcW w:w="1209" w:type="dxa"/>
            <w:vMerge w:val="continue"/>
            <w:vAlign w:val="center"/>
          </w:tcPr>
          <w:p w14:paraId="7143584A">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p>
        </w:tc>
        <w:tc>
          <w:tcPr>
            <w:tcW w:w="1974" w:type="dxa"/>
            <w:vAlign w:val="center"/>
          </w:tcPr>
          <w:p w14:paraId="53DD9F79">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废旧物资处理</w:t>
            </w:r>
          </w:p>
        </w:tc>
        <w:tc>
          <w:tcPr>
            <w:tcW w:w="5117" w:type="dxa"/>
            <w:vAlign w:val="center"/>
          </w:tcPr>
          <w:p w14:paraId="41052BD3">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有权按</w:t>
            </w:r>
            <w:r>
              <w:rPr>
                <w:rFonts w:hint="eastAsia" w:ascii="仿宋_GB2312" w:hAnsi="仿宋_GB2312" w:eastAsia="仿宋_GB2312" w:cs="仿宋_GB2312"/>
                <w:b/>
                <w:bCs/>
                <w:color w:val="000000" w:themeColor="text1"/>
                <w:sz w:val="24"/>
                <w:szCs w:val="24"/>
                <w:highlight w:val="none"/>
                <w14:textFill>
                  <w14:solidFill>
                    <w14:schemeClr w14:val="tx1"/>
                  </w14:solidFill>
                </w14:textFill>
              </w:rPr>
              <w:t>集团</w:t>
            </w: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w:t>
            </w:r>
            <w:r>
              <w:rPr>
                <w:rFonts w:hint="eastAsia" w:ascii="仿宋_GB2312" w:hAnsi="仿宋_GB2312" w:eastAsia="仿宋_GB2312" w:cs="仿宋_GB2312"/>
                <w:b/>
                <w:bCs/>
                <w:color w:val="000000" w:themeColor="text1"/>
                <w:sz w:val="24"/>
                <w:szCs w:val="24"/>
                <w:highlight w:val="none"/>
                <w14:textFill>
                  <w14:solidFill>
                    <w14:schemeClr w14:val="tx1"/>
                  </w14:solidFill>
                </w14:textFill>
              </w:rPr>
              <w:t>分子公司</w:t>
            </w: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确定的方案实施处理废旧物资。</w:t>
            </w:r>
          </w:p>
        </w:tc>
      </w:tr>
      <w:tr w14:paraId="7B319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23" w:type="dxa"/>
            <w:vAlign w:val="center"/>
          </w:tcPr>
          <w:p w14:paraId="4E0E76FD">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7</w:t>
            </w:r>
          </w:p>
        </w:tc>
        <w:tc>
          <w:tcPr>
            <w:tcW w:w="1209" w:type="dxa"/>
            <w:vMerge w:val="continue"/>
            <w:vAlign w:val="center"/>
          </w:tcPr>
          <w:p w14:paraId="6BECFF21">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p>
        </w:tc>
        <w:tc>
          <w:tcPr>
            <w:tcW w:w="1974" w:type="dxa"/>
            <w:vAlign w:val="center"/>
          </w:tcPr>
          <w:p w14:paraId="3A9BDD0F">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设计变更、签证、索赔</w:t>
            </w:r>
          </w:p>
        </w:tc>
        <w:tc>
          <w:tcPr>
            <w:tcW w:w="5117" w:type="dxa"/>
            <w:vAlign w:val="center"/>
          </w:tcPr>
          <w:p w14:paraId="0138DFE2">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有权向建设单位报送设计变更、签证、索赔报价单</w:t>
            </w:r>
          </w:p>
        </w:tc>
      </w:tr>
      <w:tr w14:paraId="00738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62EF4D2B">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8</w:t>
            </w:r>
          </w:p>
        </w:tc>
        <w:tc>
          <w:tcPr>
            <w:tcW w:w="1209" w:type="dxa"/>
            <w:vMerge w:val="continue"/>
            <w:vAlign w:val="center"/>
          </w:tcPr>
          <w:p w14:paraId="485105B4">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p>
        </w:tc>
        <w:tc>
          <w:tcPr>
            <w:tcW w:w="1974" w:type="dxa"/>
            <w:vAlign w:val="center"/>
          </w:tcPr>
          <w:p w14:paraId="56ECA641">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对外报量书</w:t>
            </w:r>
          </w:p>
        </w:tc>
        <w:tc>
          <w:tcPr>
            <w:tcW w:w="5117" w:type="dxa"/>
            <w:vAlign w:val="center"/>
          </w:tcPr>
          <w:p w14:paraId="2EE0562B">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有权编制对外报量书并报送甲方审核。</w:t>
            </w:r>
          </w:p>
        </w:tc>
      </w:tr>
      <w:tr w14:paraId="3FEB9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73E98103">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9</w:t>
            </w:r>
          </w:p>
        </w:tc>
        <w:tc>
          <w:tcPr>
            <w:tcW w:w="1209" w:type="dxa"/>
            <w:vMerge w:val="continue"/>
            <w:vAlign w:val="center"/>
          </w:tcPr>
          <w:p w14:paraId="5EBC0283">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p>
        </w:tc>
        <w:tc>
          <w:tcPr>
            <w:tcW w:w="1974" w:type="dxa"/>
            <w:vAlign w:val="center"/>
          </w:tcPr>
          <w:p w14:paraId="139CFF90">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付款申请</w:t>
            </w:r>
          </w:p>
        </w:tc>
        <w:tc>
          <w:tcPr>
            <w:tcW w:w="5117" w:type="dxa"/>
            <w:vAlign w:val="center"/>
          </w:tcPr>
          <w:p w14:paraId="0C984EF8">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有权向建设单位提出付款申请。</w:t>
            </w:r>
          </w:p>
        </w:tc>
      </w:tr>
      <w:tr w14:paraId="4756B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25472D4A">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10</w:t>
            </w:r>
          </w:p>
        </w:tc>
        <w:tc>
          <w:tcPr>
            <w:tcW w:w="1209" w:type="dxa"/>
            <w:vMerge w:val="continue"/>
            <w:vAlign w:val="center"/>
          </w:tcPr>
          <w:p w14:paraId="1E5E096B">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p>
        </w:tc>
        <w:tc>
          <w:tcPr>
            <w:tcW w:w="1974" w:type="dxa"/>
            <w:vAlign w:val="center"/>
          </w:tcPr>
          <w:p w14:paraId="30307833">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申请工程竣工验收</w:t>
            </w:r>
          </w:p>
        </w:tc>
        <w:tc>
          <w:tcPr>
            <w:tcW w:w="5117" w:type="dxa"/>
            <w:vAlign w:val="center"/>
          </w:tcPr>
          <w:p w14:paraId="62C27214">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有权报监理单位、建设单位组织验收。验收合格的，有权向建设单位提出竣工验收申请。</w:t>
            </w:r>
          </w:p>
        </w:tc>
      </w:tr>
      <w:tr w14:paraId="23AA2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3B3610E4">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11</w:t>
            </w:r>
          </w:p>
        </w:tc>
        <w:tc>
          <w:tcPr>
            <w:tcW w:w="1209" w:type="dxa"/>
            <w:vMerge w:val="continue"/>
            <w:vAlign w:val="center"/>
          </w:tcPr>
          <w:p w14:paraId="03A123D0">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p>
        </w:tc>
        <w:tc>
          <w:tcPr>
            <w:tcW w:w="1974" w:type="dxa"/>
            <w:vAlign w:val="center"/>
          </w:tcPr>
          <w:p w14:paraId="18E4B87E">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工程交付</w:t>
            </w:r>
          </w:p>
        </w:tc>
        <w:tc>
          <w:tcPr>
            <w:tcW w:w="5117" w:type="dxa"/>
            <w:vAlign w:val="center"/>
          </w:tcPr>
          <w:p w14:paraId="2CDA4184">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有权组织向建设单位进行交付，办理工程移交单。</w:t>
            </w:r>
          </w:p>
        </w:tc>
      </w:tr>
      <w:tr w14:paraId="0FE78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007EFE02">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12</w:t>
            </w:r>
          </w:p>
        </w:tc>
        <w:tc>
          <w:tcPr>
            <w:tcW w:w="1209" w:type="dxa"/>
            <w:vMerge w:val="continue"/>
            <w:vAlign w:val="center"/>
          </w:tcPr>
          <w:p w14:paraId="5EF191C6">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p>
        </w:tc>
        <w:tc>
          <w:tcPr>
            <w:tcW w:w="1974" w:type="dxa"/>
            <w:vAlign w:val="center"/>
          </w:tcPr>
          <w:p w14:paraId="0B6AC99B">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撤销保函</w:t>
            </w:r>
          </w:p>
        </w:tc>
        <w:tc>
          <w:tcPr>
            <w:tcW w:w="5117" w:type="dxa"/>
            <w:vAlign w:val="center"/>
          </w:tcPr>
          <w:p w14:paraId="52A41AF5">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有权办理我公司对外开立的保函撤销相关工作。</w:t>
            </w:r>
          </w:p>
        </w:tc>
      </w:tr>
      <w:tr w14:paraId="22B53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440E0E5A">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13</w:t>
            </w:r>
          </w:p>
        </w:tc>
        <w:tc>
          <w:tcPr>
            <w:tcW w:w="1209" w:type="dxa"/>
            <w:vMerge w:val="continue"/>
            <w:vAlign w:val="center"/>
          </w:tcPr>
          <w:p w14:paraId="40332E4C">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p>
        </w:tc>
        <w:tc>
          <w:tcPr>
            <w:tcW w:w="1974" w:type="dxa"/>
            <w:vAlign w:val="center"/>
          </w:tcPr>
          <w:p w14:paraId="4BAB849C">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递交结算资料</w:t>
            </w:r>
          </w:p>
        </w:tc>
        <w:tc>
          <w:tcPr>
            <w:tcW w:w="5117" w:type="dxa"/>
            <w:vAlign w:val="center"/>
          </w:tcPr>
          <w:p w14:paraId="1B7C7F19">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有权向建设单位递交工程结算书及结算资料。</w:t>
            </w:r>
          </w:p>
        </w:tc>
      </w:tr>
      <w:tr w14:paraId="2CB47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04DAB5ED">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14</w:t>
            </w:r>
          </w:p>
        </w:tc>
        <w:tc>
          <w:tcPr>
            <w:tcW w:w="1209" w:type="dxa"/>
            <w:vMerge w:val="continue"/>
            <w:vAlign w:val="center"/>
          </w:tcPr>
          <w:p w14:paraId="52D6BFAA">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p>
        </w:tc>
        <w:tc>
          <w:tcPr>
            <w:tcW w:w="1974" w:type="dxa"/>
            <w:vAlign w:val="center"/>
          </w:tcPr>
          <w:p w14:paraId="206107D0">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应收账款对账</w:t>
            </w:r>
          </w:p>
        </w:tc>
        <w:tc>
          <w:tcPr>
            <w:tcW w:w="5117" w:type="dxa"/>
            <w:vAlign w:val="center"/>
          </w:tcPr>
          <w:p w14:paraId="3A49D4E8">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有权与建设单位进行对账，将双方应收（付）账款金额核对一致。</w:t>
            </w:r>
          </w:p>
        </w:tc>
      </w:tr>
      <w:tr w14:paraId="7ACF3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4DCFE181">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15</w:t>
            </w:r>
          </w:p>
        </w:tc>
        <w:tc>
          <w:tcPr>
            <w:tcW w:w="1209" w:type="dxa"/>
            <w:vMerge w:val="continue"/>
            <w:vAlign w:val="center"/>
          </w:tcPr>
          <w:p w14:paraId="334B8E98">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p>
        </w:tc>
        <w:tc>
          <w:tcPr>
            <w:tcW w:w="1974" w:type="dxa"/>
            <w:vAlign w:val="center"/>
          </w:tcPr>
          <w:p w14:paraId="329EA545">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催款单</w:t>
            </w:r>
          </w:p>
        </w:tc>
        <w:tc>
          <w:tcPr>
            <w:tcW w:w="5117" w:type="dxa"/>
            <w:vAlign w:val="center"/>
          </w:tcPr>
          <w:p w14:paraId="462CD30D">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根据《工程施工合同》有关条款，在存在拖欠工程款时，有权向建设单位发函催收。</w:t>
            </w:r>
          </w:p>
        </w:tc>
      </w:tr>
      <w:tr w14:paraId="00878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1FB105D2">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16</w:t>
            </w:r>
          </w:p>
        </w:tc>
        <w:tc>
          <w:tcPr>
            <w:tcW w:w="1209" w:type="dxa"/>
            <w:vMerge w:val="restart"/>
            <w:vAlign w:val="center"/>
          </w:tcPr>
          <w:p w14:paraId="2E6CCEFC">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分包(供)管理</w:t>
            </w:r>
          </w:p>
        </w:tc>
        <w:tc>
          <w:tcPr>
            <w:tcW w:w="1974" w:type="dxa"/>
            <w:vAlign w:val="center"/>
          </w:tcPr>
          <w:p w14:paraId="1DD812D0">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分包（</w:t>
            </w:r>
            <w:r>
              <w:rPr>
                <w:rFonts w:hint="eastAsia" w:ascii="仿宋_GB2312" w:hAnsi="仿宋_GB2312" w:eastAsia="仿宋_GB2312" w:cs="仿宋_GB2312"/>
                <w:b/>
                <w:bCs/>
                <w:color w:val="000000" w:themeColor="text1"/>
                <w:sz w:val="24"/>
                <w:szCs w:val="24"/>
                <w:highlight w:val="none"/>
                <w:lang w:val="en-US" w:eastAsia="zh-CN"/>
                <w14:textFill>
                  <w14:solidFill>
                    <w14:schemeClr w14:val="tx1"/>
                  </w14:solidFill>
                </w14:textFill>
              </w:rPr>
              <w:t>供应</w:t>
            </w: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）合同管理</w:t>
            </w:r>
          </w:p>
        </w:tc>
        <w:tc>
          <w:tcPr>
            <w:tcW w:w="5117" w:type="dxa"/>
            <w:vAlign w:val="center"/>
          </w:tcPr>
          <w:p w14:paraId="0510F957">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有权根据</w:t>
            </w:r>
            <w:r>
              <w:rPr>
                <w:rFonts w:hint="eastAsia" w:ascii="仿宋_GB2312" w:hAnsi="仿宋_GB2312" w:eastAsia="仿宋_GB2312" w:cs="仿宋_GB2312"/>
                <w:b/>
                <w:bCs/>
                <w:color w:val="000000" w:themeColor="text1"/>
                <w:sz w:val="24"/>
                <w:szCs w:val="24"/>
                <w:highlight w:val="none"/>
                <w14:textFill>
                  <w14:solidFill>
                    <w14:schemeClr w14:val="tx1"/>
                  </w14:solidFill>
                </w14:textFill>
              </w:rPr>
              <w:t>集团</w:t>
            </w: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w:t>
            </w:r>
            <w:r>
              <w:rPr>
                <w:rFonts w:hint="eastAsia" w:ascii="仿宋_GB2312" w:hAnsi="仿宋_GB2312" w:eastAsia="仿宋_GB2312" w:cs="仿宋_GB2312"/>
                <w:b/>
                <w:bCs/>
                <w:color w:val="000000" w:themeColor="text1"/>
                <w:sz w:val="24"/>
                <w:szCs w:val="24"/>
                <w:highlight w:val="none"/>
                <w14:textFill>
                  <w14:solidFill>
                    <w14:schemeClr w14:val="tx1"/>
                  </w14:solidFill>
                </w14:textFill>
              </w:rPr>
              <w:t>分子公司</w:t>
            </w: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授权范围进行谈判，均需报</w:t>
            </w:r>
            <w:r>
              <w:rPr>
                <w:rFonts w:hint="eastAsia" w:ascii="仿宋_GB2312" w:hAnsi="仿宋_GB2312" w:eastAsia="仿宋_GB2312" w:cs="仿宋_GB2312"/>
                <w:b/>
                <w:bCs/>
                <w:color w:val="000000" w:themeColor="text1"/>
                <w:sz w:val="24"/>
                <w:szCs w:val="24"/>
                <w:highlight w:val="none"/>
                <w14:textFill>
                  <w14:solidFill>
                    <w14:schemeClr w14:val="tx1"/>
                  </w14:solidFill>
                </w14:textFill>
              </w:rPr>
              <w:t>集团</w:t>
            </w: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/公司审批签约。</w:t>
            </w:r>
          </w:p>
        </w:tc>
      </w:tr>
      <w:tr w14:paraId="73A73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351BF292">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17</w:t>
            </w:r>
          </w:p>
        </w:tc>
        <w:tc>
          <w:tcPr>
            <w:tcW w:w="1209" w:type="dxa"/>
            <w:vMerge w:val="continue"/>
            <w:vAlign w:val="center"/>
          </w:tcPr>
          <w:p w14:paraId="34A183C5">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p>
        </w:tc>
        <w:tc>
          <w:tcPr>
            <w:tcW w:w="1974" w:type="dxa"/>
            <w:vAlign w:val="center"/>
          </w:tcPr>
          <w:p w14:paraId="7CFB7DF2">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合同交底管理</w:t>
            </w:r>
          </w:p>
        </w:tc>
        <w:tc>
          <w:tcPr>
            <w:tcW w:w="5117" w:type="dxa"/>
            <w:vAlign w:val="center"/>
          </w:tcPr>
          <w:p w14:paraId="795F4370">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将相关工程洽商记录、施工图纸及会审记录、设计变更通知书或设计变更图发至乙方，并做书面交底。</w:t>
            </w:r>
          </w:p>
        </w:tc>
      </w:tr>
      <w:tr w14:paraId="3D9C2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26BB9B42">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1</w:t>
            </w:r>
            <w:r>
              <w:rPr>
                <w:rFonts w:hint="eastAsia" w:ascii="仿宋_GB2312" w:hAnsi="仿宋_GB2312" w:eastAsia="仿宋_GB2312" w:cs="仿宋_GB2312"/>
                <w:b/>
                <w:bCs/>
                <w:color w:val="000000" w:themeColor="text1"/>
                <w:sz w:val="24"/>
                <w:szCs w:val="24"/>
                <w:highlight w:val="none"/>
                <w14:textFill>
                  <w14:solidFill>
                    <w14:schemeClr w14:val="tx1"/>
                  </w14:solidFill>
                </w14:textFill>
              </w:rPr>
              <w:t>8</w:t>
            </w:r>
          </w:p>
        </w:tc>
        <w:tc>
          <w:tcPr>
            <w:tcW w:w="1209" w:type="dxa"/>
            <w:vMerge w:val="continue"/>
            <w:vAlign w:val="center"/>
          </w:tcPr>
          <w:p w14:paraId="349D195F">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p>
        </w:tc>
        <w:tc>
          <w:tcPr>
            <w:tcW w:w="1974" w:type="dxa"/>
            <w:vAlign w:val="center"/>
          </w:tcPr>
          <w:p w14:paraId="1CEF0A46">
            <w:pPr>
              <w:autoSpaceDE w:val="0"/>
              <w:autoSpaceDN w:val="0"/>
              <w:adjustRightInd w:val="0"/>
              <w:spacing w:line="400" w:lineRule="exact"/>
              <w:jc w:val="left"/>
              <w:rPr>
                <w:rFonts w:hint="eastAsia" w:ascii="仿宋_GB2312" w:hAnsi="仿宋_GB2312" w:eastAsia="仿宋_GB2312" w:cs="仿宋_GB2312"/>
                <w:b/>
                <w:bCs/>
                <w:color w:val="FF0000"/>
                <w:sz w:val="24"/>
                <w:szCs w:val="24"/>
                <w:highlight w:val="none"/>
                <w:lang w:val="zh-CN"/>
              </w:rPr>
            </w:pPr>
            <w:r>
              <w:rPr>
                <w:rFonts w:hint="eastAsia" w:ascii="仿宋_GB2312" w:hAnsi="仿宋_GB2312" w:eastAsia="仿宋_GB2312" w:cs="仿宋_GB2312"/>
                <w:b/>
                <w:bCs/>
                <w:sz w:val="24"/>
                <w:szCs w:val="24"/>
                <w:highlight w:val="none"/>
                <w:lang w:val="zh-CN"/>
              </w:rPr>
              <w:t>分包合同签证管理</w:t>
            </w:r>
          </w:p>
        </w:tc>
        <w:tc>
          <w:tcPr>
            <w:tcW w:w="5117" w:type="dxa"/>
            <w:vAlign w:val="center"/>
          </w:tcPr>
          <w:p w14:paraId="17C6B285">
            <w:pPr>
              <w:autoSpaceDE w:val="0"/>
              <w:autoSpaceDN w:val="0"/>
              <w:adjustRightInd w:val="0"/>
              <w:spacing w:line="400" w:lineRule="exact"/>
              <w:jc w:val="left"/>
              <w:rPr>
                <w:rFonts w:hint="eastAsia" w:ascii="仿宋_GB2312" w:hAnsi="仿宋_GB2312" w:eastAsia="仿宋_GB2312" w:cs="仿宋_GB2312"/>
                <w:b/>
                <w:bCs/>
                <w:color w:val="FF0000"/>
                <w:sz w:val="24"/>
                <w:szCs w:val="24"/>
                <w:highlight w:val="none"/>
                <w:lang w:val="zh-CN"/>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分包合同签证接收与初审(单份单项额度2万元以下的经济签证签署至项目经理，单份单项额度2万元以上的经济签证应签署至子企业总经济师。对同一个分包商累计现场签证不得超过10万元，且不得超过分包合同额的5%；结果需报公司/分公司审核，审核后方可作为结算依据）</w:t>
            </w:r>
          </w:p>
        </w:tc>
      </w:tr>
      <w:tr w14:paraId="4CA19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0DFB8E7B">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1</w:t>
            </w:r>
            <w:r>
              <w:rPr>
                <w:rFonts w:hint="eastAsia" w:ascii="仿宋_GB2312" w:hAnsi="仿宋_GB2312" w:eastAsia="仿宋_GB2312" w:cs="仿宋_GB2312"/>
                <w:b/>
                <w:bCs/>
                <w:color w:val="000000" w:themeColor="text1"/>
                <w:sz w:val="24"/>
                <w:szCs w:val="24"/>
                <w:highlight w:val="none"/>
                <w14:textFill>
                  <w14:solidFill>
                    <w14:schemeClr w14:val="tx1"/>
                  </w14:solidFill>
                </w14:textFill>
              </w:rPr>
              <w:t>9</w:t>
            </w:r>
          </w:p>
        </w:tc>
        <w:tc>
          <w:tcPr>
            <w:tcW w:w="1209" w:type="dxa"/>
            <w:vMerge w:val="continue"/>
            <w:vAlign w:val="center"/>
          </w:tcPr>
          <w:p w14:paraId="1E1C4EBB">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p>
        </w:tc>
        <w:tc>
          <w:tcPr>
            <w:tcW w:w="1974" w:type="dxa"/>
            <w:shd w:val="clear" w:color="auto" w:fill="auto"/>
            <w:vAlign w:val="center"/>
          </w:tcPr>
          <w:p w14:paraId="064B7607">
            <w:pPr>
              <w:autoSpaceDE w:val="0"/>
              <w:autoSpaceDN w:val="0"/>
              <w:adjustRightInd w:val="0"/>
              <w:spacing w:line="400" w:lineRule="exact"/>
              <w:jc w:val="left"/>
              <w:rPr>
                <w:rFonts w:hint="eastAsia" w:ascii="仿宋_GB2312" w:hAnsi="仿宋_GB2312" w:eastAsia="仿宋_GB2312" w:cs="仿宋_GB2312"/>
                <w:b/>
                <w:bCs/>
                <w:sz w:val="24"/>
                <w:szCs w:val="24"/>
                <w:highlight w:val="none"/>
                <w:lang w:val="zh-CN"/>
              </w:rPr>
            </w:pPr>
            <w:r>
              <w:rPr>
                <w:rFonts w:hint="eastAsia" w:ascii="仿宋_GB2312" w:hAnsi="仿宋_GB2312" w:eastAsia="仿宋_GB2312" w:cs="仿宋_GB2312"/>
                <w:b/>
                <w:bCs/>
                <w:sz w:val="24"/>
                <w:szCs w:val="24"/>
                <w:highlight w:val="none"/>
                <w:lang w:val="zh-CN"/>
              </w:rPr>
              <w:t>分包单位进退场</w:t>
            </w:r>
          </w:p>
        </w:tc>
        <w:tc>
          <w:tcPr>
            <w:tcW w:w="5117" w:type="dxa"/>
            <w:shd w:val="clear" w:color="auto" w:fill="auto"/>
            <w:vAlign w:val="center"/>
          </w:tcPr>
          <w:p w14:paraId="256F1771">
            <w:pPr>
              <w:autoSpaceDE w:val="0"/>
              <w:autoSpaceDN w:val="0"/>
              <w:adjustRightInd w:val="0"/>
              <w:spacing w:line="400" w:lineRule="exact"/>
              <w:jc w:val="left"/>
              <w:rPr>
                <w:rFonts w:hint="eastAsia" w:ascii="仿宋_GB2312" w:hAnsi="仿宋_GB2312" w:eastAsia="仿宋_GB2312" w:cs="仿宋_GB2312"/>
                <w:b/>
                <w:bCs/>
                <w:sz w:val="24"/>
                <w:szCs w:val="24"/>
                <w:highlight w:val="none"/>
                <w:lang w:val="zh-CN"/>
              </w:rPr>
            </w:pPr>
            <w:r>
              <w:rPr>
                <w:rFonts w:hint="eastAsia" w:ascii="仿宋_GB2312" w:hAnsi="仿宋_GB2312" w:eastAsia="仿宋_GB2312" w:cs="仿宋_GB2312"/>
                <w:b/>
                <w:bCs/>
                <w:sz w:val="24"/>
                <w:szCs w:val="24"/>
                <w:highlight w:val="none"/>
                <w:lang w:val="zh-CN"/>
              </w:rPr>
              <w:t>有权确认分包人员、机械、材料等施工资源进退场。</w:t>
            </w:r>
          </w:p>
        </w:tc>
      </w:tr>
      <w:tr w14:paraId="34A2D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384D199B">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20</w:t>
            </w:r>
          </w:p>
        </w:tc>
        <w:tc>
          <w:tcPr>
            <w:tcW w:w="1209" w:type="dxa"/>
            <w:vMerge w:val="continue"/>
            <w:vAlign w:val="center"/>
          </w:tcPr>
          <w:p w14:paraId="4A8184BD">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p>
        </w:tc>
        <w:tc>
          <w:tcPr>
            <w:tcW w:w="1974" w:type="dxa"/>
            <w:vAlign w:val="center"/>
          </w:tcPr>
          <w:p w14:paraId="73B0D5FB">
            <w:pPr>
              <w:autoSpaceDE w:val="0"/>
              <w:autoSpaceDN w:val="0"/>
              <w:adjustRightInd w:val="0"/>
              <w:spacing w:line="400" w:lineRule="exact"/>
              <w:jc w:val="left"/>
              <w:rPr>
                <w:rFonts w:hint="eastAsia" w:ascii="仿宋_GB2312" w:hAnsi="仿宋_GB2312" w:eastAsia="仿宋_GB2312" w:cs="仿宋_GB2312"/>
                <w:b/>
                <w:bCs/>
                <w:sz w:val="24"/>
                <w:szCs w:val="24"/>
                <w:highlight w:val="none"/>
                <w:lang w:val="zh-CN"/>
              </w:rPr>
            </w:pPr>
            <w:r>
              <w:rPr>
                <w:rFonts w:hint="eastAsia" w:ascii="仿宋_GB2312" w:hAnsi="仿宋_GB2312" w:eastAsia="仿宋_GB2312" w:cs="仿宋_GB2312"/>
                <w:b/>
                <w:bCs/>
                <w:sz w:val="24"/>
                <w:szCs w:val="24"/>
                <w:highlight w:val="none"/>
                <w:lang w:val="zh-CN"/>
              </w:rPr>
              <w:t>劳动力分配计划</w:t>
            </w:r>
          </w:p>
        </w:tc>
        <w:tc>
          <w:tcPr>
            <w:tcW w:w="5117" w:type="dxa"/>
            <w:vAlign w:val="center"/>
          </w:tcPr>
          <w:p w14:paraId="0383620B">
            <w:pPr>
              <w:autoSpaceDE w:val="0"/>
              <w:autoSpaceDN w:val="0"/>
              <w:adjustRightInd w:val="0"/>
              <w:spacing w:line="400" w:lineRule="exact"/>
              <w:jc w:val="left"/>
              <w:rPr>
                <w:rFonts w:hint="eastAsia" w:ascii="仿宋_GB2312" w:hAnsi="仿宋_GB2312" w:eastAsia="仿宋_GB2312" w:cs="仿宋_GB2312"/>
                <w:b/>
                <w:bCs/>
                <w:sz w:val="24"/>
                <w:szCs w:val="24"/>
                <w:highlight w:val="none"/>
                <w:lang w:val="zh-CN"/>
              </w:rPr>
            </w:pPr>
            <w:r>
              <w:rPr>
                <w:rFonts w:hint="eastAsia" w:ascii="仿宋_GB2312" w:hAnsi="仿宋_GB2312" w:eastAsia="仿宋_GB2312" w:cs="仿宋_GB2312"/>
                <w:b/>
                <w:bCs/>
                <w:sz w:val="24"/>
                <w:szCs w:val="24"/>
                <w:highlight w:val="none"/>
                <w:lang w:val="zh-CN"/>
              </w:rPr>
              <w:t>有权要求分包方按要求配置劳动力。</w:t>
            </w:r>
          </w:p>
        </w:tc>
      </w:tr>
      <w:tr w14:paraId="5CDAC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5A018B83">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2</w:t>
            </w:r>
            <w:r>
              <w:rPr>
                <w:rFonts w:hint="eastAsia" w:ascii="仿宋_GB2312" w:hAnsi="仿宋_GB2312" w:eastAsia="仿宋_GB2312" w:cs="仿宋_GB2312"/>
                <w:b/>
                <w:bCs/>
                <w:color w:val="000000" w:themeColor="text1"/>
                <w:sz w:val="24"/>
                <w:szCs w:val="24"/>
                <w:highlight w:val="none"/>
                <w14:textFill>
                  <w14:solidFill>
                    <w14:schemeClr w14:val="tx1"/>
                  </w14:solidFill>
                </w14:textFill>
              </w:rPr>
              <w:t>1</w:t>
            </w:r>
          </w:p>
        </w:tc>
        <w:tc>
          <w:tcPr>
            <w:tcW w:w="1209" w:type="dxa"/>
            <w:vMerge w:val="continue"/>
            <w:vAlign w:val="center"/>
          </w:tcPr>
          <w:p w14:paraId="3AC0723F">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p>
        </w:tc>
        <w:tc>
          <w:tcPr>
            <w:tcW w:w="1974" w:type="dxa"/>
            <w:vAlign w:val="center"/>
          </w:tcPr>
          <w:p w14:paraId="1B5531AB">
            <w:pPr>
              <w:autoSpaceDE w:val="0"/>
              <w:autoSpaceDN w:val="0"/>
              <w:adjustRightInd w:val="0"/>
              <w:spacing w:line="400" w:lineRule="exact"/>
              <w:jc w:val="left"/>
              <w:rPr>
                <w:rFonts w:hint="eastAsia" w:ascii="仿宋_GB2312" w:hAnsi="仿宋_GB2312" w:eastAsia="仿宋_GB2312" w:cs="仿宋_GB2312"/>
                <w:b/>
                <w:bCs/>
                <w:sz w:val="24"/>
                <w:szCs w:val="24"/>
                <w:highlight w:val="none"/>
                <w:lang w:val="zh-CN"/>
              </w:rPr>
            </w:pPr>
            <w:r>
              <w:rPr>
                <w:rFonts w:hint="eastAsia" w:ascii="仿宋_GB2312" w:hAnsi="仿宋_GB2312" w:eastAsia="仿宋_GB2312" w:cs="仿宋_GB2312"/>
                <w:b/>
                <w:bCs/>
                <w:sz w:val="24"/>
                <w:szCs w:val="24"/>
                <w:highlight w:val="none"/>
                <w:lang w:val="zh-CN"/>
              </w:rPr>
              <w:t>现场零星工程指令</w:t>
            </w:r>
          </w:p>
        </w:tc>
        <w:tc>
          <w:tcPr>
            <w:tcW w:w="5117" w:type="dxa"/>
            <w:vAlign w:val="center"/>
          </w:tcPr>
          <w:p w14:paraId="120A8595">
            <w:pPr>
              <w:autoSpaceDE w:val="0"/>
              <w:autoSpaceDN w:val="0"/>
              <w:adjustRightInd w:val="0"/>
              <w:spacing w:line="400" w:lineRule="exact"/>
              <w:jc w:val="left"/>
              <w:rPr>
                <w:rFonts w:hint="eastAsia" w:ascii="仿宋_GB2312" w:hAnsi="仿宋_GB2312" w:eastAsia="仿宋_GB2312" w:cs="仿宋_GB2312"/>
                <w:b/>
                <w:bCs/>
                <w:sz w:val="24"/>
                <w:szCs w:val="24"/>
                <w:highlight w:val="none"/>
                <w:lang w:val="zh-CN"/>
              </w:rPr>
            </w:pPr>
            <w:r>
              <w:rPr>
                <w:rFonts w:hint="eastAsia" w:ascii="仿宋_GB2312" w:hAnsi="仿宋_GB2312" w:eastAsia="仿宋_GB2312" w:cs="仿宋_GB2312"/>
                <w:b/>
                <w:bCs/>
                <w:sz w:val="24"/>
                <w:szCs w:val="24"/>
                <w:highlight w:val="none"/>
                <w:lang w:val="zh-CN"/>
              </w:rPr>
              <w:t>有权根据需要向分</w:t>
            </w:r>
            <w:r>
              <w:rPr>
                <w:rFonts w:hint="eastAsia" w:ascii="仿宋_GB2312" w:hAnsi="仿宋_GB2312" w:eastAsia="仿宋_GB2312" w:cs="仿宋_GB2312"/>
                <w:b/>
                <w:bCs/>
                <w:sz w:val="24"/>
                <w:szCs w:val="24"/>
                <w:highlight w:val="none"/>
              </w:rPr>
              <w:t>包</w:t>
            </w:r>
            <w:r>
              <w:rPr>
                <w:rFonts w:hint="eastAsia" w:ascii="仿宋_GB2312" w:hAnsi="仿宋_GB2312" w:eastAsia="仿宋_GB2312" w:cs="仿宋_GB2312"/>
                <w:b/>
                <w:bCs/>
                <w:sz w:val="24"/>
                <w:szCs w:val="24"/>
                <w:highlight w:val="none"/>
                <w:lang w:val="zh-CN"/>
              </w:rPr>
              <w:t>方签发现场零星工程指令（金额在2万元以内）。</w:t>
            </w:r>
          </w:p>
        </w:tc>
      </w:tr>
      <w:tr w14:paraId="64445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Merge w:val="restart"/>
            <w:vAlign w:val="center"/>
          </w:tcPr>
          <w:p w14:paraId="77CD7A1C">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2</w:t>
            </w:r>
            <w:r>
              <w:rPr>
                <w:rFonts w:hint="eastAsia" w:ascii="仿宋_GB2312" w:hAnsi="仿宋_GB2312" w:eastAsia="仿宋_GB2312" w:cs="仿宋_GB2312"/>
                <w:b/>
                <w:bCs/>
                <w:color w:val="000000" w:themeColor="text1"/>
                <w:sz w:val="24"/>
                <w:szCs w:val="24"/>
                <w:highlight w:val="none"/>
                <w14:textFill>
                  <w14:solidFill>
                    <w14:schemeClr w14:val="tx1"/>
                  </w14:solidFill>
                </w14:textFill>
              </w:rPr>
              <w:t>2</w:t>
            </w:r>
          </w:p>
        </w:tc>
        <w:tc>
          <w:tcPr>
            <w:tcW w:w="1209" w:type="dxa"/>
            <w:vMerge w:val="continue"/>
            <w:vAlign w:val="center"/>
          </w:tcPr>
          <w:p w14:paraId="0DCA443C">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p>
        </w:tc>
        <w:tc>
          <w:tcPr>
            <w:tcW w:w="1974" w:type="dxa"/>
            <w:vMerge w:val="restart"/>
            <w:vAlign w:val="center"/>
          </w:tcPr>
          <w:p w14:paraId="4725ED6B">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紧急采购、零星物资采购</w:t>
            </w:r>
          </w:p>
        </w:tc>
        <w:tc>
          <w:tcPr>
            <w:tcW w:w="5117" w:type="dxa"/>
            <w:vAlign w:val="center"/>
          </w:tcPr>
          <w:p w14:paraId="1CB205A0">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零星采购：</w:t>
            </w:r>
            <w:r>
              <w:rPr>
                <w:rFonts w:hint="eastAsia" w:ascii="仿宋_GB2312" w:hAnsi="仿宋_GB2312" w:eastAsia="仿宋_GB2312" w:cs="仿宋_GB2312"/>
                <w:b/>
                <w:bCs/>
                <w:sz w:val="24"/>
                <w:szCs w:val="24"/>
                <w:highlight w:val="none"/>
              </w:rPr>
              <w:t>按制度权限、额度审批后采购。</w:t>
            </w:r>
          </w:p>
        </w:tc>
      </w:tr>
      <w:tr w14:paraId="745F2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Merge w:val="continue"/>
            <w:vAlign w:val="center"/>
          </w:tcPr>
          <w:p w14:paraId="1F1E1AD7">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p>
        </w:tc>
        <w:tc>
          <w:tcPr>
            <w:tcW w:w="1209" w:type="dxa"/>
            <w:vMerge w:val="continue"/>
            <w:vAlign w:val="center"/>
          </w:tcPr>
          <w:p w14:paraId="267887FF">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p>
        </w:tc>
        <w:tc>
          <w:tcPr>
            <w:tcW w:w="1974" w:type="dxa"/>
            <w:vMerge w:val="continue"/>
            <w:vAlign w:val="center"/>
          </w:tcPr>
          <w:p w14:paraId="69EED4C4">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p>
        </w:tc>
        <w:tc>
          <w:tcPr>
            <w:tcW w:w="5117" w:type="dxa"/>
            <w:vAlign w:val="center"/>
          </w:tcPr>
          <w:p w14:paraId="1EED54C5">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紧急采购：报公司审核后，项目实施采购。</w:t>
            </w:r>
          </w:p>
        </w:tc>
      </w:tr>
      <w:tr w14:paraId="5EE36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60B445AA">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2</w:t>
            </w:r>
            <w:r>
              <w:rPr>
                <w:rFonts w:hint="eastAsia" w:ascii="仿宋_GB2312" w:hAnsi="仿宋_GB2312" w:eastAsia="仿宋_GB2312" w:cs="仿宋_GB2312"/>
                <w:b/>
                <w:bCs/>
                <w:color w:val="000000" w:themeColor="text1"/>
                <w:sz w:val="24"/>
                <w:szCs w:val="24"/>
                <w:highlight w:val="none"/>
                <w14:textFill>
                  <w14:solidFill>
                    <w14:schemeClr w14:val="tx1"/>
                  </w14:solidFill>
                </w14:textFill>
              </w:rPr>
              <w:t>3</w:t>
            </w:r>
          </w:p>
        </w:tc>
        <w:tc>
          <w:tcPr>
            <w:tcW w:w="1209" w:type="dxa"/>
            <w:vMerge w:val="continue"/>
            <w:vAlign w:val="center"/>
          </w:tcPr>
          <w:p w14:paraId="13BF5287">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p>
        </w:tc>
        <w:tc>
          <w:tcPr>
            <w:tcW w:w="1974" w:type="dxa"/>
            <w:vAlign w:val="center"/>
          </w:tcPr>
          <w:p w14:paraId="0BEC421B">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材料、料具、设备进退场</w:t>
            </w:r>
          </w:p>
        </w:tc>
        <w:tc>
          <w:tcPr>
            <w:tcW w:w="5117" w:type="dxa"/>
            <w:vAlign w:val="center"/>
          </w:tcPr>
          <w:p w14:paraId="3BE31354">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有权向</w:t>
            </w:r>
            <w:r>
              <w:rPr>
                <w:rFonts w:hint="eastAsia" w:ascii="仿宋_GB2312" w:hAnsi="仿宋_GB2312" w:eastAsia="仿宋_GB2312" w:cs="仿宋_GB2312"/>
                <w:b/>
                <w:bCs/>
                <w:color w:val="000000" w:themeColor="text1"/>
                <w:sz w:val="24"/>
                <w:szCs w:val="24"/>
                <w:highlight w:val="none"/>
                <w:lang w:val="en-US" w:eastAsia="zh-CN"/>
                <w14:textFill>
                  <w14:solidFill>
                    <w14:schemeClr w14:val="tx1"/>
                  </w14:solidFill>
                </w14:textFill>
              </w:rPr>
              <w:t>供应</w:t>
            </w:r>
            <w:r>
              <w:rPr>
                <w:rFonts w:hint="eastAsia" w:ascii="仿宋_GB2312" w:hAnsi="仿宋_GB2312" w:eastAsia="仿宋_GB2312" w:cs="仿宋_GB2312"/>
                <w:b/>
                <w:bCs/>
                <w:color w:val="000000" w:themeColor="text1"/>
                <w:sz w:val="24"/>
                <w:szCs w:val="24"/>
                <w:highlight w:val="none"/>
                <w14:textFill>
                  <w14:solidFill>
                    <w14:schemeClr w14:val="tx1"/>
                  </w14:solidFill>
                </w14:textFill>
              </w:rPr>
              <w:t>方</w:t>
            </w: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发送物资进退场通知单；有权确认材料、料具、设备及退货材料的进退场单据。</w:t>
            </w:r>
          </w:p>
        </w:tc>
      </w:tr>
      <w:tr w14:paraId="05EF8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69461E6E">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24</w:t>
            </w:r>
          </w:p>
        </w:tc>
        <w:tc>
          <w:tcPr>
            <w:tcW w:w="1209" w:type="dxa"/>
            <w:vMerge w:val="continue"/>
            <w:vAlign w:val="center"/>
          </w:tcPr>
          <w:p w14:paraId="46F0C593">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p>
        </w:tc>
        <w:tc>
          <w:tcPr>
            <w:tcW w:w="1974" w:type="dxa"/>
            <w:vAlign w:val="center"/>
          </w:tcPr>
          <w:p w14:paraId="132E1E35">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材料、料具、设备</w:t>
            </w:r>
            <w:r>
              <w:rPr>
                <w:rFonts w:hint="eastAsia" w:ascii="仿宋_GB2312" w:hAnsi="仿宋_GB2312" w:eastAsia="仿宋_GB2312" w:cs="仿宋_GB2312"/>
                <w:b/>
                <w:bCs/>
                <w:color w:val="000000" w:themeColor="text1"/>
                <w:sz w:val="24"/>
                <w:szCs w:val="24"/>
                <w:highlight w:val="none"/>
                <w14:textFill>
                  <w14:solidFill>
                    <w14:schemeClr w14:val="tx1"/>
                  </w14:solidFill>
                </w14:textFill>
              </w:rPr>
              <w:t>检验</w:t>
            </w:r>
          </w:p>
        </w:tc>
        <w:tc>
          <w:tcPr>
            <w:tcW w:w="5117" w:type="dxa"/>
            <w:vAlign w:val="center"/>
          </w:tcPr>
          <w:p w14:paraId="3061448D">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对乙方</w:t>
            </w:r>
            <w:r>
              <w:rPr>
                <w:rFonts w:hint="eastAsia" w:ascii="仿宋_GB2312" w:hAnsi="仿宋_GB2312" w:eastAsia="仿宋_GB2312" w:cs="仿宋_GB2312"/>
                <w:b/>
                <w:bCs/>
                <w:color w:val="000000" w:themeColor="text1"/>
                <w:sz w:val="24"/>
                <w:szCs w:val="24"/>
                <w:highlight w:val="none"/>
                <w14:textFill>
                  <w14:solidFill>
                    <w14:schemeClr w14:val="tx1"/>
                  </w14:solidFill>
                </w14:textFill>
              </w:rPr>
              <w:t>物资</w:t>
            </w: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设备进行检验、试验、检测与计量，联系乙方退货或更换，出具进场设备不合格记录。</w:t>
            </w:r>
          </w:p>
        </w:tc>
      </w:tr>
      <w:tr w14:paraId="3A225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09613FAA">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2</w:t>
            </w:r>
            <w:r>
              <w:rPr>
                <w:rFonts w:hint="eastAsia" w:ascii="仿宋_GB2312" w:hAnsi="仿宋_GB2312" w:eastAsia="仿宋_GB2312" w:cs="仿宋_GB2312"/>
                <w:b/>
                <w:bCs/>
                <w:color w:val="000000" w:themeColor="text1"/>
                <w:sz w:val="24"/>
                <w:szCs w:val="24"/>
                <w:highlight w:val="none"/>
                <w14:textFill>
                  <w14:solidFill>
                    <w14:schemeClr w14:val="tx1"/>
                  </w14:solidFill>
                </w14:textFill>
              </w:rPr>
              <w:t>5</w:t>
            </w:r>
          </w:p>
        </w:tc>
        <w:tc>
          <w:tcPr>
            <w:tcW w:w="1209" w:type="dxa"/>
            <w:vMerge w:val="continue"/>
            <w:vAlign w:val="center"/>
          </w:tcPr>
          <w:p w14:paraId="2D5D2933">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p>
        </w:tc>
        <w:tc>
          <w:tcPr>
            <w:tcW w:w="1974" w:type="dxa"/>
            <w:vAlign w:val="center"/>
          </w:tcPr>
          <w:p w14:paraId="745FEC71">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物资发放</w:t>
            </w:r>
          </w:p>
        </w:tc>
        <w:tc>
          <w:tcPr>
            <w:tcW w:w="5117" w:type="dxa"/>
            <w:vAlign w:val="center"/>
          </w:tcPr>
          <w:p w14:paraId="403F3E8E">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有权确认有关物资发放的领料单、退货单、混凝土浇灌申请表（不含调拨单）。</w:t>
            </w:r>
          </w:p>
        </w:tc>
      </w:tr>
      <w:tr w14:paraId="695F6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6F66AB6C">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2</w:t>
            </w:r>
            <w:r>
              <w:rPr>
                <w:rFonts w:hint="eastAsia" w:ascii="仿宋_GB2312" w:hAnsi="仿宋_GB2312" w:eastAsia="仿宋_GB2312" w:cs="仿宋_GB2312"/>
                <w:b/>
                <w:bCs/>
                <w:color w:val="000000" w:themeColor="text1"/>
                <w:sz w:val="24"/>
                <w:szCs w:val="24"/>
                <w:highlight w:val="none"/>
                <w14:textFill>
                  <w14:solidFill>
                    <w14:schemeClr w14:val="tx1"/>
                  </w14:solidFill>
                </w14:textFill>
              </w:rPr>
              <w:t>6</w:t>
            </w:r>
          </w:p>
        </w:tc>
        <w:tc>
          <w:tcPr>
            <w:tcW w:w="1209" w:type="dxa"/>
            <w:vMerge w:val="continue"/>
            <w:vAlign w:val="center"/>
          </w:tcPr>
          <w:p w14:paraId="434FDA54">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p>
        </w:tc>
        <w:tc>
          <w:tcPr>
            <w:tcW w:w="1974" w:type="dxa"/>
            <w:vAlign w:val="center"/>
          </w:tcPr>
          <w:p w14:paraId="53FE9B7A">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履约整改通知</w:t>
            </w:r>
          </w:p>
        </w:tc>
        <w:tc>
          <w:tcPr>
            <w:tcW w:w="5117" w:type="dxa"/>
            <w:vAlign w:val="center"/>
          </w:tcPr>
          <w:p w14:paraId="2A209F3D">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对</w:t>
            </w:r>
            <w:r>
              <w:rPr>
                <w:rFonts w:hint="eastAsia" w:ascii="仿宋_GB2312" w:hAnsi="仿宋_GB2312" w:eastAsia="仿宋_GB2312" w:cs="仿宋_GB2312"/>
                <w:b/>
                <w:bCs/>
                <w:color w:val="000000" w:themeColor="text1"/>
                <w:sz w:val="24"/>
                <w:szCs w:val="24"/>
                <w:highlight w:val="none"/>
                <w:lang w:val="en-US" w:eastAsia="zh-CN"/>
                <w14:textFill>
                  <w14:solidFill>
                    <w14:schemeClr w14:val="tx1"/>
                  </w14:solidFill>
                </w14:textFill>
              </w:rPr>
              <w:t>乙</w:t>
            </w: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方工程项目的履约情况进行监控和核查，发现问题后，有权通知要求</w:t>
            </w:r>
            <w:r>
              <w:rPr>
                <w:rFonts w:hint="eastAsia" w:ascii="仿宋_GB2312" w:hAnsi="仿宋_GB2312" w:eastAsia="仿宋_GB2312" w:cs="仿宋_GB2312"/>
                <w:b/>
                <w:bCs/>
                <w:color w:val="000000" w:themeColor="text1"/>
                <w:sz w:val="24"/>
                <w:szCs w:val="24"/>
                <w:highlight w:val="none"/>
                <w:lang w:val="en-US" w:eastAsia="zh-CN"/>
                <w14:textFill>
                  <w14:solidFill>
                    <w14:schemeClr w14:val="tx1"/>
                  </w14:solidFill>
                </w14:textFill>
              </w:rPr>
              <w:t>乙</w:t>
            </w: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方进行整改。</w:t>
            </w:r>
          </w:p>
        </w:tc>
      </w:tr>
      <w:tr w14:paraId="716A0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2C23BCB9">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2</w:t>
            </w:r>
            <w:r>
              <w:rPr>
                <w:rFonts w:hint="eastAsia" w:ascii="仿宋_GB2312" w:hAnsi="仿宋_GB2312" w:eastAsia="仿宋_GB2312" w:cs="仿宋_GB2312"/>
                <w:b/>
                <w:bCs/>
                <w:color w:val="000000" w:themeColor="text1"/>
                <w:sz w:val="24"/>
                <w:szCs w:val="24"/>
                <w:highlight w:val="none"/>
                <w14:textFill>
                  <w14:solidFill>
                    <w14:schemeClr w14:val="tx1"/>
                  </w14:solidFill>
                </w14:textFill>
              </w:rPr>
              <w:t>7</w:t>
            </w:r>
          </w:p>
        </w:tc>
        <w:tc>
          <w:tcPr>
            <w:tcW w:w="1209" w:type="dxa"/>
            <w:vMerge w:val="continue"/>
            <w:vAlign w:val="center"/>
          </w:tcPr>
          <w:p w14:paraId="0A8456F6">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p>
        </w:tc>
        <w:tc>
          <w:tcPr>
            <w:tcW w:w="1974" w:type="dxa"/>
            <w:vAlign w:val="center"/>
          </w:tcPr>
          <w:p w14:paraId="1990F6F7">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en-US" w:eastAsia="zh-CN"/>
                <w14:textFill>
                  <w14:solidFill>
                    <w14:schemeClr w14:val="tx1"/>
                  </w14:solidFill>
                </w14:textFill>
              </w:rPr>
              <w:t>乙</w:t>
            </w: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方处罚</w:t>
            </w:r>
          </w:p>
        </w:tc>
        <w:tc>
          <w:tcPr>
            <w:tcW w:w="5117" w:type="dxa"/>
            <w:vAlign w:val="center"/>
          </w:tcPr>
          <w:p w14:paraId="44227FDB">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有权根据合同约定对不服从管理或违约的</w:t>
            </w:r>
            <w:r>
              <w:rPr>
                <w:rFonts w:hint="eastAsia" w:ascii="仿宋_GB2312" w:hAnsi="仿宋_GB2312" w:eastAsia="仿宋_GB2312" w:cs="仿宋_GB2312"/>
                <w:b/>
                <w:bCs/>
                <w:color w:val="000000" w:themeColor="text1"/>
                <w:sz w:val="24"/>
                <w:szCs w:val="24"/>
                <w:highlight w:val="none"/>
                <w:lang w:val="en-US" w:eastAsia="zh-CN"/>
                <w14:textFill>
                  <w14:solidFill>
                    <w14:schemeClr w14:val="tx1"/>
                  </w14:solidFill>
                </w14:textFill>
              </w:rPr>
              <w:t>乙</w:t>
            </w: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方作出处罚的决定。</w:t>
            </w:r>
          </w:p>
        </w:tc>
      </w:tr>
      <w:tr w14:paraId="7CD29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4E3E250A">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28</w:t>
            </w:r>
          </w:p>
        </w:tc>
        <w:tc>
          <w:tcPr>
            <w:tcW w:w="1209" w:type="dxa"/>
            <w:vMerge w:val="continue"/>
            <w:vAlign w:val="center"/>
          </w:tcPr>
          <w:p w14:paraId="1A1DDCE3">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p>
        </w:tc>
        <w:tc>
          <w:tcPr>
            <w:tcW w:w="1974" w:type="dxa"/>
            <w:vAlign w:val="center"/>
          </w:tcPr>
          <w:p w14:paraId="550CA950">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结算初步办理</w:t>
            </w:r>
          </w:p>
        </w:tc>
        <w:tc>
          <w:tcPr>
            <w:tcW w:w="5117" w:type="dxa"/>
            <w:vAlign w:val="center"/>
          </w:tcPr>
          <w:p w14:paraId="6585936C">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初步编制结算单提交甲方</w:t>
            </w:r>
            <w:r>
              <w:rPr>
                <w:rFonts w:hint="eastAsia" w:ascii="仿宋_GB2312" w:hAnsi="仿宋_GB2312" w:eastAsia="仿宋_GB2312" w:cs="仿宋_GB2312"/>
                <w:b/>
                <w:bCs/>
                <w:color w:val="000000" w:themeColor="text1"/>
                <w:sz w:val="24"/>
                <w:szCs w:val="24"/>
                <w:highlight w:val="none"/>
                <w14:textFill>
                  <w14:solidFill>
                    <w14:schemeClr w14:val="tx1"/>
                  </w14:solidFill>
                </w14:textFill>
              </w:rPr>
              <w:t>分子公司/集团</w:t>
            </w: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确认。</w:t>
            </w:r>
          </w:p>
        </w:tc>
      </w:tr>
      <w:tr w14:paraId="44A22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2C6AC0D8">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2</w:t>
            </w:r>
            <w:r>
              <w:rPr>
                <w:rFonts w:hint="eastAsia" w:ascii="仿宋_GB2312" w:hAnsi="仿宋_GB2312" w:eastAsia="仿宋_GB2312" w:cs="仿宋_GB2312"/>
                <w:b/>
                <w:bCs/>
                <w:color w:val="000000" w:themeColor="text1"/>
                <w:sz w:val="24"/>
                <w:szCs w:val="24"/>
                <w:highlight w:val="none"/>
                <w14:textFill>
                  <w14:solidFill>
                    <w14:schemeClr w14:val="tx1"/>
                  </w14:solidFill>
                </w14:textFill>
              </w:rPr>
              <w:t>9</w:t>
            </w:r>
          </w:p>
        </w:tc>
        <w:tc>
          <w:tcPr>
            <w:tcW w:w="1209" w:type="dxa"/>
            <w:vMerge w:val="continue"/>
            <w:vAlign w:val="center"/>
          </w:tcPr>
          <w:p w14:paraId="703E88BC">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p>
        </w:tc>
        <w:tc>
          <w:tcPr>
            <w:tcW w:w="1974" w:type="dxa"/>
            <w:vAlign w:val="center"/>
          </w:tcPr>
          <w:p w14:paraId="03D21578">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en-US" w:eastAsia="zh-CN"/>
                <w14:textFill>
                  <w14:solidFill>
                    <w14:schemeClr w14:val="tx1"/>
                  </w14:solidFill>
                </w14:textFill>
              </w:rPr>
              <w:t>乙</w:t>
            </w: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方结算扣款</w:t>
            </w:r>
          </w:p>
        </w:tc>
        <w:tc>
          <w:tcPr>
            <w:tcW w:w="5117" w:type="dxa"/>
            <w:vAlign w:val="center"/>
          </w:tcPr>
          <w:p w14:paraId="06A7342D">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有权在中间结算和最终结算时扣除</w:t>
            </w:r>
            <w:r>
              <w:rPr>
                <w:rFonts w:hint="eastAsia" w:ascii="仿宋_GB2312" w:hAnsi="仿宋_GB2312" w:eastAsia="仿宋_GB2312" w:cs="仿宋_GB2312"/>
                <w:b/>
                <w:bCs/>
                <w:color w:val="000000" w:themeColor="text1"/>
                <w:sz w:val="24"/>
                <w:szCs w:val="24"/>
                <w:highlight w:val="none"/>
                <w:lang w:val="en-US" w:eastAsia="zh-CN"/>
                <w14:textFill>
                  <w14:solidFill>
                    <w14:schemeClr w14:val="tx1"/>
                  </w14:solidFill>
                </w14:textFill>
              </w:rPr>
              <w:t>乙</w:t>
            </w: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方应扣款项（包括但不限于</w:t>
            </w:r>
            <w:r>
              <w:rPr>
                <w:rFonts w:hint="eastAsia" w:ascii="仿宋_GB2312" w:hAnsi="仿宋_GB2312" w:eastAsia="仿宋_GB2312" w:cs="仿宋_GB2312"/>
                <w:b/>
                <w:bCs/>
                <w:color w:val="000000" w:themeColor="text1"/>
                <w:sz w:val="24"/>
                <w:szCs w:val="24"/>
                <w:highlight w:val="none"/>
                <w14:textFill>
                  <w14:solidFill>
                    <w14:schemeClr w14:val="tx1"/>
                  </w14:solidFill>
                </w14:textFill>
              </w:rPr>
              <w:t>质保金、</w:t>
            </w: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委托采购材料扣款、料具、机械租赁费扣款、项目现场管理费用扣款、临建费、维修费扣款、规费分摊扣款、水电费、罚款及税金扣款等）。</w:t>
            </w:r>
          </w:p>
        </w:tc>
      </w:tr>
      <w:tr w14:paraId="24440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7CB54F7B">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30</w:t>
            </w:r>
          </w:p>
        </w:tc>
        <w:tc>
          <w:tcPr>
            <w:tcW w:w="1209" w:type="dxa"/>
            <w:vMerge w:val="restart"/>
            <w:vAlign w:val="center"/>
          </w:tcPr>
          <w:p w14:paraId="68F023B9">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安全管理</w:t>
            </w:r>
          </w:p>
        </w:tc>
        <w:tc>
          <w:tcPr>
            <w:tcW w:w="1974" w:type="dxa"/>
            <w:vAlign w:val="center"/>
          </w:tcPr>
          <w:p w14:paraId="7C934EAB">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事故现场秩序维护</w:t>
            </w:r>
          </w:p>
        </w:tc>
        <w:tc>
          <w:tcPr>
            <w:tcW w:w="5117" w:type="dxa"/>
            <w:vAlign w:val="center"/>
          </w:tcPr>
          <w:p w14:paraId="2FE42FC9">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有权维护安全事故现场秩序。涉及赔偿的，赔偿数额确定需经</w:t>
            </w:r>
            <w:r>
              <w:rPr>
                <w:rFonts w:hint="eastAsia" w:ascii="仿宋_GB2312" w:hAnsi="仿宋_GB2312" w:eastAsia="仿宋_GB2312" w:cs="仿宋_GB2312"/>
                <w:b/>
                <w:bCs/>
                <w:color w:val="000000" w:themeColor="text1"/>
                <w:sz w:val="24"/>
                <w:szCs w:val="24"/>
                <w:highlight w:val="none"/>
                <w14:textFill>
                  <w14:solidFill>
                    <w14:schemeClr w14:val="tx1"/>
                  </w14:solidFill>
                </w14:textFill>
              </w:rPr>
              <w:t>分子公司</w:t>
            </w: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审批（不含安全事故责任认定及赔偿）。</w:t>
            </w:r>
          </w:p>
        </w:tc>
      </w:tr>
      <w:tr w14:paraId="19020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780BD571">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31</w:t>
            </w:r>
          </w:p>
        </w:tc>
        <w:tc>
          <w:tcPr>
            <w:tcW w:w="1209" w:type="dxa"/>
            <w:vMerge w:val="continue"/>
            <w:vAlign w:val="center"/>
          </w:tcPr>
          <w:p w14:paraId="693E78A9">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p>
        </w:tc>
        <w:tc>
          <w:tcPr>
            <w:tcW w:w="1974" w:type="dxa"/>
            <w:vAlign w:val="center"/>
          </w:tcPr>
          <w:p w14:paraId="2BE6B32F">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安全事故处理方案</w:t>
            </w:r>
          </w:p>
        </w:tc>
        <w:tc>
          <w:tcPr>
            <w:tcW w:w="5117" w:type="dxa"/>
            <w:vAlign w:val="center"/>
          </w:tcPr>
          <w:p w14:paraId="4ED5C633">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发生安全事故后，有权启动应急预案。</w:t>
            </w:r>
          </w:p>
        </w:tc>
      </w:tr>
      <w:tr w14:paraId="36E10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75E1F1B0">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32</w:t>
            </w:r>
          </w:p>
        </w:tc>
        <w:tc>
          <w:tcPr>
            <w:tcW w:w="1209" w:type="dxa"/>
            <w:vMerge w:val="continue"/>
            <w:vAlign w:val="center"/>
          </w:tcPr>
          <w:p w14:paraId="5C8F1C30">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p>
        </w:tc>
        <w:tc>
          <w:tcPr>
            <w:tcW w:w="1974" w:type="dxa"/>
            <w:vAlign w:val="center"/>
          </w:tcPr>
          <w:p w14:paraId="12D688FC">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安全</w:t>
            </w:r>
            <w:r>
              <w:rPr>
                <w:rFonts w:hint="eastAsia" w:ascii="仿宋_GB2312" w:hAnsi="仿宋_GB2312" w:eastAsia="仿宋_GB2312" w:cs="仿宋_GB2312"/>
                <w:b/>
                <w:bCs/>
                <w:color w:val="000000" w:themeColor="text1"/>
                <w:sz w:val="24"/>
                <w:szCs w:val="24"/>
                <w:highlight w:val="none"/>
                <w14:textFill>
                  <w14:solidFill>
                    <w14:schemeClr w14:val="tx1"/>
                  </w14:solidFill>
                </w14:textFill>
              </w:rPr>
              <w:t>整改</w:t>
            </w:r>
          </w:p>
        </w:tc>
        <w:tc>
          <w:tcPr>
            <w:tcW w:w="5117" w:type="dxa"/>
            <w:vAlign w:val="center"/>
          </w:tcPr>
          <w:p w14:paraId="0A44212F">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对存在的安全生产隐患，下达《安全隐患整改通知书》</w:t>
            </w:r>
          </w:p>
          <w:p w14:paraId="48EA1237">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对存在重大安全生产隐患，下达《安全隐患局部停工整改令》</w:t>
            </w:r>
          </w:p>
        </w:tc>
      </w:tr>
      <w:tr w14:paraId="74EC9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5D07CC5E">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33</w:t>
            </w:r>
          </w:p>
        </w:tc>
        <w:tc>
          <w:tcPr>
            <w:tcW w:w="1209" w:type="dxa"/>
            <w:vMerge w:val="restart"/>
            <w:vAlign w:val="center"/>
          </w:tcPr>
          <w:p w14:paraId="261ACE59">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质量管理</w:t>
            </w:r>
          </w:p>
        </w:tc>
        <w:tc>
          <w:tcPr>
            <w:tcW w:w="1974" w:type="dxa"/>
            <w:vAlign w:val="center"/>
          </w:tcPr>
          <w:p w14:paraId="335A17B4">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质量验收</w:t>
            </w:r>
          </w:p>
        </w:tc>
        <w:tc>
          <w:tcPr>
            <w:tcW w:w="5117" w:type="dxa"/>
            <w:vAlign w:val="center"/>
          </w:tcPr>
          <w:p w14:paraId="007F8649">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有权组织实施质量验收工作。</w:t>
            </w:r>
          </w:p>
        </w:tc>
      </w:tr>
      <w:tr w14:paraId="080AF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327FA922">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3</w:t>
            </w:r>
            <w:r>
              <w:rPr>
                <w:rFonts w:hint="eastAsia" w:ascii="仿宋_GB2312" w:hAnsi="仿宋_GB2312" w:eastAsia="仿宋_GB2312" w:cs="仿宋_GB2312"/>
                <w:b/>
                <w:bCs/>
                <w:color w:val="000000" w:themeColor="text1"/>
                <w:sz w:val="24"/>
                <w:szCs w:val="24"/>
                <w:highlight w:val="none"/>
                <w14:textFill>
                  <w14:solidFill>
                    <w14:schemeClr w14:val="tx1"/>
                  </w14:solidFill>
                </w14:textFill>
              </w:rPr>
              <w:t>4</w:t>
            </w:r>
          </w:p>
        </w:tc>
        <w:tc>
          <w:tcPr>
            <w:tcW w:w="1209" w:type="dxa"/>
            <w:vMerge w:val="continue"/>
            <w:vAlign w:val="center"/>
          </w:tcPr>
          <w:p w14:paraId="021FCA4D">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p>
        </w:tc>
        <w:tc>
          <w:tcPr>
            <w:tcW w:w="1974" w:type="dxa"/>
            <w:vAlign w:val="center"/>
          </w:tcPr>
          <w:p w14:paraId="505CA689">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质量事故应急措施</w:t>
            </w:r>
          </w:p>
        </w:tc>
        <w:tc>
          <w:tcPr>
            <w:tcW w:w="5117" w:type="dxa"/>
            <w:vAlign w:val="center"/>
          </w:tcPr>
          <w:p w14:paraId="559EDC4C">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质量事故发生后，有权立即采取措施防止事故扩大（1小时内上报</w:t>
            </w:r>
            <w:r>
              <w:rPr>
                <w:rFonts w:hint="eastAsia" w:ascii="仿宋_GB2312" w:hAnsi="仿宋_GB2312" w:eastAsia="仿宋_GB2312" w:cs="仿宋_GB2312"/>
                <w:b/>
                <w:bCs/>
                <w:color w:val="000000" w:themeColor="text1"/>
                <w:sz w:val="24"/>
                <w:szCs w:val="24"/>
                <w:highlight w:val="none"/>
                <w14:textFill>
                  <w14:solidFill>
                    <w14:schemeClr w14:val="tx1"/>
                  </w14:solidFill>
                </w14:textFill>
              </w:rPr>
              <w:t>分子公司</w:t>
            </w: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w:t>
            </w:r>
          </w:p>
        </w:tc>
      </w:tr>
      <w:tr w14:paraId="1B7FF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76E8C22D">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3</w:t>
            </w:r>
            <w:r>
              <w:rPr>
                <w:rFonts w:hint="eastAsia" w:ascii="仿宋_GB2312" w:hAnsi="仿宋_GB2312" w:eastAsia="仿宋_GB2312" w:cs="仿宋_GB2312"/>
                <w:b/>
                <w:bCs/>
                <w:color w:val="000000" w:themeColor="text1"/>
                <w:sz w:val="24"/>
                <w:szCs w:val="24"/>
                <w:highlight w:val="none"/>
                <w14:textFill>
                  <w14:solidFill>
                    <w14:schemeClr w14:val="tx1"/>
                  </w14:solidFill>
                </w14:textFill>
              </w:rPr>
              <w:t>5</w:t>
            </w:r>
          </w:p>
        </w:tc>
        <w:tc>
          <w:tcPr>
            <w:tcW w:w="1209" w:type="dxa"/>
            <w:vMerge w:val="continue"/>
            <w:vAlign w:val="center"/>
          </w:tcPr>
          <w:p w14:paraId="4DF29CCD">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p>
        </w:tc>
        <w:tc>
          <w:tcPr>
            <w:tcW w:w="1974" w:type="dxa"/>
            <w:vAlign w:val="center"/>
          </w:tcPr>
          <w:p w14:paraId="591BE585">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质量事故处理方案</w:t>
            </w:r>
          </w:p>
        </w:tc>
        <w:tc>
          <w:tcPr>
            <w:tcW w:w="5117" w:type="dxa"/>
            <w:vAlign w:val="center"/>
          </w:tcPr>
          <w:p w14:paraId="47E24C0D">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有权按照</w:t>
            </w:r>
            <w:r>
              <w:rPr>
                <w:rFonts w:hint="eastAsia" w:ascii="仿宋_GB2312" w:hAnsi="仿宋_GB2312" w:eastAsia="仿宋_GB2312" w:cs="仿宋_GB2312"/>
                <w:b/>
                <w:bCs/>
                <w:color w:val="000000" w:themeColor="text1"/>
                <w:sz w:val="24"/>
                <w:szCs w:val="24"/>
                <w:highlight w:val="none"/>
                <w14:textFill>
                  <w14:solidFill>
                    <w14:schemeClr w14:val="tx1"/>
                  </w14:solidFill>
                </w14:textFill>
              </w:rPr>
              <w:t>集团</w:t>
            </w: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w:t>
            </w:r>
            <w:r>
              <w:rPr>
                <w:rFonts w:hint="eastAsia" w:ascii="仿宋_GB2312" w:hAnsi="仿宋_GB2312" w:eastAsia="仿宋_GB2312" w:cs="仿宋_GB2312"/>
                <w:b/>
                <w:bCs/>
                <w:color w:val="000000" w:themeColor="text1"/>
                <w:sz w:val="24"/>
                <w:szCs w:val="24"/>
                <w:highlight w:val="none"/>
                <w14:textFill>
                  <w14:solidFill>
                    <w14:schemeClr w14:val="tx1"/>
                  </w14:solidFill>
                </w14:textFill>
              </w:rPr>
              <w:t>分子公司</w:t>
            </w: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制定质量事故处理方案处理事故相关事宜。</w:t>
            </w:r>
          </w:p>
        </w:tc>
      </w:tr>
      <w:tr w14:paraId="54523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1B5045BE">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3</w:t>
            </w:r>
            <w:r>
              <w:rPr>
                <w:rFonts w:hint="eastAsia" w:ascii="仿宋_GB2312" w:hAnsi="仿宋_GB2312" w:eastAsia="仿宋_GB2312" w:cs="仿宋_GB2312"/>
                <w:b/>
                <w:bCs/>
                <w:color w:val="000000" w:themeColor="text1"/>
                <w:sz w:val="24"/>
                <w:szCs w:val="24"/>
                <w:highlight w:val="none"/>
                <w14:textFill>
                  <w14:solidFill>
                    <w14:schemeClr w14:val="tx1"/>
                  </w14:solidFill>
                </w14:textFill>
              </w:rPr>
              <w:t>6</w:t>
            </w:r>
          </w:p>
        </w:tc>
        <w:tc>
          <w:tcPr>
            <w:tcW w:w="1209" w:type="dxa"/>
            <w:vAlign w:val="center"/>
          </w:tcPr>
          <w:p w14:paraId="31A6C6EB">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环境管理</w:t>
            </w:r>
          </w:p>
        </w:tc>
        <w:tc>
          <w:tcPr>
            <w:tcW w:w="1974" w:type="dxa"/>
            <w:vAlign w:val="center"/>
          </w:tcPr>
          <w:p w14:paraId="6A14B6B7">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环境污染事故应急措施</w:t>
            </w:r>
          </w:p>
        </w:tc>
        <w:tc>
          <w:tcPr>
            <w:tcW w:w="5117" w:type="dxa"/>
            <w:vAlign w:val="center"/>
          </w:tcPr>
          <w:p w14:paraId="6783864B">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环境污染事故发生后，有权立即采取措施防止事故扩大（1小时内上报分</w:t>
            </w:r>
            <w:r>
              <w:rPr>
                <w:rFonts w:hint="eastAsia" w:ascii="仿宋_GB2312" w:hAnsi="仿宋_GB2312" w:eastAsia="仿宋_GB2312" w:cs="仿宋_GB2312"/>
                <w:b/>
                <w:bCs/>
                <w:color w:val="000000" w:themeColor="text1"/>
                <w:sz w:val="24"/>
                <w:szCs w:val="24"/>
                <w:highlight w:val="none"/>
                <w14:textFill>
                  <w14:solidFill>
                    <w14:schemeClr w14:val="tx1"/>
                  </w14:solidFill>
                </w14:textFill>
              </w:rPr>
              <w:t>子</w:t>
            </w: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公司）。</w:t>
            </w:r>
          </w:p>
        </w:tc>
      </w:tr>
      <w:tr w14:paraId="03FB9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3B516B43">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3</w:t>
            </w:r>
            <w:r>
              <w:rPr>
                <w:rFonts w:hint="eastAsia" w:ascii="仿宋_GB2312" w:hAnsi="仿宋_GB2312" w:eastAsia="仿宋_GB2312" w:cs="仿宋_GB2312"/>
                <w:b/>
                <w:bCs/>
                <w:color w:val="000000" w:themeColor="text1"/>
                <w:sz w:val="24"/>
                <w:szCs w:val="24"/>
                <w:highlight w:val="none"/>
                <w14:textFill>
                  <w14:solidFill>
                    <w14:schemeClr w14:val="tx1"/>
                  </w14:solidFill>
                </w14:textFill>
              </w:rPr>
              <w:t>7</w:t>
            </w:r>
          </w:p>
        </w:tc>
        <w:tc>
          <w:tcPr>
            <w:tcW w:w="1209" w:type="dxa"/>
            <w:vMerge w:val="restart"/>
            <w:vAlign w:val="center"/>
          </w:tcPr>
          <w:p w14:paraId="14E8B22D">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维保管理</w:t>
            </w:r>
          </w:p>
        </w:tc>
        <w:tc>
          <w:tcPr>
            <w:tcW w:w="1974" w:type="dxa"/>
            <w:vAlign w:val="center"/>
          </w:tcPr>
          <w:p w14:paraId="597BBDDC">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维修整改通知</w:t>
            </w:r>
          </w:p>
        </w:tc>
        <w:tc>
          <w:tcPr>
            <w:tcW w:w="5117" w:type="dxa"/>
            <w:vAlign w:val="center"/>
          </w:tcPr>
          <w:p w14:paraId="3843C326">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有权向</w:t>
            </w:r>
            <w:r>
              <w:rPr>
                <w:rFonts w:hint="eastAsia" w:ascii="仿宋_GB2312" w:hAnsi="仿宋_GB2312" w:eastAsia="仿宋_GB2312" w:cs="仿宋_GB2312"/>
                <w:b/>
                <w:bCs/>
                <w:color w:val="000000" w:themeColor="text1"/>
                <w:sz w:val="24"/>
                <w:szCs w:val="24"/>
                <w:highlight w:val="none"/>
                <w:lang w:val="en-US" w:eastAsia="zh-CN"/>
                <w14:textFill>
                  <w14:solidFill>
                    <w14:schemeClr w14:val="tx1"/>
                  </w14:solidFill>
                </w14:textFill>
              </w:rPr>
              <w:t>乙</w:t>
            </w: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方发送维修整改通知。</w:t>
            </w:r>
          </w:p>
        </w:tc>
      </w:tr>
      <w:tr w14:paraId="360D9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1CBB5954">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3</w:t>
            </w:r>
            <w:r>
              <w:rPr>
                <w:rFonts w:hint="eastAsia" w:ascii="仿宋_GB2312" w:hAnsi="仿宋_GB2312" w:eastAsia="仿宋_GB2312" w:cs="仿宋_GB2312"/>
                <w:b/>
                <w:bCs/>
                <w:color w:val="000000" w:themeColor="text1"/>
                <w:sz w:val="24"/>
                <w:szCs w:val="24"/>
                <w:highlight w:val="none"/>
                <w14:textFill>
                  <w14:solidFill>
                    <w14:schemeClr w14:val="tx1"/>
                  </w14:solidFill>
                </w14:textFill>
              </w:rPr>
              <w:t>8</w:t>
            </w:r>
          </w:p>
        </w:tc>
        <w:tc>
          <w:tcPr>
            <w:tcW w:w="1209" w:type="dxa"/>
            <w:vMerge w:val="continue"/>
            <w:vAlign w:val="center"/>
          </w:tcPr>
          <w:p w14:paraId="647781C5">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p>
        </w:tc>
        <w:tc>
          <w:tcPr>
            <w:tcW w:w="1974" w:type="dxa"/>
            <w:vAlign w:val="center"/>
          </w:tcPr>
          <w:p w14:paraId="48BBFD37">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协商维修方案</w:t>
            </w:r>
          </w:p>
        </w:tc>
        <w:tc>
          <w:tcPr>
            <w:tcW w:w="5117" w:type="dxa"/>
            <w:vAlign w:val="center"/>
          </w:tcPr>
          <w:p w14:paraId="773B7950">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对存在的质量问题有权与建设单位协商维修方案。</w:t>
            </w:r>
          </w:p>
        </w:tc>
      </w:tr>
      <w:tr w14:paraId="04ACB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53410304">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3</w:t>
            </w:r>
            <w:r>
              <w:rPr>
                <w:rFonts w:hint="eastAsia" w:ascii="仿宋_GB2312" w:hAnsi="仿宋_GB2312" w:eastAsia="仿宋_GB2312" w:cs="仿宋_GB2312"/>
                <w:b/>
                <w:bCs/>
                <w:color w:val="000000" w:themeColor="text1"/>
                <w:sz w:val="24"/>
                <w:szCs w:val="24"/>
                <w:highlight w:val="none"/>
                <w14:textFill>
                  <w14:solidFill>
                    <w14:schemeClr w14:val="tx1"/>
                  </w14:solidFill>
                </w14:textFill>
              </w:rPr>
              <w:t>9</w:t>
            </w:r>
          </w:p>
        </w:tc>
        <w:tc>
          <w:tcPr>
            <w:tcW w:w="1209" w:type="dxa"/>
            <w:vMerge w:val="continue"/>
            <w:vAlign w:val="center"/>
          </w:tcPr>
          <w:p w14:paraId="57E9A5C8">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p>
        </w:tc>
        <w:tc>
          <w:tcPr>
            <w:tcW w:w="1974" w:type="dxa"/>
            <w:vAlign w:val="center"/>
          </w:tcPr>
          <w:p w14:paraId="35E6B234">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组织维修</w:t>
            </w:r>
          </w:p>
        </w:tc>
        <w:tc>
          <w:tcPr>
            <w:tcW w:w="5117" w:type="dxa"/>
            <w:vAlign w:val="center"/>
          </w:tcPr>
          <w:p w14:paraId="11A6E7FA">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有权向建设单位报送维修登记单、维修任务书。</w:t>
            </w:r>
          </w:p>
        </w:tc>
      </w:tr>
      <w:tr w14:paraId="79197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26EFA595">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40</w:t>
            </w:r>
          </w:p>
        </w:tc>
        <w:tc>
          <w:tcPr>
            <w:tcW w:w="1209" w:type="dxa"/>
            <w:vMerge w:val="continue"/>
            <w:vAlign w:val="center"/>
          </w:tcPr>
          <w:p w14:paraId="3EF2447C">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p>
        </w:tc>
        <w:tc>
          <w:tcPr>
            <w:tcW w:w="1974" w:type="dxa"/>
            <w:vAlign w:val="center"/>
          </w:tcPr>
          <w:p w14:paraId="2F167DE9">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维修验收</w:t>
            </w:r>
          </w:p>
        </w:tc>
        <w:tc>
          <w:tcPr>
            <w:tcW w:w="5117" w:type="dxa"/>
            <w:vAlign w:val="center"/>
          </w:tcPr>
          <w:p w14:paraId="5945BBDB">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有权组织建设单位对保修工作进行验收、有权组织对</w:t>
            </w:r>
            <w:r>
              <w:rPr>
                <w:rFonts w:hint="eastAsia" w:ascii="仿宋_GB2312" w:hAnsi="仿宋_GB2312" w:eastAsia="仿宋_GB2312" w:cs="仿宋_GB2312"/>
                <w:b/>
                <w:bCs/>
                <w:color w:val="000000" w:themeColor="text1"/>
                <w:sz w:val="24"/>
                <w:szCs w:val="24"/>
                <w:highlight w:val="none"/>
                <w:lang w:val="en-US" w:eastAsia="zh-CN"/>
                <w14:textFill>
                  <w14:solidFill>
                    <w14:schemeClr w14:val="tx1"/>
                  </w14:solidFill>
                </w14:textFill>
              </w:rPr>
              <w:t>乙方</w:t>
            </w: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的维修验收。</w:t>
            </w:r>
          </w:p>
        </w:tc>
      </w:tr>
      <w:tr w14:paraId="76271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1FA3B0EC">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41</w:t>
            </w:r>
          </w:p>
        </w:tc>
        <w:tc>
          <w:tcPr>
            <w:tcW w:w="1209" w:type="dxa"/>
            <w:vMerge w:val="restart"/>
            <w:vAlign w:val="center"/>
          </w:tcPr>
          <w:p w14:paraId="265459A0">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催收清欠</w:t>
            </w:r>
          </w:p>
        </w:tc>
        <w:tc>
          <w:tcPr>
            <w:tcW w:w="1974" w:type="dxa"/>
            <w:vAlign w:val="center"/>
          </w:tcPr>
          <w:p w14:paraId="09CBBB22">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质保金到期催付</w:t>
            </w:r>
          </w:p>
        </w:tc>
        <w:tc>
          <w:tcPr>
            <w:tcW w:w="5117" w:type="dxa"/>
            <w:vAlign w:val="center"/>
          </w:tcPr>
          <w:p w14:paraId="4738E887">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有权向建设单位发《保修期满通知书》。</w:t>
            </w:r>
          </w:p>
        </w:tc>
      </w:tr>
      <w:tr w14:paraId="080A1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4B21A91F">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42</w:t>
            </w:r>
          </w:p>
        </w:tc>
        <w:tc>
          <w:tcPr>
            <w:tcW w:w="1209" w:type="dxa"/>
            <w:vMerge w:val="continue"/>
            <w:vAlign w:val="center"/>
          </w:tcPr>
          <w:p w14:paraId="0B8E86D1">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p>
        </w:tc>
        <w:tc>
          <w:tcPr>
            <w:tcW w:w="1974" w:type="dxa"/>
            <w:vAlign w:val="center"/>
          </w:tcPr>
          <w:p w14:paraId="1F884A47">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其他到期应付款催付</w:t>
            </w:r>
          </w:p>
        </w:tc>
        <w:tc>
          <w:tcPr>
            <w:tcW w:w="5117" w:type="dxa"/>
            <w:vAlign w:val="center"/>
          </w:tcPr>
          <w:p w14:paraId="42EC1BC6">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有权向建设单位发催款函。</w:t>
            </w:r>
          </w:p>
        </w:tc>
      </w:tr>
      <w:tr w14:paraId="6C1BA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5A865DBD">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43</w:t>
            </w:r>
          </w:p>
        </w:tc>
        <w:tc>
          <w:tcPr>
            <w:tcW w:w="1209" w:type="dxa"/>
            <w:vAlign w:val="center"/>
          </w:tcPr>
          <w:p w14:paraId="51E6CCED">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往来函件</w:t>
            </w:r>
          </w:p>
        </w:tc>
        <w:tc>
          <w:tcPr>
            <w:tcW w:w="1974" w:type="dxa"/>
            <w:vAlign w:val="center"/>
          </w:tcPr>
          <w:p w14:paraId="312175C4">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工程往来函件</w:t>
            </w:r>
          </w:p>
        </w:tc>
        <w:tc>
          <w:tcPr>
            <w:tcW w:w="5117" w:type="dxa"/>
            <w:vAlign w:val="center"/>
          </w:tcPr>
          <w:p w14:paraId="7FE7B93C">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有权报送或接收项目工程联系函（如图纸会审、技术核定、设计变更通知等）。</w:t>
            </w:r>
          </w:p>
        </w:tc>
      </w:tr>
    </w:tbl>
    <w:p w14:paraId="069C9C9C">
      <w:pPr>
        <w:numPr>
          <w:ilvl w:val="0"/>
          <w:numId w:val="6"/>
        </w:numPr>
        <w:autoSpaceDE w:val="0"/>
        <w:autoSpaceDN w:val="0"/>
        <w:adjustRightInd w:val="0"/>
        <w:spacing w:line="400" w:lineRule="exact"/>
        <w:rPr>
          <w:rFonts w:hint="eastAsia" w:ascii="仿宋_GB2312" w:hAnsi="仿宋_GB2312" w:eastAsia="仿宋_GB2312" w:cs="仿宋_GB2312"/>
          <w:b/>
          <w:bCs/>
          <w:color w:val="000000" w:themeColor="text1"/>
          <w:sz w:val="24"/>
          <w:szCs w:val="24"/>
          <w:highlight w:val="none"/>
          <w14:textFill>
            <w14:solidFill>
              <w14:schemeClr w14:val="tx1"/>
            </w14:solidFill>
          </w14:textFill>
        </w:rPr>
      </w:pPr>
      <w:bookmarkStart w:id="72" w:name="_Hlk126826460"/>
      <w:r>
        <w:rPr>
          <w:rFonts w:hint="eastAsia" w:ascii="仿宋_GB2312" w:hAnsi="仿宋_GB2312" w:eastAsia="仿宋_GB2312" w:cs="仿宋_GB2312"/>
          <w:b/>
          <w:bCs/>
          <w:color w:val="000000" w:themeColor="text1"/>
          <w:sz w:val="24"/>
          <w:szCs w:val="24"/>
          <w:highlight w:val="none"/>
          <w14:textFill>
            <w14:solidFill>
              <w14:schemeClr w14:val="tx1"/>
            </w14:solidFill>
          </w14:textFill>
        </w:rPr>
        <w:t>项目部无权审批以下事项：</w:t>
      </w:r>
    </w:p>
    <w:bookmarkEnd w:id="72"/>
    <w:tbl>
      <w:tblPr>
        <w:tblStyle w:val="9"/>
        <w:tblW w:w="9184" w:type="dxa"/>
        <w:jc w:val="center"/>
        <w:tblBorders>
          <w:top w:val="none" w:color="auto" w:sz="4" w:space="0"/>
          <w:left w:val="none" w:color="auto" w:sz="4" w:space="0"/>
          <w:bottom w:val="none" w:color="auto" w:sz="4" w:space="0"/>
          <w:right w:val="single" w:color="auto" w:sz="4" w:space="0"/>
          <w:insideH w:val="none" w:color="auto" w:sz="4" w:space="0"/>
          <w:insideV w:val="none" w:color="auto" w:sz="4" w:space="0"/>
        </w:tblBorders>
        <w:tblLayout w:type="fixed"/>
        <w:tblCellMar>
          <w:top w:w="0" w:type="dxa"/>
          <w:left w:w="108" w:type="dxa"/>
          <w:bottom w:w="0" w:type="dxa"/>
          <w:right w:w="108" w:type="dxa"/>
        </w:tblCellMar>
      </w:tblPr>
      <w:tblGrid>
        <w:gridCol w:w="733"/>
        <w:gridCol w:w="8451"/>
      </w:tblGrid>
      <w:tr w14:paraId="43E598AD">
        <w:tblPrEx>
          <w:tblBorders>
            <w:top w:val="none" w:color="auto" w:sz="4" w:space="0"/>
            <w:left w:val="none" w:color="auto" w:sz="4" w:space="0"/>
            <w:bottom w:val="non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510" w:hRule="exact"/>
          <w:jc w:val="center"/>
        </w:trPr>
        <w:tc>
          <w:tcPr>
            <w:tcW w:w="733" w:type="dxa"/>
            <w:tcBorders>
              <w:top w:val="single" w:color="auto" w:sz="4" w:space="0"/>
              <w:left w:val="single" w:color="auto" w:sz="4" w:space="0"/>
              <w:bottom w:val="single" w:color="auto" w:sz="4" w:space="0"/>
              <w:right w:val="single" w:color="auto" w:sz="4" w:space="0"/>
            </w:tcBorders>
            <w:vAlign w:val="center"/>
          </w:tcPr>
          <w:p w14:paraId="608672A4">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bookmarkStart w:id="73" w:name="_Hlk127195047"/>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序号</w:t>
            </w:r>
          </w:p>
        </w:tc>
        <w:tc>
          <w:tcPr>
            <w:tcW w:w="8451" w:type="dxa"/>
            <w:tcBorders>
              <w:top w:val="single" w:color="auto" w:sz="4" w:space="0"/>
              <w:left w:val="single" w:color="auto" w:sz="4" w:space="0"/>
              <w:bottom w:val="single" w:color="auto" w:sz="4" w:space="0"/>
              <w:right w:val="single" w:color="auto" w:sz="4" w:space="0"/>
            </w:tcBorders>
            <w:vAlign w:val="center"/>
          </w:tcPr>
          <w:p w14:paraId="4076C193">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禁止性事项</w:t>
            </w:r>
          </w:p>
        </w:tc>
      </w:tr>
      <w:tr w14:paraId="4139B6A6">
        <w:tblPrEx>
          <w:tblBorders>
            <w:top w:val="none" w:color="auto" w:sz="4" w:space="0"/>
            <w:left w:val="none" w:color="auto" w:sz="4" w:space="0"/>
            <w:bottom w:val="non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454" w:hRule="atLeast"/>
          <w:jc w:val="center"/>
        </w:trPr>
        <w:tc>
          <w:tcPr>
            <w:tcW w:w="733" w:type="dxa"/>
            <w:tcBorders>
              <w:top w:val="single" w:color="auto" w:sz="4" w:space="0"/>
              <w:left w:val="single" w:color="auto" w:sz="4" w:space="0"/>
              <w:bottom w:val="single" w:color="auto" w:sz="4" w:space="0"/>
              <w:right w:val="single" w:color="auto" w:sz="4" w:space="0"/>
            </w:tcBorders>
            <w:vAlign w:val="center"/>
          </w:tcPr>
          <w:p w14:paraId="58EEC760">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1</w:t>
            </w:r>
          </w:p>
        </w:tc>
        <w:tc>
          <w:tcPr>
            <w:tcW w:w="8451" w:type="dxa"/>
            <w:tcBorders>
              <w:top w:val="single" w:color="auto" w:sz="4" w:space="0"/>
              <w:left w:val="single" w:color="auto" w:sz="4" w:space="0"/>
              <w:bottom w:val="single" w:color="auto" w:sz="4" w:space="0"/>
              <w:right w:val="single" w:color="auto" w:sz="4" w:space="0"/>
            </w:tcBorders>
            <w:vAlign w:val="center"/>
          </w:tcPr>
          <w:p w14:paraId="7D4F6194">
            <w:pPr>
              <w:widowControl/>
              <w:jc w:val="left"/>
              <w:rPr>
                <w:rFonts w:hint="eastAsia" w:ascii="仿宋_GB2312" w:hAnsi="仿宋_GB2312" w:eastAsia="仿宋_GB2312" w:cs="仿宋_GB2312"/>
                <w:b/>
                <w:bCs/>
                <w:color w:val="000000" w:themeColor="text1"/>
                <w:kern w:val="0"/>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kern w:val="0"/>
                <w:sz w:val="24"/>
                <w:szCs w:val="24"/>
                <w:highlight w:val="none"/>
                <w14:textFill>
                  <w14:solidFill>
                    <w14:schemeClr w14:val="tx1"/>
                  </w14:solidFill>
                </w14:textFill>
              </w:rPr>
              <w:t>签署（或变更）各类经济类合同（包含但不限于总承包合同及其补充协议、专业分包合同、劳务分包合同、物资设备料具采购、租赁合同、设备安装拆除合同、技术咨询合同等各类合同）。</w:t>
            </w:r>
          </w:p>
        </w:tc>
      </w:tr>
      <w:tr w14:paraId="03627F43">
        <w:tblPrEx>
          <w:tblBorders>
            <w:top w:val="none" w:color="auto" w:sz="4" w:space="0"/>
            <w:left w:val="none" w:color="auto" w:sz="4" w:space="0"/>
            <w:bottom w:val="non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454" w:hRule="atLeast"/>
          <w:jc w:val="center"/>
        </w:trPr>
        <w:tc>
          <w:tcPr>
            <w:tcW w:w="733" w:type="dxa"/>
            <w:tcBorders>
              <w:top w:val="single" w:color="auto" w:sz="4" w:space="0"/>
              <w:left w:val="single" w:color="auto" w:sz="4" w:space="0"/>
              <w:bottom w:val="single" w:color="auto" w:sz="4" w:space="0"/>
              <w:right w:val="single" w:color="auto" w:sz="4" w:space="0"/>
            </w:tcBorders>
            <w:vAlign w:val="center"/>
          </w:tcPr>
          <w:p w14:paraId="5DD06AF0">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2</w:t>
            </w:r>
          </w:p>
        </w:tc>
        <w:tc>
          <w:tcPr>
            <w:tcW w:w="8451" w:type="dxa"/>
            <w:tcBorders>
              <w:top w:val="single" w:color="auto" w:sz="4" w:space="0"/>
              <w:left w:val="single" w:color="auto" w:sz="4" w:space="0"/>
              <w:bottom w:val="single" w:color="auto" w:sz="4" w:space="0"/>
              <w:right w:val="single" w:color="auto" w:sz="4" w:space="0"/>
            </w:tcBorders>
            <w:vAlign w:val="center"/>
          </w:tcPr>
          <w:p w14:paraId="52730A9D">
            <w:pPr>
              <w:widowControl/>
              <w:jc w:val="left"/>
              <w:rPr>
                <w:rFonts w:hint="eastAsia" w:ascii="仿宋_GB2312" w:hAnsi="仿宋_GB2312" w:eastAsia="仿宋_GB2312" w:cs="仿宋_GB2312"/>
                <w:b/>
                <w:bCs/>
                <w:color w:val="000000" w:themeColor="text1"/>
                <w:kern w:val="0"/>
                <w:sz w:val="24"/>
                <w:szCs w:val="24"/>
                <w:highlight w:val="none"/>
                <w14:textFill>
                  <w14:solidFill>
                    <w14:schemeClr w14:val="tx1"/>
                  </w14:solidFill>
                </w14:textFill>
              </w:rPr>
            </w:pPr>
            <w:r>
              <w:rPr>
                <w:rFonts w:hint="eastAsia" w:ascii="仿宋_GB2312" w:hAnsi="仿宋_GB2312" w:eastAsia="仿宋_GB2312" w:cs="仿宋_GB2312"/>
                <w:b/>
                <w:bCs/>
                <w:color w:val="000000" w:themeColor="text1"/>
                <w:kern w:val="0"/>
                <w:sz w:val="24"/>
                <w:szCs w:val="24"/>
                <w:highlight w:val="none"/>
                <w14:textFill>
                  <w14:solidFill>
                    <w14:schemeClr w14:val="tx1"/>
                  </w14:solidFill>
                </w14:textFill>
              </w:rPr>
              <w:t>未经分子公司/集团书面批准擅自购买材料、设备。</w:t>
            </w:r>
          </w:p>
        </w:tc>
      </w:tr>
      <w:tr w14:paraId="36542098">
        <w:tblPrEx>
          <w:tblBorders>
            <w:top w:val="none" w:color="auto" w:sz="4" w:space="0"/>
            <w:left w:val="none" w:color="auto" w:sz="4" w:space="0"/>
            <w:bottom w:val="non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454" w:hRule="atLeast"/>
          <w:jc w:val="center"/>
        </w:trPr>
        <w:tc>
          <w:tcPr>
            <w:tcW w:w="733" w:type="dxa"/>
            <w:tcBorders>
              <w:top w:val="single" w:color="auto" w:sz="4" w:space="0"/>
              <w:left w:val="single" w:color="auto" w:sz="4" w:space="0"/>
              <w:bottom w:val="single" w:color="auto" w:sz="4" w:space="0"/>
              <w:right w:val="single" w:color="auto" w:sz="4" w:space="0"/>
            </w:tcBorders>
            <w:vAlign w:val="center"/>
          </w:tcPr>
          <w:p w14:paraId="088BFB51">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3</w:t>
            </w:r>
          </w:p>
        </w:tc>
        <w:tc>
          <w:tcPr>
            <w:tcW w:w="8451" w:type="dxa"/>
            <w:tcBorders>
              <w:top w:val="single" w:color="auto" w:sz="4" w:space="0"/>
              <w:left w:val="single" w:color="auto" w:sz="4" w:space="0"/>
              <w:bottom w:val="single" w:color="auto" w:sz="4" w:space="0"/>
              <w:right w:val="single" w:color="auto" w:sz="4" w:space="0"/>
            </w:tcBorders>
            <w:vAlign w:val="center"/>
          </w:tcPr>
          <w:p w14:paraId="6638712A">
            <w:pPr>
              <w:widowControl/>
              <w:jc w:val="left"/>
              <w:rPr>
                <w:rFonts w:hint="eastAsia" w:ascii="仿宋_GB2312" w:hAnsi="仿宋_GB2312" w:eastAsia="仿宋_GB2312" w:cs="仿宋_GB2312"/>
                <w:b/>
                <w:bCs/>
                <w:color w:val="000000" w:themeColor="text1"/>
                <w:kern w:val="0"/>
                <w:sz w:val="24"/>
                <w:szCs w:val="24"/>
                <w:highlight w:val="none"/>
                <w14:textFill>
                  <w14:solidFill>
                    <w14:schemeClr w14:val="tx1"/>
                  </w14:solidFill>
                </w14:textFill>
              </w:rPr>
            </w:pPr>
            <w:r>
              <w:rPr>
                <w:rFonts w:hint="eastAsia" w:ascii="仿宋_GB2312" w:hAnsi="仿宋_GB2312" w:eastAsia="仿宋_GB2312" w:cs="仿宋_GB2312"/>
                <w:b/>
                <w:bCs/>
                <w:color w:val="000000" w:themeColor="text1"/>
                <w:kern w:val="0"/>
                <w:sz w:val="24"/>
                <w:szCs w:val="24"/>
                <w:highlight w:val="none"/>
                <w14:textFill>
                  <w14:solidFill>
                    <w14:schemeClr w14:val="tx1"/>
                  </w14:solidFill>
                </w14:textFill>
              </w:rPr>
              <w:t>放弃或限制行使工程项目优先受偿权、签署</w:t>
            </w:r>
            <w:r>
              <w:rPr>
                <w:rFonts w:hint="eastAsia" w:ascii="仿宋_GB2312" w:hAnsi="仿宋_GB2312" w:eastAsia="仿宋_GB2312" w:cs="仿宋_GB2312"/>
                <w:b/>
                <w:bCs/>
                <w:color w:val="000000" w:themeColor="text1"/>
                <w:kern w:val="0"/>
                <w:sz w:val="24"/>
                <w:szCs w:val="24"/>
                <w:highlight w:val="none"/>
                <w:lang w:val="zh-CN"/>
                <w14:textFill>
                  <w14:solidFill>
                    <w14:schemeClr w14:val="tx1"/>
                  </w14:solidFill>
                </w14:textFill>
              </w:rPr>
              <w:t>代他人清偿债务的文件，签署任何放弃债权的文件</w:t>
            </w:r>
            <w:r>
              <w:rPr>
                <w:rFonts w:hint="eastAsia" w:ascii="仿宋_GB2312" w:hAnsi="仿宋_GB2312" w:eastAsia="仿宋_GB2312" w:cs="仿宋_GB2312"/>
                <w:b/>
                <w:bCs/>
                <w:color w:val="000000" w:themeColor="text1"/>
                <w:kern w:val="0"/>
                <w:sz w:val="24"/>
                <w:szCs w:val="24"/>
                <w:highlight w:val="none"/>
                <w14:textFill>
                  <w14:solidFill>
                    <w14:schemeClr w14:val="tx1"/>
                  </w14:solidFill>
                </w14:textFill>
              </w:rPr>
              <w:t>。</w:t>
            </w:r>
          </w:p>
        </w:tc>
      </w:tr>
      <w:tr w14:paraId="4C2A7866">
        <w:tblPrEx>
          <w:tblBorders>
            <w:top w:val="none" w:color="auto" w:sz="4" w:space="0"/>
            <w:left w:val="none" w:color="auto" w:sz="4" w:space="0"/>
            <w:bottom w:val="non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454" w:hRule="atLeast"/>
          <w:jc w:val="center"/>
        </w:trPr>
        <w:tc>
          <w:tcPr>
            <w:tcW w:w="733" w:type="dxa"/>
            <w:tcBorders>
              <w:top w:val="single" w:color="auto" w:sz="4" w:space="0"/>
              <w:left w:val="single" w:color="auto" w:sz="4" w:space="0"/>
              <w:bottom w:val="single" w:color="auto" w:sz="4" w:space="0"/>
              <w:right w:val="single" w:color="auto" w:sz="4" w:space="0"/>
            </w:tcBorders>
            <w:vAlign w:val="center"/>
          </w:tcPr>
          <w:p w14:paraId="58D4A6DF">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4</w:t>
            </w:r>
          </w:p>
        </w:tc>
        <w:tc>
          <w:tcPr>
            <w:tcW w:w="8451" w:type="dxa"/>
            <w:tcBorders>
              <w:top w:val="single" w:color="auto" w:sz="4" w:space="0"/>
              <w:left w:val="single" w:color="auto" w:sz="4" w:space="0"/>
              <w:bottom w:val="single" w:color="auto" w:sz="4" w:space="0"/>
              <w:right w:val="single" w:color="auto" w:sz="4" w:space="0"/>
            </w:tcBorders>
            <w:vAlign w:val="center"/>
          </w:tcPr>
          <w:p w14:paraId="6E894788">
            <w:pPr>
              <w:widowControl/>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kern w:val="0"/>
                <w:sz w:val="24"/>
                <w:szCs w:val="24"/>
                <w:highlight w:val="none"/>
                <w14:textFill>
                  <w14:solidFill>
                    <w14:schemeClr w14:val="tx1"/>
                  </w14:solidFill>
                </w14:textFill>
              </w:rPr>
              <w:t>进行银行贷款等融资活动</w:t>
            </w:r>
          </w:p>
        </w:tc>
      </w:tr>
      <w:tr w14:paraId="786A9302">
        <w:tblPrEx>
          <w:tblBorders>
            <w:top w:val="none" w:color="auto" w:sz="4" w:space="0"/>
            <w:left w:val="none" w:color="auto" w:sz="4" w:space="0"/>
            <w:bottom w:val="non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454" w:hRule="atLeast"/>
          <w:jc w:val="center"/>
        </w:trPr>
        <w:tc>
          <w:tcPr>
            <w:tcW w:w="733" w:type="dxa"/>
            <w:tcBorders>
              <w:top w:val="single" w:color="auto" w:sz="4" w:space="0"/>
              <w:left w:val="single" w:color="auto" w:sz="4" w:space="0"/>
              <w:bottom w:val="single" w:color="auto" w:sz="4" w:space="0"/>
              <w:right w:val="single" w:color="auto" w:sz="4" w:space="0"/>
            </w:tcBorders>
            <w:vAlign w:val="center"/>
          </w:tcPr>
          <w:p w14:paraId="0CE4634C">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5</w:t>
            </w:r>
          </w:p>
        </w:tc>
        <w:tc>
          <w:tcPr>
            <w:tcW w:w="8451" w:type="dxa"/>
            <w:tcBorders>
              <w:top w:val="single" w:color="auto" w:sz="4" w:space="0"/>
              <w:left w:val="single" w:color="auto" w:sz="4" w:space="0"/>
              <w:bottom w:val="single" w:color="auto" w:sz="4" w:space="0"/>
              <w:right w:val="single" w:color="auto" w:sz="4" w:space="0"/>
            </w:tcBorders>
            <w:vAlign w:val="center"/>
          </w:tcPr>
          <w:p w14:paraId="1E9BEC26">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对外提供担保、出具欠条、签订还款协议、签订调价协议、各类保证书、承诺书。</w:t>
            </w:r>
          </w:p>
        </w:tc>
      </w:tr>
      <w:tr w14:paraId="7705FDD7">
        <w:tblPrEx>
          <w:tblBorders>
            <w:top w:val="none" w:color="auto" w:sz="4" w:space="0"/>
            <w:left w:val="none" w:color="auto" w:sz="4" w:space="0"/>
            <w:bottom w:val="non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454" w:hRule="atLeast"/>
          <w:jc w:val="center"/>
        </w:trPr>
        <w:tc>
          <w:tcPr>
            <w:tcW w:w="733" w:type="dxa"/>
            <w:tcBorders>
              <w:top w:val="single" w:color="auto" w:sz="4" w:space="0"/>
              <w:left w:val="single" w:color="auto" w:sz="4" w:space="0"/>
              <w:bottom w:val="single" w:color="auto" w:sz="4" w:space="0"/>
              <w:right w:val="single" w:color="auto" w:sz="4" w:space="0"/>
            </w:tcBorders>
            <w:vAlign w:val="center"/>
          </w:tcPr>
          <w:p w14:paraId="7B1A9378">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6</w:t>
            </w:r>
          </w:p>
        </w:tc>
        <w:tc>
          <w:tcPr>
            <w:tcW w:w="8451" w:type="dxa"/>
            <w:tcBorders>
              <w:top w:val="single" w:color="auto" w:sz="4" w:space="0"/>
              <w:left w:val="single" w:color="auto" w:sz="4" w:space="0"/>
              <w:bottom w:val="single" w:color="auto" w:sz="4" w:space="0"/>
              <w:right w:val="single" w:color="auto" w:sz="4" w:space="0"/>
            </w:tcBorders>
            <w:vAlign w:val="center"/>
          </w:tcPr>
          <w:p w14:paraId="4FA83714">
            <w:pPr>
              <w:widowControl/>
              <w:jc w:val="left"/>
              <w:rPr>
                <w:rFonts w:hint="eastAsia" w:ascii="仿宋_GB2312" w:hAnsi="仿宋_GB2312" w:eastAsia="仿宋_GB2312" w:cs="仿宋_GB2312"/>
                <w:b/>
                <w:bCs/>
                <w:color w:val="000000" w:themeColor="text1"/>
                <w:sz w:val="24"/>
                <w:szCs w:val="24"/>
                <w:highlight w:val="none"/>
                <w14:textFill>
                  <w14:solidFill>
                    <w14:schemeClr w14:val="tx1"/>
                  </w14:solidFill>
                </w14:textFill>
              </w:rPr>
            </w:pPr>
            <w:r>
              <w:rPr>
                <w:rFonts w:hint="eastAsia" w:ascii="仿宋_GB2312" w:hAnsi="仿宋_GB2312" w:eastAsia="仿宋_GB2312" w:cs="仿宋_GB2312"/>
                <w:b/>
                <w:bCs/>
                <w:color w:val="000000" w:themeColor="text1"/>
                <w:kern w:val="0"/>
                <w:sz w:val="24"/>
                <w:szCs w:val="24"/>
                <w:highlight w:val="none"/>
                <w14:textFill>
                  <w14:solidFill>
                    <w14:schemeClr w14:val="tx1"/>
                  </w14:solidFill>
                </w14:textFill>
              </w:rPr>
              <w:t>对外开立各类保函</w:t>
            </w:r>
          </w:p>
        </w:tc>
      </w:tr>
      <w:tr w14:paraId="767C7E0A">
        <w:tblPrEx>
          <w:tblBorders>
            <w:top w:val="none" w:color="auto" w:sz="4" w:space="0"/>
            <w:left w:val="none" w:color="auto" w:sz="4" w:space="0"/>
            <w:bottom w:val="non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454" w:hRule="atLeast"/>
          <w:jc w:val="center"/>
        </w:trPr>
        <w:tc>
          <w:tcPr>
            <w:tcW w:w="733" w:type="dxa"/>
            <w:tcBorders>
              <w:top w:val="single" w:color="auto" w:sz="4" w:space="0"/>
              <w:left w:val="single" w:color="auto" w:sz="4" w:space="0"/>
              <w:bottom w:val="single" w:color="auto" w:sz="4" w:space="0"/>
              <w:right w:val="single" w:color="auto" w:sz="4" w:space="0"/>
            </w:tcBorders>
            <w:vAlign w:val="center"/>
          </w:tcPr>
          <w:p w14:paraId="1F09ECFF">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7</w:t>
            </w:r>
          </w:p>
        </w:tc>
        <w:tc>
          <w:tcPr>
            <w:tcW w:w="8451" w:type="dxa"/>
            <w:tcBorders>
              <w:top w:val="single" w:color="auto" w:sz="4" w:space="0"/>
              <w:left w:val="single" w:color="auto" w:sz="4" w:space="0"/>
              <w:bottom w:val="single" w:color="auto" w:sz="4" w:space="0"/>
              <w:right w:val="single" w:color="auto" w:sz="4" w:space="0"/>
            </w:tcBorders>
            <w:vAlign w:val="center"/>
          </w:tcPr>
          <w:p w14:paraId="2E21DD10">
            <w:pPr>
              <w:widowControl/>
              <w:jc w:val="left"/>
              <w:rPr>
                <w:rFonts w:hint="eastAsia" w:ascii="仿宋_GB2312" w:hAnsi="仿宋_GB2312" w:eastAsia="仿宋_GB2312" w:cs="仿宋_GB2312"/>
                <w:b/>
                <w:bCs/>
                <w:color w:val="000000" w:themeColor="text1"/>
                <w:kern w:val="0"/>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kern w:val="0"/>
                <w:sz w:val="24"/>
                <w:szCs w:val="24"/>
                <w:highlight w:val="none"/>
                <w14:textFill>
                  <w14:solidFill>
                    <w14:schemeClr w14:val="tx1"/>
                  </w14:solidFill>
                </w14:textFill>
              </w:rPr>
              <w:t>对外拆借资金，以甲方、甲方子企业或甲方项目部名义对外借款。</w:t>
            </w:r>
          </w:p>
        </w:tc>
      </w:tr>
      <w:tr w14:paraId="1E238BA9">
        <w:tblPrEx>
          <w:tblBorders>
            <w:top w:val="none" w:color="auto" w:sz="4" w:space="0"/>
            <w:left w:val="none" w:color="auto" w:sz="4" w:space="0"/>
            <w:bottom w:val="non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454" w:hRule="atLeast"/>
          <w:jc w:val="center"/>
        </w:trPr>
        <w:tc>
          <w:tcPr>
            <w:tcW w:w="733" w:type="dxa"/>
            <w:tcBorders>
              <w:top w:val="single" w:color="auto" w:sz="4" w:space="0"/>
              <w:left w:val="single" w:color="auto" w:sz="4" w:space="0"/>
              <w:bottom w:val="single" w:color="auto" w:sz="4" w:space="0"/>
              <w:right w:val="single" w:color="auto" w:sz="4" w:space="0"/>
            </w:tcBorders>
            <w:vAlign w:val="center"/>
          </w:tcPr>
          <w:p w14:paraId="69CBA310">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8</w:t>
            </w:r>
          </w:p>
        </w:tc>
        <w:tc>
          <w:tcPr>
            <w:tcW w:w="8451" w:type="dxa"/>
            <w:tcBorders>
              <w:top w:val="single" w:color="auto" w:sz="4" w:space="0"/>
              <w:left w:val="single" w:color="auto" w:sz="4" w:space="0"/>
              <w:bottom w:val="single" w:color="auto" w:sz="4" w:space="0"/>
              <w:right w:val="single" w:color="auto" w:sz="4" w:space="0"/>
            </w:tcBorders>
            <w:vAlign w:val="center"/>
          </w:tcPr>
          <w:p w14:paraId="3D26A844">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私设小金库，坐支现金。</w:t>
            </w:r>
          </w:p>
        </w:tc>
      </w:tr>
      <w:tr w14:paraId="63CDCA6C">
        <w:tblPrEx>
          <w:tblBorders>
            <w:top w:val="none" w:color="auto" w:sz="4" w:space="0"/>
            <w:left w:val="none" w:color="auto" w:sz="4" w:space="0"/>
            <w:bottom w:val="non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454" w:hRule="atLeast"/>
          <w:jc w:val="center"/>
        </w:trPr>
        <w:tc>
          <w:tcPr>
            <w:tcW w:w="733" w:type="dxa"/>
            <w:tcBorders>
              <w:top w:val="single" w:color="auto" w:sz="4" w:space="0"/>
              <w:left w:val="single" w:color="auto" w:sz="4" w:space="0"/>
              <w:bottom w:val="single" w:color="auto" w:sz="4" w:space="0"/>
              <w:right w:val="single" w:color="auto" w:sz="4" w:space="0"/>
            </w:tcBorders>
            <w:vAlign w:val="center"/>
          </w:tcPr>
          <w:p w14:paraId="21226AA6">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9</w:t>
            </w:r>
          </w:p>
        </w:tc>
        <w:tc>
          <w:tcPr>
            <w:tcW w:w="8451" w:type="dxa"/>
            <w:tcBorders>
              <w:top w:val="single" w:color="auto" w:sz="4" w:space="0"/>
              <w:left w:val="single" w:color="auto" w:sz="4" w:space="0"/>
              <w:bottom w:val="single" w:color="auto" w:sz="4" w:space="0"/>
              <w:right w:val="single" w:color="auto" w:sz="4" w:space="0"/>
            </w:tcBorders>
            <w:vAlign w:val="center"/>
          </w:tcPr>
          <w:p w14:paraId="04BD107D">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超出本综合授权书权限的分包（</w:t>
            </w:r>
            <w:r>
              <w:rPr>
                <w:rFonts w:hint="eastAsia" w:ascii="仿宋_GB2312" w:hAnsi="仿宋_GB2312" w:eastAsia="仿宋_GB2312" w:cs="仿宋_GB2312"/>
                <w:b/>
                <w:bCs/>
                <w:color w:val="000000" w:themeColor="text1"/>
                <w:sz w:val="24"/>
                <w:szCs w:val="24"/>
                <w:highlight w:val="none"/>
                <w:lang w:val="en-US" w:eastAsia="zh-CN"/>
                <w14:textFill>
                  <w14:solidFill>
                    <w14:schemeClr w14:val="tx1"/>
                  </w14:solidFill>
                </w14:textFill>
              </w:rPr>
              <w:t>供应</w:t>
            </w:r>
            <w:r>
              <w:rPr>
                <w:rFonts w:hint="eastAsia" w:ascii="仿宋_GB2312" w:hAnsi="仿宋_GB2312" w:eastAsia="仿宋_GB2312" w:cs="仿宋_GB2312"/>
                <w:b/>
                <w:bCs/>
                <w:color w:val="000000" w:themeColor="text1"/>
                <w:sz w:val="24"/>
                <w:szCs w:val="24"/>
                <w:highlight w:val="none"/>
                <w14:textFill>
                  <w14:solidFill>
                    <w14:schemeClr w14:val="tx1"/>
                  </w14:solidFill>
                </w14:textFill>
              </w:rPr>
              <w:t>）合同签证办理。</w:t>
            </w:r>
          </w:p>
        </w:tc>
      </w:tr>
      <w:tr w14:paraId="348BA250">
        <w:tblPrEx>
          <w:tblBorders>
            <w:top w:val="none" w:color="auto" w:sz="4" w:space="0"/>
            <w:left w:val="none" w:color="auto" w:sz="4" w:space="0"/>
            <w:bottom w:val="non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454" w:hRule="atLeast"/>
          <w:jc w:val="center"/>
        </w:trPr>
        <w:tc>
          <w:tcPr>
            <w:tcW w:w="733" w:type="dxa"/>
            <w:tcBorders>
              <w:top w:val="single" w:color="auto" w:sz="4" w:space="0"/>
              <w:left w:val="single" w:color="auto" w:sz="4" w:space="0"/>
              <w:bottom w:val="single" w:color="auto" w:sz="4" w:space="0"/>
              <w:right w:val="single" w:color="auto" w:sz="4" w:space="0"/>
            </w:tcBorders>
            <w:vAlign w:val="center"/>
          </w:tcPr>
          <w:p w14:paraId="2BD403C5">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10</w:t>
            </w:r>
          </w:p>
        </w:tc>
        <w:tc>
          <w:tcPr>
            <w:tcW w:w="8451" w:type="dxa"/>
            <w:tcBorders>
              <w:top w:val="single" w:color="auto" w:sz="4" w:space="0"/>
              <w:left w:val="single" w:color="auto" w:sz="4" w:space="0"/>
              <w:bottom w:val="single" w:color="auto" w:sz="4" w:space="0"/>
              <w:right w:val="single" w:color="auto" w:sz="4" w:space="0"/>
            </w:tcBorders>
            <w:vAlign w:val="center"/>
          </w:tcPr>
          <w:p w14:paraId="7D34FFC2">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确认总包结算、确认分包合同结算（含甲指分包）。</w:t>
            </w:r>
          </w:p>
        </w:tc>
      </w:tr>
      <w:tr w14:paraId="5EE55C47">
        <w:tblPrEx>
          <w:tblBorders>
            <w:top w:val="none" w:color="auto" w:sz="4" w:space="0"/>
            <w:left w:val="none" w:color="auto" w:sz="4" w:space="0"/>
            <w:bottom w:val="non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454" w:hRule="atLeast"/>
          <w:jc w:val="center"/>
        </w:trPr>
        <w:tc>
          <w:tcPr>
            <w:tcW w:w="733" w:type="dxa"/>
            <w:tcBorders>
              <w:top w:val="single" w:color="auto" w:sz="4" w:space="0"/>
              <w:left w:val="single" w:color="auto" w:sz="4" w:space="0"/>
              <w:bottom w:val="single" w:color="auto" w:sz="4" w:space="0"/>
              <w:right w:val="single" w:color="auto" w:sz="4" w:space="0"/>
            </w:tcBorders>
            <w:vAlign w:val="center"/>
          </w:tcPr>
          <w:p w14:paraId="511DE34C">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11</w:t>
            </w:r>
          </w:p>
        </w:tc>
        <w:tc>
          <w:tcPr>
            <w:tcW w:w="8451" w:type="dxa"/>
            <w:tcBorders>
              <w:top w:val="single" w:color="auto" w:sz="4" w:space="0"/>
              <w:left w:val="single" w:color="auto" w:sz="4" w:space="0"/>
              <w:bottom w:val="single" w:color="auto" w:sz="4" w:space="0"/>
              <w:right w:val="single" w:color="auto" w:sz="4" w:space="0"/>
            </w:tcBorders>
            <w:vAlign w:val="center"/>
          </w:tcPr>
          <w:p w14:paraId="6EF04ACA">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确认材料、设备、料具结算及赔偿（含零星材料、甲供材）。</w:t>
            </w:r>
          </w:p>
        </w:tc>
      </w:tr>
      <w:tr w14:paraId="06C5AFEA">
        <w:tblPrEx>
          <w:tblBorders>
            <w:top w:val="none" w:color="auto" w:sz="4" w:space="0"/>
            <w:left w:val="none" w:color="auto" w:sz="4" w:space="0"/>
            <w:bottom w:val="non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454" w:hRule="atLeast"/>
          <w:jc w:val="center"/>
        </w:trPr>
        <w:tc>
          <w:tcPr>
            <w:tcW w:w="733" w:type="dxa"/>
            <w:tcBorders>
              <w:top w:val="single" w:color="auto" w:sz="4" w:space="0"/>
              <w:left w:val="single" w:color="auto" w:sz="4" w:space="0"/>
              <w:bottom w:val="single" w:color="auto" w:sz="4" w:space="0"/>
              <w:right w:val="single" w:color="auto" w:sz="4" w:space="0"/>
            </w:tcBorders>
            <w:vAlign w:val="center"/>
          </w:tcPr>
          <w:p w14:paraId="11D596FF">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12</w:t>
            </w:r>
          </w:p>
        </w:tc>
        <w:tc>
          <w:tcPr>
            <w:tcW w:w="8451" w:type="dxa"/>
            <w:tcBorders>
              <w:top w:val="single" w:color="auto" w:sz="4" w:space="0"/>
              <w:left w:val="single" w:color="auto" w:sz="4" w:space="0"/>
              <w:bottom w:val="single" w:color="auto" w:sz="4" w:space="0"/>
              <w:right w:val="single" w:color="auto" w:sz="4" w:space="0"/>
            </w:tcBorders>
            <w:vAlign w:val="center"/>
          </w:tcPr>
          <w:p w14:paraId="218F37CB">
            <w:pPr>
              <w:widowControl/>
              <w:jc w:val="left"/>
              <w:rPr>
                <w:rFonts w:hint="eastAsia" w:ascii="仿宋_GB2312" w:hAnsi="仿宋_GB2312" w:eastAsia="仿宋_GB2312" w:cs="仿宋_GB2312"/>
                <w:b/>
                <w:bCs/>
                <w:color w:val="000000" w:themeColor="text1"/>
                <w:sz w:val="24"/>
                <w:szCs w:val="24"/>
                <w:highlight w:val="none"/>
                <w14:textFill>
                  <w14:solidFill>
                    <w14:schemeClr w14:val="tx1"/>
                  </w14:solidFill>
                </w14:textFill>
              </w:rPr>
            </w:pPr>
            <w:r>
              <w:rPr>
                <w:rFonts w:hint="eastAsia" w:ascii="仿宋_GB2312" w:hAnsi="仿宋_GB2312" w:eastAsia="仿宋_GB2312" w:cs="仿宋_GB2312"/>
                <w:b/>
                <w:bCs/>
                <w:color w:val="000000" w:themeColor="text1"/>
                <w:kern w:val="0"/>
                <w:sz w:val="24"/>
                <w:szCs w:val="24"/>
                <w:highlight w:val="none"/>
                <w14:textFill>
                  <w14:solidFill>
                    <w14:schemeClr w14:val="tx1"/>
                  </w14:solidFill>
                </w14:textFill>
              </w:rPr>
              <w:t>设立或变更劳动关系（包括签订劳动合同、确认劳动关系等）</w:t>
            </w:r>
          </w:p>
        </w:tc>
      </w:tr>
      <w:tr w14:paraId="4D84DB49">
        <w:tblPrEx>
          <w:tblBorders>
            <w:top w:val="none" w:color="auto" w:sz="4" w:space="0"/>
            <w:left w:val="none" w:color="auto" w:sz="4" w:space="0"/>
            <w:bottom w:val="non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454" w:hRule="atLeast"/>
          <w:jc w:val="center"/>
        </w:trPr>
        <w:tc>
          <w:tcPr>
            <w:tcW w:w="733" w:type="dxa"/>
            <w:tcBorders>
              <w:top w:val="single" w:color="auto" w:sz="4" w:space="0"/>
              <w:left w:val="single" w:color="auto" w:sz="4" w:space="0"/>
              <w:bottom w:val="single" w:color="auto" w:sz="4" w:space="0"/>
              <w:right w:val="single" w:color="auto" w:sz="4" w:space="0"/>
            </w:tcBorders>
            <w:vAlign w:val="center"/>
          </w:tcPr>
          <w:p w14:paraId="1279B5AB">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13</w:t>
            </w:r>
          </w:p>
        </w:tc>
        <w:tc>
          <w:tcPr>
            <w:tcW w:w="8451" w:type="dxa"/>
            <w:tcBorders>
              <w:top w:val="single" w:color="auto" w:sz="4" w:space="0"/>
              <w:left w:val="single" w:color="auto" w:sz="4" w:space="0"/>
              <w:bottom w:val="single" w:color="auto" w:sz="4" w:space="0"/>
              <w:right w:val="single" w:color="auto" w:sz="4" w:space="0"/>
            </w:tcBorders>
            <w:vAlign w:val="center"/>
          </w:tcPr>
          <w:p w14:paraId="31D553D9">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向工伤认定机构提交工伤认定申请或确认工伤事故。</w:t>
            </w:r>
          </w:p>
        </w:tc>
      </w:tr>
      <w:tr w14:paraId="6E0533D9">
        <w:tblPrEx>
          <w:tblBorders>
            <w:top w:val="none" w:color="auto" w:sz="4" w:space="0"/>
            <w:left w:val="none" w:color="auto" w:sz="4" w:space="0"/>
            <w:bottom w:val="non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454" w:hRule="atLeast"/>
          <w:jc w:val="center"/>
        </w:trPr>
        <w:tc>
          <w:tcPr>
            <w:tcW w:w="733" w:type="dxa"/>
            <w:tcBorders>
              <w:top w:val="single" w:color="auto" w:sz="4" w:space="0"/>
              <w:left w:val="single" w:color="auto" w:sz="4" w:space="0"/>
              <w:bottom w:val="single" w:color="auto" w:sz="4" w:space="0"/>
              <w:right w:val="single" w:color="auto" w:sz="4" w:space="0"/>
            </w:tcBorders>
            <w:vAlign w:val="center"/>
          </w:tcPr>
          <w:p w14:paraId="0767AE6F">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14</w:t>
            </w:r>
          </w:p>
        </w:tc>
        <w:tc>
          <w:tcPr>
            <w:tcW w:w="8451" w:type="dxa"/>
            <w:tcBorders>
              <w:top w:val="single" w:color="auto" w:sz="4" w:space="0"/>
              <w:left w:val="single" w:color="auto" w:sz="4" w:space="0"/>
              <w:bottom w:val="single" w:color="auto" w:sz="4" w:space="0"/>
              <w:right w:val="single" w:color="auto" w:sz="4" w:space="0"/>
            </w:tcBorders>
            <w:vAlign w:val="center"/>
          </w:tcPr>
          <w:p w14:paraId="76E41C6D">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确认第三方维修费用。</w:t>
            </w:r>
          </w:p>
        </w:tc>
      </w:tr>
      <w:tr w14:paraId="545553DF">
        <w:tblPrEx>
          <w:tblBorders>
            <w:top w:val="none" w:color="auto" w:sz="4" w:space="0"/>
            <w:left w:val="none" w:color="auto" w:sz="4" w:space="0"/>
            <w:bottom w:val="non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454" w:hRule="atLeast"/>
          <w:jc w:val="center"/>
        </w:trPr>
        <w:tc>
          <w:tcPr>
            <w:tcW w:w="733" w:type="dxa"/>
            <w:tcBorders>
              <w:top w:val="single" w:color="auto" w:sz="4" w:space="0"/>
              <w:left w:val="single" w:color="auto" w:sz="4" w:space="0"/>
              <w:bottom w:val="single" w:color="auto" w:sz="4" w:space="0"/>
              <w:right w:val="single" w:color="auto" w:sz="4" w:space="0"/>
            </w:tcBorders>
            <w:vAlign w:val="center"/>
          </w:tcPr>
          <w:p w14:paraId="1DCFF586">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15</w:t>
            </w:r>
          </w:p>
        </w:tc>
        <w:tc>
          <w:tcPr>
            <w:tcW w:w="8451" w:type="dxa"/>
            <w:tcBorders>
              <w:top w:val="single" w:color="auto" w:sz="4" w:space="0"/>
              <w:left w:val="single" w:color="auto" w:sz="4" w:space="0"/>
              <w:bottom w:val="single" w:color="auto" w:sz="4" w:space="0"/>
              <w:right w:val="single" w:color="auto" w:sz="4" w:space="0"/>
            </w:tcBorders>
            <w:vAlign w:val="center"/>
          </w:tcPr>
          <w:p w14:paraId="2A73602B">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决定废旧物资处理方案。</w:t>
            </w:r>
          </w:p>
        </w:tc>
      </w:tr>
      <w:tr w14:paraId="15B8670B">
        <w:tblPrEx>
          <w:tblBorders>
            <w:top w:val="none" w:color="auto" w:sz="4" w:space="0"/>
            <w:left w:val="none" w:color="auto" w:sz="4" w:space="0"/>
            <w:bottom w:val="non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454" w:hRule="atLeast"/>
          <w:jc w:val="center"/>
        </w:trPr>
        <w:tc>
          <w:tcPr>
            <w:tcW w:w="733" w:type="dxa"/>
            <w:tcBorders>
              <w:top w:val="single" w:color="auto" w:sz="4" w:space="0"/>
              <w:left w:val="single" w:color="auto" w:sz="4" w:space="0"/>
              <w:bottom w:val="single" w:color="auto" w:sz="4" w:space="0"/>
              <w:right w:val="single" w:color="auto" w:sz="4" w:space="0"/>
            </w:tcBorders>
            <w:vAlign w:val="center"/>
          </w:tcPr>
          <w:p w14:paraId="6A8B1B27">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16</w:t>
            </w:r>
          </w:p>
        </w:tc>
        <w:tc>
          <w:tcPr>
            <w:tcW w:w="8451" w:type="dxa"/>
            <w:tcBorders>
              <w:top w:val="single" w:color="auto" w:sz="4" w:space="0"/>
              <w:left w:val="single" w:color="auto" w:sz="4" w:space="0"/>
              <w:bottom w:val="single" w:color="auto" w:sz="4" w:space="0"/>
              <w:right w:val="single" w:color="auto" w:sz="4" w:space="0"/>
            </w:tcBorders>
            <w:vAlign w:val="center"/>
          </w:tcPr>
          <w:p w14:paraId="32523B16">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分包</w:t>
            </w:r>
            <w:r>
              <w:rPr>
                <w:rFonts w:hint="eastAsia" w:ascii="仿宋_GB2312" w:hAnsi="仿宋_GB2312" w:eastAsia="仿宋_GB2312" w:cs="仿宋_GB2312"/>
                <w:b/>
                <w:bCs/>
                <w:color w:val="000000" w:themeColor="text1"/>
                <w:sz w:val="24"/>
                <w:szCs w:val="24"/>
                <w:highlight w:val="none"/>
                <w:lang w:eastAsia="zh-CN"/>
                <w14:textFill>
                  <w14:solidFill>
                    <w14:schemeClr w14:val="tx1"/>
                  </w14:solidFill>
                </w14:textFill>
              </w:rPr>
              <w:t>、</w:t>
            </w:r>
            <w:r>
              <w:rPr>
                <w:rFonts w:hint="eastAsia" w:ascii="仿宋_GB2312" w:hAnsi="仿宋_GB2312" w:eastAsia="仿宋_GB2312" w:cs="仿宋_GB2312"/>
                <w:b/>
                <w:bCs/>
                <w:color w:val="000000" w:themeColor="text1"/>
                <w:sz w:val="24"/>
                <w:szCs w:val="24"/>
                <w:highlight w:val="none"/>
                <w:lang w:val="en-US" w:eastAsia="zh-CN"/>
                <w14:textFill>
                  <w14:solidFill>
                    <w14:schemeClr w14:val="tx1"/>
                  </w14:solidFill>
                </w14:textFill>
              </w:rPr>
              <w:t>供应</w:t>
            </w:r>
            <w:r>
              <w:rPr>
                <w:rFonts w:hint="eastAsia" w:ascii="仿宋_GB2312" w:hAnsi="仿宋_GB2312" w:eastAsia="仿宋_GB2312" w:cs="仿宋_GB2312"/>
                <w:b/>
                <w:bCs/>
                <w:color w:val="000000" w:themeColor="text1"/>
                <w:sz w:val="24"/>
                <w:szCs w:val="24"/>
                <w:highlight w:val="none"/>
                <w14:textFill>
                  <w14:solidFill>
                    <w14:schemeClr w14:val="tx1"/>
                  </w14:solidFill>
                </w14:textFill>
              </w:rPr>
              <w:t>合同涨价、奖励、补偿、增加合同外的工作范围、变更分包</w:t>
            </w:r>
            <w:r>
              <w:rPr>
                <w:rFonts w:hint="eastAsia" w:ascii="仿宋_GB2312" w:hAnsi="仿宋_GB2312" w:eastAsia="仿宋_GB2312" w:cs="仿宋_GB2312"/>
                <w:b/>
                <w:bCs/>
                <w:color w:val="000000" w:themeColor="text1"/>
                <w:sz w:val="24"/>
                <w:szCs w:val="24"/>
                <w:highlight w:val="none"/>
                <w:lang w:eastAsia="zh-CN"/>
                <w14:textFill>
                  <w14:solidFill>
                    <w14:schemeClr w14:val="tx1"/>
                  </w14:solidFill>
                </w14:textFill>
              </w:rPr>
              <w:t>、</w:t>
            </w:r>
            <w:r>
              <w:rPr>
                <w:rFonts w:hint="eastAsia" w:ascii="仿宋_GB2312" w:hAnsi="仿宋_GB2312" w:eastAsia="仿宋_GB2312" w:cs="仿宋_GB2312"/>
                <w:b/>
                <w:bCs/>
                <w:color w:val="000000" w:themeColor="text1"/>
                <w:sz w:val="24"/>
                <w:szCs w:val="24"/>
                <w:highlight w:val="none"/>
                <w:lang w:val="en-US" w:eastAsia="zh-CN"/>
                <w14:textFill>
                  <w14:solidFill>
                    <w14:schemeClr w14:val="tx1"/>
                  </w14:solidFill>
                </w14:textFill>
              </w:rPr>
              <w:t>供应</w:t>
            </w:r>
            <w:r>
              <w:rPr>
                <w:rFonts w:hint="eastAsia" w:ascii="仿宋_GB2312" w:hAnsi="仿宋_GB2312" w:eastAsia="仿宋_GB2312" w:cs="仿宋_GB2312"/>
                <w:b/>
                <w:bCs/>
                <w:color w:val="000000" w:themeColor="text1"/>
                <w:sz w:val="24"/>
                <w:szCs w:val="24"/>
                <w:highlight w:val="none"/>
                <w14:textFill>
                  <w14:solidFill>
                    <w14:schemeClr w14:val="tx1"/>
                  </w14:solidFill>
                </w14:textFill>
              </w:rPr>
              <w:t>合同模式。</w:t>
            </w:r>
          </w:p>
        </w:tc>
      </w:tr>
      <w:tr w14:paraId="5524E6F4">
        <w:tblPrEx>
          <w:tblBorders>
            <w:top w:val="none" w:color="auto" w:sz="4" w:space="0"/>
            <w:left w:val="none" w:color="auto" w:sz="4" w:space="0"/>
            <w:bottom w:val="non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454" w:hRule="atLeast"/>
          <w:jc w:val="center"/>
        </w:trPr>
        <w:tc>
          <w:tcPr>
            <w:tcW w:w="733" w:type="dxa"/>
            <w:tcBorders>
              <w:top w:val="single" w:color="auto" w:sz="4" w:space="0"/>
              <w:left w:val="single" w:color="auto" w:sz="4" w:space="0"/>
              <w:bottom w:val="single" w:color="auto" w:sz="4" w:space="0"/>
              <w:right w:val="single" w:color="auto" w:sz="4" w:space="0"/>
            </w:tcBorders>
            <w:vAlign w:val="center"/>
          </w:tcPr>
          <w:p w14:paraId="7F5E8543">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17</w:t>
            </w:r>
          </w:p>
        </w:tc>
        <w:tc>
          <w:tcPr>
            <w:tcW w:w="8451" w:type="dxa"/>
            <w:tcBorders>
              <w:top w:val="single" w:color="auto" w:sz="4" w:space="0"/>
              <w:left w:val="single" w:color="auto" w:sz="4" w:space="0"/>
              <w:bottom w:val="single" w:color="auto" w:sz="4" w:space="0"/>
              <w:right w:val="single" w:color="auto" w:sz="4" w:space="0"/>
            </w:tcBorders>
            <w:vAlign w:val="center"/>
          </w:tcPr>
          <w:p w14:paraId="5E1121E2">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危险性较大的分部分项工程安全施工方案。</w:t>
            </w:r>
          </w:p>
        </w:tc>
      </w:tr>
      <w:tr w14:paraId="0E776C3A">
        <w:tblPrEx>
          <w:tblBorders>
            <w:top w:val="none" w:color="auto" w:sz="4" w:space="0"/>
            <w:left w:val="none" w:color="auto" w:sz="4" w:space="0"/>
            <w:bottom w:val="non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454" w:hRule="atLeast"/>
          <w:jc w:val="center"/>
        </w:trPr>
        <w:tc>
          <w:tcPr>
            <w:tcW w:w="733" w:type="dxa"/>
            <w:tcBorders>
              <w:top w:val="single" w:color="auto" w:sz="4" w:space="0"/>
              <w:left w:val="single" w:color="auto" w:sz="4" w:space="0"/>
              <w:bottom w:val="single" w:color="auto" w:sz="4" w:space="0"/>
              <w:right w:val="single" w:color="auto" w:sz="4" w:space="0"/>
            </w:tcBorders>
            <w:vAlign w:val="center"/>
          </w:tcPr>
          <w:p w14:paraId="19722D86">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18</w:t>
            </w:r>
          </w:p>
        </w:tc>
        <w:tc>
          <w:tcPr>
            <w:tcW w:w="8451" w:type="dxa"/>
            <w:tcBorders>
              <w:top w:val="single" w:color="auto" w:sz="4" w:space="0"/>
              <w:left w:val="single" w:color="auto" w:sz="4" w:space="0"/>
              <w:bottom w:val="single" w:color="auto" w:sz="4" w:space="0"/>
              <w:right w:val="single" w:color="auto" w:sz="4" w:space="0"/>
            </w:tcBorders>
            <w:vAlign w:val="center"/>
          </w:tcPr>
          <w:p w14:paraId="27D84D0A">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接收诉讼法律文书、处理人民法院协助执行通知或参加仲裁、诉讼。</w:t>
            </w:r>
          </w:p>
        </w:tc>
      </w:tr>
      <w:bookmarkEnd w:id="73"/>
    </w:tbl>
    <w:p w14:paraId="0EA0B9D4">
      <w:pPr>
        <w:numPr>
          <w:ilvl w:val="0"/>
          <w:numId w:val="7"/>
        </w:numPr>
        <w:autoSpaceDE w:val="0"/>
        <w:autoSpaceDN w:val="0"/>
        <w:adjustRightInd w:val="0"/>
        <w:spacing w:line="400" w:lineRule="exact"/>
        <w:rPr>
          <w:rFonts w:ascii="仿宋_GB2312" w:hAnsi="仿宋_GB2312" w:eastAsia="仿宋_GB2312" w:cs="仿宋_GB2312"/>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val="zh-CN"/>
          <w14:textFill>
            <w14:solidFill>
              <w14:schemeClr w14:val="tx1"/>
            </w14:solidFill>
          </w14:textFill>
        </w:rPr>
        <w:t>若项目经理发生变更，则由新委任的项目经理承继。</w:t>
      </w:r>
    </w:p>
    <w:p w14:paraId="0B317154">
      <w:pPr>
        <w:numPr>
          <w:ilvl w:val="0"/>
          <w:numId w:val="7"/>
        </w:numPr>
        <w:autoSpaceDE w:val="0"/>
        <w:autoSpaceDN w:val="0"/>
        <w:adjustRightInd w:val="0"/>
        <w:spacing w:line="400" w:lineRule="exact"/>
        <w:rPr>
          <w:rFonts w:hint="eastAsia" w:ascii="仿宋_GB2312" w:hAnsi="仿宋_GB2312" w:eastAsia="仿宋_GB2312" w:cs="仿宋_GB2312"/>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val="zh-CN"/>
          <w14:textFill>
            <w14:solidFill>
              <w14:schemeClr w14:val="tx1"/>
            </w14:solidFill>
          </w14:textFill>
        </w:rPr>
        <w:t>本授权书未明确的事项执行本公司有关规章制度。</w:t>
      </w:r>
    </w:p>
    <w:p w14:paraId="758FC656">
      <w:pPr>
        <w:numPr>
          <w:ilvl w:val="0"/>
          <w:numId w:val="7"/>
        </w:numPr>
        <w:autoSpaceDE w:val="0"/>
        <w:autoSpaceDN w:val="0"/>
        <w:adjustRightInd w:val="0"/>
        <w:spacing w:line="400" w:lineRule="exact"/>
        <w:rPr>
          <w:rFonts w:hint="eastAsia" w:ascii="仿宋_GB2312" w:hAnsi="仿宋_GB2312" w:eastAsia="仿宋_GB2312" w:cs="仿宋_GB2312"/>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val="zh-CN"/>
          <w14:textFill>
            <w14:solidFill>
              <w14:schemeClr w14:val="tx1"/>
            </w14:solidFill>
          </w14:textFill>
        </w:rPr>
        <w:t>本授权书经本公司加盖合同专用章后生效。本公司有权随时变更或撤销本授权书，并书面告知贵司。</w:t>
      </w:r>
    </w:p>
    <w:p w14:paraId="4705AAA5">
      <w:pPr>
        <w:autoSpaceDE w:val="0"/>
        <w:autoSpaceDN w:val="0"/>
        <w:adjustRightInd w:val="0"/>
        <w:spacing w:line="400" w:lineRule="exact"/>
        <w:ind w:firstLine="480"/>
        <w:rPr>
          <w:rFonts w:hint="eastAsia" w:ascii="仿宋_GB2312" w:hAnsi="仿宋_GB2312" w:eastAsia="仿宋_GB2312" w:cs="仿宋_GB2312"/>
          <w:color w:val="000000" w:themeColor="text1"/>
          <w:sz w:val="24"/>
          <w:szCs w:val="24"/>
          <w:highlight w:val="none"/>
          <w14:textFill>
            <w14:solidFill>
              <w14:schemeClr w14:val="tx1"/>
            </w14:solidFill>
          </w14:textFill>
        </w:rPr>
      </w:pPr>
    </w:p>
    <w:p w14:paraId="3F70515C">
      <w:pPr>
        <w:autoSpaceDE w:val="0"/>
        <w:autoSpaceDN w:val="0"/>
        <w:adjustRightInd w:val="0"/>
        <w:spacing w:line="400" w:lineRule="exact"/>
        <w:ind w:firstLine="480"/>
        <w:rPr>
          <w:rFonts w:hint="eastAsia" w:ascii="仿宋_GB2312" w:hAnsi="仿宋_GB2312" w:eastAsia="仿宋_GB2312" w:cs="仿宋_GB2312"/>
          <w:color w:val="000000" w:themeColor="text1"/>
          <w:sz w:val="24"/>
          <w:szCs w:val="24"/>
          <w:highlight w:val="none"/>
          <w14:textFill>
            <w14:solidFill>
              <w14:schemeClr w14:val="tx1"/>
            </w14:solidFill>
          </w14:textFill>
        </w:rPr>
      </w:pPr>
    </w:p>
    <w:p w14:paraId="52EE12F5">
      <w:pPr>
        <w:autoSpaceDE w:val="0"/>
        <w:autoSpaceDN w:val="0"/>
        <w:adjustRightInd w:val="0"/>
        <w:spacing w:line="400" w:lineRule="exact"/>
        <w:ind w:firstLine="480"/>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               </w:t>
      </w:r>
    </w:p>
    <w:p w14:paraId="125A275C">
      <w:pPr>
        <w:autoSpaceDE w:val="0"/>
        <w:autoSpaceDN w:val="0"/>
        <w:adjustRightInd w:val="0"/>
        <w:spacing w:line="400" w:lineRule="exact"/>
        <w:ind w:firstLine="5040" w:firstLineChars="2100"/>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授权单位（盖章）：</w:t>
      </w:r>
    </w:p>
    <w:p w14:paraId="27A4AC8C">
      <w:pPr>
        <w:autoSpaceDE w:val="0"/>
        <w:autoSpaceDN w:val="0"/>
        <w:adjustRightInd w:val="0"/>
        <w:spacing w:line="400" w:lineRule="atLeast"/>
        <w:ind w:firstLine="480" w:firstLineChars="200"/>
        <w:rPr>
          <w:rFonts w:hint="eastAsia" w:ascii="仿宋_GB2312" w:hAnsi="仿宋_GB2312" w:eastAsia="仿宋_GB2312" w:cs="仿宋_GB2312"/>
          <w:color w:val="000000" w:themeColor="text1"/>
          <w:kern w:val="0"/>
          <w:sz w:val="24"/>
          <w:szCs w:val="24"/>
          <w:highlight w:val="none"/>
          <w14:textFill>
            <w14:solidFill>
              <w14:schemeClr w14:val="tx1"/>
            </w14:solidFill>
          </w14:textFill>
        </w:rPr>
      </w:pPr>
      <w:r>
        <w:rPr>
          <w:rFonts w:hint="eastAsia" w:ascii="仿宋_GB2312" w:hAnsi="仿宋_GB2312" w:eastAsia="仿宋_GB2312" w:cs="仿宋_GB2312"/>
          <w:bCs/>
          <w:color w:val="000000" w:themeColor="text1"/>
          <w:sz w:val="24"/>
          <w:szCs w:val="24"/>
          <w:highlight w:val="none"/>
          <w14:textFill>
            <w14:solidFill>
              <w14:schemeClr w14:val="tx1"/>
            </w14:solidFill>
          </w14:textFill>
        </w:rPr>
        <w:t xml:space="preserve">                 </w:t>
      </w:r>
      <w:r>
        <w:rPr>
          <w:rFonts w:hint="eastAsia" w:ascii="仿宋_GB2312" w:hAnsi="仿宋_GB2312" w:eastAsia="仿宋_GB2312" w:cs="仿宋_GB2312"/>
          <w:color w:val="000000" w:themeColor="text1"/>
          <w:kern w:val="0"/>
          <w:sz w:val="24"/>
          <w:szCs w:val="24"/>
          <w:highlight w:val="none"/>
          <w14:textFill>
            <w14:solidFill>
              <w14:schemeClr w14:val="tx1"/>
            </w14:solidFill>
          </w14:textFill>
        </w:rPr>
        <w:t xml:space="preserve">                          法定代表人：</w:t>
      </w:r>
    </w:p>
    <w:p w14:paraId="737C2C35">
      <w:pPr>
        <w:autoSpaceDE w:val="0"/>
        <w:autoSpaceDN w:val="0"/>
        <w:adjustRightInd w:val="0"/>
        <w:spacing w:line="400" w:lineRule="atLeast"/>
        <w:ind w:firstLine="480" w:firstLineChars="200"/>
        <w:rPr>
          <w:rFonts w:hint="eastAsia" w:ascii="仿宋_GB2312" w:hAnsi="仿宋_GB2312" w:eastAsia="仿宋_GB2312" w:cs="仿宋_GB2312"/>
          <w:color w:val="000000" w:themeColor="text1"/>
          <w:kern w:val="0"/>
          <w:sz w:val="24"/>
          <w:szCs w:val="24"/>
          <w:highlight w:val="none"/>
          <w14:textFill>
            <w14:solidFill>
              <w14:schemeClr w14:val="tx1"/>
            </w14:solidFill>
          </w14:textFill>
        </w:rPr>
      </w:pPr>
      <w:r>
        <w:rPr>
          <w:rFonts w:hint="eastAsia" w:ascii="仿宋_GB2312" w:hAnsi="仿宋_GB2312" w:eastAsia="仿宋_GB2312" w:cs="仿宋_GB2312"/>
          <w:color w:val="000000" w:themeColor="text1"/>
          <w:kern w:val="0"/>
          <w:sz w:val="24"/>
          <w:szCs w:val="24"/>
          <w:highlight w:val="none"/>
          <w14:textFill>
            <w14:solidFill>
              <w14:schemeClr w14:val="tx1"/>
            </w14:solidFill>
          </w14:textFill>
        </w:rPr>
        <w:t xml:space="preserve">                                               或</w:t>
      </w:r>
    </w:p>
    <w:p w14:paraId="7DB8D3AD">
      <w:pPr>
        <w:autoSpaceDE w:val="0"/>
        <w:autoSpaceDN w:val="0"/>
        <w:adjustRightInd w:val="0"/>
        <w:spacing w:line="400" w:lineRule="atLeast"/>
        <w:ind w:firstLine="6000" w:firstLineChars="2500"/>
        <w:rPr>
          <w:rFonts w:hint="eastAsia" w:ascii="仿宋_GB2312" w:hAnsi="仿宋_GB2312" w:eastAsia="仿宋_GB2312" w:cs="仿宋_GB2312"/>
          <w:bCs/>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kern w:val="0"/>
          <w:sz w:val="24"/>
          <w:szCs w:val="24"/>
          <w:highlight w:val="none"/>
          <w14:textFill>
            <w14:solidFill>
              <w14:schemeClr w14:val="tx1"/>
            </w14:solidFill>
          </w14:textFill>
        </w:rPr>
        <w:t>被委托人：</w:t>
      </w:r>
      <w:r>
        <w:rPr>
          <w:rFonts w:hint="eastAsia" w:ascii="仿宋_GB2312" w:hAnsi="仿宋_GB2312" w:eastAsia="仿宋_GB2312" w:cs="仿宋_GB2312"/>
          <w:bCs/>
          <w:color w:val="000000" w:themeColor="text1"/>
          <w:sz w:val="24"/>
          <w:szCs w:val="24"/>
          <w:highlight w:val="none"/>
          <w14:textFill>
            <w14:solidFill>
              <w14:schemeClr w14:val="tx1"/>
            </w14:solidFill>
          </w14:textFill>
        </w:rPr>
        <w:t xml:space="preserve">           </w:t>
      </w:r>
    </w:p>
    <w:p w14:paraId="369D9FBD">
      <w:pPr>
        <w:autoSpaceDE w:val="0"/>
        <w:autoSpaceDN w:val="0"/>
        <w:adjustRightInd w:val="0"/>
        <w:spacing w:line="400" w:lineRule="exact"/>
        <w:rPr>
          <w:rFonts w:hint="eastAsia" w:ascii="仿宋_GB2312" w:hAnsi="仿宋_GB2312" w:eastAsia="仿宋_GB2312" w:cs="仿宋_GB2312"/>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                                          </w:t>
      </w:r>
      <w:r>
        <w:rPr>
          <w:rFonts w:hint="eastAsia" w:ascii="仿宋_GB2312" w:hAnsi="仿宋_GB2312" w:eastAsia="仿宋_GB2312" w:cs="仿宋_GB2312"/>
          <w:color w:val="000000" w:themeColor="text1"/>
          <w:sz w:val="24"/>
          <w:szCs w:val="24"/>
          <w:highlight w:val="none"/>
          <w:lang w:val="zh-CN"/>
          <w14:textFill>
            <w14:solidFill>
              <w14:schemeClr w14:val="tx1"/>
            </w14:solidFill>
          </w14:textFill>
        </w:rPr>
        <w:t>签署日期：</w:t>
      </w: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    </w:t>
      </w:r>
      <w:r>
        <w:rPr>
          <w:rFonts w:hint="eastAsia" w:ascii="仿宋_GB2312" w:hAnsi="仿宋_GB2312" w:eastAsia="仿宋_GB2312" w:cs="仿宋_GB2312"/>
          <w:color w:val="000000" w:themeColor="text1"/>
          <w:sz w:val="24"/>
          <w:szCs w:val="24"/>
          <w:highlight w:val="none"/>
          <w:lang w:val="zh-CN"/>
          <w14:textFill>
            <w14:solidFill>
              <w14:schemeClr w14:val="tx1"/>
            </w14:solidFill>
          </w14:textFill>
        </w:rPr>
        <w:t>年</w:t>
      </w: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   </w:t>
      </w:r>
      <w:r>
        <w:rPr>
          <w:rFonts w:hint="eastAsia" w:ascii="仿宋_GB2312" w:hAnsi="仿宋_GB2312" w:eastAsia="仿宋_GB2312" w:cs="仿宋_GB2312"/>
          <w:color w:val="000000" w:themeColor="text1"/>
          <w:sz w:val="24"/>
          <w:szCs w:val="24"/>
          <w:highlight w:val="none"/>
          <w:lang w:val="zh-CN"/>
          <w14:textFill>
            <w14:solidFill>
              <w14:schemeClr w14:val="tx1"/>
            </w14:solidFill>
          </w14:textFill>
        </w:rPr>
        <w:t>月</w:t>
      </w: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   </w:t>
      </w:r>
      <w:r>
        <w:rPr>
          <w:rFonts w:hint="eastAsia" w:ascii="仿宋_GB2312" w:hAnsi="仿宋_GB2312" w:eastAsia="仿宋_GB2312" w:cs="仿宋_GB2312"/>
          <w:color w:val="000000" w:themeColor="text1"/>
          <w:sz w:val="24"/>
          <w:szCs w:val="24"/>
          <w:highlight w:val="none"/>
          <w:lang w:val="zh-CN"/>
          <w14:textFill>
            <w14:solidFill>
              <w14:schemeClr w14:val="tx1"/>
            </w14:solidFill>
          </w14:textFill>
        </w:rPr>
        <w:t>日</w:t>
      </w:r>
    </w:p>
    <w:p w14:paraId="5805F44B">
      <w:pPr>
        <w:autoSpaceDE w:val="0"/>
        <w:autoSpaceDN w:val="0"/>
        <w:adjustRightInd w:val="0"/>
        <w:spacing w:line="400" w:lineRule="exact"/>
        <w:ind w:firstLine="480"/>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乙方</w:t>
      </w:r>
      <w:r>
        <w:rPr>
          <w:rFonts w:hint="eastAsia" w:ascii="仿宋_GB2312" w:hAnsi="仿宋_GB2312" w:eastAsia="仿宋_GB2312" w:cs="仿宋_GB2312"/>
          <w:color w:val="000000" w:themeColor="text1"/>
          <w:sz w:val="24"/>
          <w:szCs w:val="24"/>
          <w:highlight w:val="none"/>
          <w:lang w:val="zh-CN"/>
          <w14:textFill>
            <w14:solidFill>
              <w14:schemeClr w14:val="tx1"/>
            </w14:solidFill>
          </w14:textFill>
        </w:rPr>
        <w:t>确认：我司已完全理解并清楚贵司对</w:t>
      </w: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项目部及项目经理的授权范围，并严格遵照执行。超出贵司授权范围的行为属于无权代理行为，对贵司无效，贵司不承担任何法律责任。我司将谨慎审查相关文件的签署主体资格和权限，对于无权代理人签署的相关文件，应及时与贵司核实。      </w:t>
      </w:r>
    </w:p>
    <w:p w14:paraId="7779CAE4">
      <w:pPr>
        <w:spacing w:line="400" w:lineRule="exact"/>
        <w:ind w:right="210" w:rightChars="100"/>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                                          乙方（公章）：           </w:t>
      </w:r>
    </w:p>
    <w:p w14:paraId="16699161">
      <w:pPr>
        <w:autoSpaceDE w:val="0"/>
        <w:autoSpaceDN w:val="0"/>
        <w:adjustRightInd w:val="0"/>
        <w:spacing w:line="400" w:lineRule="atLeast"/>
        <w:ind w:firstLine="1680" w:firstLineChars="700"/>
        <w:rPr>
          <w:rFonts w:hint="eastAsia" w:ascii="仿宋_GB2312" w:hAnsi="仿宋_GB2312" w:eastAsia="仿宋_GB2312" w:cs="仿宋_GB2312"/>
          <w:color w:val="000000" w:themeColor="text1"/>
          <w:kern w:val="0"/>
          <w:sz w:val="24"/>
          <w:szCs w:val="24"/>
          <w:highlight w:val="none"/>
          <w14:textFill>
            <w14:solidFill>
              <w14:schemeClr w14:val="tx1"/>
            </w14:solidFill>
          </w14:textFill>
        </w:rPr>
      </w:pPr>
      <w:r>
        <w:rPr>
          <w:rFonts w:hint="eastAsia" w:ascii="仿宋_GB2312" w:hAnsi="仿宋_GB2312" w:eastAsia="仿宋_GB2312" w:cs="仿宋_GB2312"/>
          <w:color w:val="000000" w:themeColor="text1"/>
          <w:kern w:val="0"/>
          <w:sz w:val="24"/>
          <w:szCs w:val="24"/>
          <w:highlight w:val="none"/>
          <w14:textFill>
            <w14:solidFill>
              <w14:schemeClr w14:val="tx1"/>
            </w14:solidFill>
          </w14:textFill>
        </w:rPr>
        <w:t xml:space="preserve">                             法定代表人：</w:t>
      </w:r>
    </w:p>
    <w:p w14:paraId="6AFAF626">
      <w:pPr>
        <w:autoSpaceDE w:val="0"/>
        <w:autoSpaceDN w:val="0"/>
        <w:adjustRightInd w:val="0"/>
        <w:spacing w:line="400" w:lineRule="atLeast"/>
        <w:ind w:firstLine="480" w:firstLineChars="200"/>
        <w:rPr>
          <w:rFonts w:hint="eastAsia" w:ascii="仿宋_GB2312" w:hAnsi="仿宋_GB2312" w:eastAsia="仿宋_GB2312" w:cs="仿宋_GB2312"/>
          <w:color w:val="000000" w:themeColor="text1"/>
          <w:kern w:val="0"/>
          <w:sz w:val="24"/>
          <w:szCs w:val="24"/>
          <w:highlight w:val="none"/>
          <w14:textFill>
            <w14:solidFill>
              <w14:schemeClr w14:val="tx1"/>
            </w14:solidFill>
          </w14:textFill>
        </w:rPr>
      </w:pPr>
      <w:r>
        <w:rPr>
          <w:rFonts w:hint="eastAsia" w:ascii="仿宋_GB2312" w:hAnsi="仿宋_GB2312" w:eastAsia="仿宋_GB2312" w:cs="仿宋_GB2312"/>
          <w:color w:val="000000" w:themeColor="text1"/>
          <w:kern w:val="0"/>
          <w:sz w:val="24"/>
          <w:szCs w:val="24"/>
          <w:highlight w:val="none"/>
          <w14:textFill>
            <w14:solidFill>
              <w14:schemeClr w14:val="tx1"/>
            </w14:solidFill>
          </w14:textFill>
        </w:rPr>
        <w:t xml:space="preserve">                                          或</w:t>
      </w:r>
    </w:p>
    <w:p w14:paraId="38C20DAF">
      <w:pPr>
        <w:autoSpaceDE w:val="0"/>
        <w:autoSpaceDN w:val="0"/>
        <w:adjustRightInd w:val="0"/>
        <w:spacing w:line="400" w:lineRule="atLeast"/>
        <w:ind w:firstLine="1920" w:firstLineChars="800"/>
        <w:rPr>
          <w:rFonts w:hint="eastAsia" w:ascii="仿宋_GB2312" w:hAnsi="仿宋_GB2312" w:eastAsia="仿宋_GB2312" w:cs="仿宋_GB2312"/>
          <w:color w:val="000000" w:themeColor="text1"/>
          <w:kern w:val="0"/>
          <w:sz w:val="24"/>
          <w:szCs w:val="24"/>
          <w:highlight w:val="none"/>
          <w14:textFill>
            <w14:solidFill>
              <w14:schemeClr w14:val="tx1"/>
            </w14:solidFill>
          </w14:textFill>
        </w:rPr>
      </w:pPr>
      <w:r>
        <w:rPr>
          <w:rFonts w:hint="eastAsia" w:ascii="仿宋_GB2312" w:hAnsi="仿宋_GB2312" w:eastAsia="仿宋_GB2312" w:cs="仿宋_GB2312"/>
          <w:color w:val="000000" w:themeColor="text1"/>
          <w:kern w:val="0"/>
          <w:sz w:val="24"/>
          <w:szCs w:val="24"/>
          <w:highlight w:val="none"/>
          <w14:textFill>
            <w14:solidFill>
              <w14:schemeClr w14:val="tx1"/>
            </w14:solidFill>
          </w14:textFill>
        </w:rPr>
        <w:t xml:space="preserve">                            被委托人：</w:t>
      </w:r>
    </w:p>
    <w:p w14:paraId="0793D269">
      <w:pPr>
        <w:autoSpaceDE w:val="0"/>
        <w:autoSpaceDN w:val="0"/>
        <w:adjustRightInd w:val="0"/>
        <w:spacing w:line="400" w:lineRule="exact"/>
        <w:rPr>
          <w:rFonts w:hint="eastAsia" w:ascii="仿宋_GB2312" w:hAnsi="仿宋_GB2312" w:eastAsia="仿宋_GB2312" w:cs="仿宋_GB2312"/>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                                          </w:t>
      </w:r>
      <w:r>
        <w:rPr>
          <w:rFonts w:hint="eastAsia" w:ascii="仿宋_GB2312" w:hAnsi="仿宋_GB2312" w:eastAsia="仿宋_GB2312" w:cs="仿宋_GB2312"/>
          <w:color w:val="000000" w:themeColor="text1"/>
          <w:sz w:val="24"/>
          <w:szCs w:val="24"/>
          <w:highlight w:val="none"/>
          <w:lang w:val="zh-CN"/>
          <w14:textFill>
            <w14:solidFill>
              <w14:schemeClr w14:val="tx1"/>
            </w14:solidFill>
          </w14:textFill>
        </w:rPr>
        <w:t>签署日期：</w:t>
      </w: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    </w:t>
      </w:r>
      <w:r>
        <w:rPr>
          <w:rFonts w:hint="eastAsia" w:ascii="仿宋_GB2312" w:hAnsi="仿宋_GB2312" w:eastAsia="仿宋_GB2312" w:cs="仿宋_GB2312"/>
          <w:color w:val="000000" w:themeColor="text1"/>
          <w:sz w:val="24"/>
          <w:szCs w:val="24"/>
          <w:highlight w:val="none"/>
          <w:lang w:val="zh-CN"/>
          <w14:textFill>
            <w14:solidFill>
              <w14:schemeClr w14:val="tx1"/>
            </w14:solidFill>
          </w14:textFill>
        </w:rPr>
        <w:t>年</w:t>
      </w: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   </w:t>
      </w:r>
      <w:r>
        <w:rPr>
          <w:rFonts w:hint="eastAsia" w:ascii="仿宋_GB2312" w:hAnsi="仿宋_GB2312" w:eastAsia="仿宋_GB2312" w:cs="仿宋_GB2312"/>
          <w:color w:val="000000" w:themeColor="text1"/>
          <w:sz w:val="24"/>
          <w:szCs w:val="24"/>
          <w:highlight w:val="none"/>
          <w:lang w:val="zh-CN"/>
          <w14:textFill>
            <w14:solidFill>
              <w14:schemeClr w14:val="tx1"/>
            </w14:solidFill>
          </w14:textFill>
        </w:rPr>
        <w:t>月</w:t>
      </w: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   </w:t>
      </w:r>
      <w:r>
        <w:rPr>
          <w:rFonts w:hint="eastAsia" w:ascii="仿宋_GB2312" w:hAnsi="仿宋_GB2312" w:eastAsia="仿宋_GB2312" w:cs="仿宋_GB2312"/>
          <w:color w:val="000000" w:themeColor="text1"/>
          <w:sz w:val="24"/>
          <w:szCs w:val="24"/>
          <w:highlight w:val="none"/>
          <w:lang w:val="zh-CN"/>
          <w14:textFill>
            <w14:solidFill>
              <w14:schemeClr w14:val="tx1"/>
            </w14:solidFill>
          </w14:textFill>
        </w:rPr>
        <w:t>日</w:t>
      </w:r>
    </w:p>
    <w:p w14:paraId="3453E8BB">
      <w:pPr>
        <w:autoSpaceDE w:val="0"/>
        <w:autoSpaceDN w:val="0"/>
        <w:adjustRightInd w:val="0"/>
        <w:spacing w:line="400" w:lineRule="exact"/>
        <w:rPr>
          <w:rFonts w:ascii="仿宋_GB2312" w:hAnsi="仿宋_GB2312" w:eastAsia="仿宋_GB2312" w:cs="仿宋_GB2312"/>
          <w:color w:val="000000" w:themeColor="text1"/>
          <w:sz w:val="24"/>
          <w:szCs w:val="24"/>
          <w:highlight w:val="none"/>
          <w:lang w:val="zh-CN"/>
          <w14:textFill>
            <w14:solidFill>
              <w14:schemeClr w14:val="tx1"/>
            </w14:solidFill>
          </w14:textFill>
        </w:rPr>
      </w:pPr>
    </w:p>
    <w:p w14:paraId="32F14ADD">
      <w:pPr>
        <w:autoSpaceDE w:val="0"/>
        <w:autoSpaceDN w:val="0"/>
        <w:adjustRightInd w:val="0"/>
        <w:spacing w:line="400" w:lineRule="exact"/>
        <w:rPr>
          <w:rFonts w:ascii="仿宋_GB2312" w:hAnsi="仿宋_GB2312" w:eastAsia="仿宋_GB2312" w:cs="仿宋_GB2312"/>
          <w:color w:val="000000" w:themeColor="text1"/>
          <w:sz w:val="24"/>
          <w:szCs w:val="24"/>
          <w:highlight w:val="none"/>
          <w:lang w:val="zh-CN"/>
          <w14:textFill>
            <w14:solidFill>
              <w14:schemeClr w14:val="tx1"/>
            </w14:solidFill>
          </w14:textFill>
        </w:rPr>
      </w:pPr>
    </w:p>
    <w:p w14:paraId="2A464CAF">
      <w:pPr>
        <w:spacing w:line="400" w:lineRule="exact"/>
        <w:ind w:right="210" w:rightChars="100"/>
        <w:outlineLvl w:val="0"/>
        <w:rPr>
          <w:rFonts w:hint="eastAsia" w:ascii="仿宋_GB2312" w:hAnsi="仿宋_GB2312" w:eastAsia="仿宋_GB2312" w:cs="仿宋_GB2312"/>
          <w:color w:val="000000" w:themeColor="text1"/>
          <w:sz w:val="30"/>
          <w:szCs w:val="30"/>
          <w:highlight w:val="none"/>
          <w14:textFill>
            <w14:solidFill>
              <w14:schemeClr w14:val="tx1"/>
            </w14:solidFill>
          </w14:textFill>
        </w:rPr>
        <w:sectPr>
          <w:footerReference r:id="rId12" w:type="default"/>
          <w:pgSz w:w="11906" w:h="16838"/>
          <w:pgMar w:top="1440" w:right="1800" w:bottom="1440" w:left="1800" w:header="850" w:footer="975" w:gutter="0"/>
          <w:cols w:space="0" w:num="1"/>
          <w:docGrid w:linePitch="312" w:charSpace="0"/>
        </w:sectPr>
      </w:pPr>
      <w:bookmarkStart w:id="74" w:name="_Toc11293"/>
      <w:bookmarkStart w:id="75" w:name="_Toc20069"/>
      <w:bookmarkStart w:id="76" w:name="_Toc15118"/>
    </w:p>
    <w:p w14:paraId="0FD1CB49">
      <w:pPr>
        <w:spacing w:line="400" w:lineRule="exact"/>
        <w:ind w:right="210" w:rightChars="100"/>
        <w:outlineLvl w:val="0"/>
        <w:rPr>
          <w:rFonts w:ascii="仿宋_GB2312" w:hAnsi="仿宋_GB2312" w:eastAsia="仿宋_GB2312" w:cs="仿宋_GB2312"/>
          <w:color w:val="000000" w:themeColor="text1"/>
          <w:sz w:val="30"/>
          <w:szCs w:val="30"/>
          <w:highlight w:val="none"/>
          <w14:textFill>
            <w14:solidFill>
              <w14:schemeClr w14:val="tx1"/>
            </w14:solidFill>
          </w14:textFill>
        </w:rPr>
      </w:pPr>
      <w:r>
        <w:rPr>
          <w:rFonts w:hint="eastAsia" w:ascii="仿宋_GB2312" w:hAnsi="仿宋_GB2312" w:eastAsia="仿宋_GB2312" w:cs="仿宋_GB2312"/>
          <w:color w:val="000000" w:themeColor="text1"/>
          <w:sz w:val="30"/>
          <w:szCs w:val="30"/>
          <w:highlight w:val="none"/>
          <w14:textFill>
            <w14:solidFill>
              <w14:schemeClr w14:val="tx1"/>
            </w14:solidFill>
          </w14:textFill>
        </w:rPr>
        <w:t>附件三：</w:t>
      </w:r>
      <w:bookmarkEnd w:id="74"/>
      <w:bookmarkEnd w:id="75"/>
      <w:bookmarkEnd w:id="76"/>
    </w:p>
    <w:p w14:paraId="1C0C1D2C">
      <w:pPr>
        <w:spacing w:line="400" w:lineRule="exact"/>
        <w:jc w:val="center"/>
        <w:rPr>
          <w:rFonts w:ascii="仿宋_GB2312" w:hAnsi="仿宋_GB2312" w:eastAsia="仿宋_GB2312" w:cs="仿宋_GB2312"/>
          <w:b/>
          <w:color w:val="000000" w:themeColor="text1"/>
          <w:sz w:val="30"/>
          <w:szCs w:val="30"/>
          <w:highlight w:val="none"/>
          <w14:textFill>
            <w14:solidFill>
              <w14:schemeClr w14:val="tx1"/>
            </w14:solidFill>
          </w14:textFill>
        </w:rPr>
      </w:pPr>
      <w:r>
        <w:rPr>
          <w:rFonts w:hint="eastAsia" w:ascii="仿宋_GB2312" w:hAnsi="仿宋_GB2312" w:eastAsia="仿宋_GB2312" w:cs="仿宋_GB2312"/>
          <w:b/>
          <w:color w:val="000000" w:themeColor="text1"/>
          <w:sz w:val="30"/>
          <w:szCs w:val="30"/>
          <w:highlight w:val="none"/>
          <w14:textFill>
            <w14:solidFill>
              <w14:schemeClr w14:val="tx1"/>
            </w14:solidFill>
          </w14:textFill>
        </w:rPr>
        <w:t>安全管理协议书</w:t>
      </w:r>
    </w:p>
    <w:p w14:paraId="342A1882">
      <w:pPr>
        <w:wordWrap w:val="0"/>
        <w:spacing w:line="400" w:lineRule="exact"/>
        <w:jc w:val="right"/>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 </w:t>
      </w:r>
    </w:p>
    <w:p w14:paraId="24C16FFB">
      <w:pPr>
        <w:spacing w:line="400" w:lineRule="exact"/>
        <w:rPr>
          <w:rFonts w:ascii="仿宋_GB2312" w:hAnsi="仿宋_GB2312" w:eastAsia="仿宋_GB2312" w:cs="仿宋_GB2312"/>
          <w:b/>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甲方：</w:t>
      </w:r>
      <w:permStart w:id="104" w:edGrp="everyone"/>
      <w:r>
        <w:rPr>
          <w:rFonts w:hint="eastAsia" w:ascii="仿宋_GB2312" w:hAnsi="仿宋_GB2312" w:eastAsia="仿宋_GB2312" w:cs="仿宋_GB2312"/>
          <w:color w:val="000000" w:themeColor="text1"/>
          <w:sz w:val="24"/>
          <w:szCs w:val="24"/>
          <w:highlight w:val="none"/>
          <w:u w:val="single"/>
          <w:lang w:eastAsia="zh-CN"/>
          <w14:textFill>
            <w14:solidFill>
              <w14:schemeClr w14:val="tx1"/>
            </w14:solidFill>
          </w14:textFill>
        </w:rPr>
        <w:t>西藏中建建设有限责任公司</w:t>
      </w:r>
      <w:r>
        <w:rPr>
          <w:rFonts w:hint="eastAsia" w:ascii="仿宋_GB2312" w:hAnsi="仿宋_GB2312" w:eastAsia="仿宋_GB2312" w:cs="仿宋_GB2312"/>
          <w:color w:val="000000" w:themeColor="text1"/>
          <w:sz w:val="24"/>
          <w:szCs w:val="24"/>
          <w:highlight w:val="none"/>
          <w:u w:val="single"/>
          <w:lang w:val="en-US" w:eastAsia="zh-CN"/>
          <w14:textFill>
            <w14:solidFill>
              <w14:schemeClr w14:val="tx1"/>
            </w14:solidFill>
          </w14:textFill>
        </w:rPr>
        <w:t xml:space="preserve">    </w:t>
      </w:r>
      <w:permEnd w:id="104"/>
      <w:r>
        <w:rPr>
          <w:rFonts w:hint="eastAsia" w:ascii="仿宋_GB2312" w:hAnsi="仿宋_GB2312" w:eastAsia="仿宋_GB2312" w:cs="仿宋_GB2312"/>
          <w:b/>
          <w:color w:val="000000" w:themeColor="text1"/>
          <w:sz w:val="24"/>
          <w:szCs w:val="24"/>
          <w:highlight w:val="none"/>
          <w14:textFill>
            <w14:solidFill>
              <w14:schemeClr w14:val="tx1"/>
            </w14:solidFill>
          </w14:textFill>
        </w:rPr>
        <w:t xml:space="preserve"> </w:t>
      </w:r>
    </w:p>
    <w:p w14:paraId="1401B419">
      <w:pPr>
        <w:spacing w:line="400" w:lineRule="exact"/>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乙方：</w:t>
      </w:r>
      <w:permStart w:id="105" w:edGrp="everyone"/>
      <w:r>
        <w:rPr>
          <w:rFonts w:hint="eastAsia" w:ascii="仿宋_GB2312" w:hAnsi="仿宋_GB2312" w:eastAsia="仿宋_GB2312" w:cs="仿宋_GB2312"/>
          <w:b/>
          <w:color w:val="000000" w:themeColor="text1"/>
          <w:sz w:val="24"/>
          <w:szCs w:val="24"/>
          <w:highlight w:val="none"/>
          <w:u w:val="single"/>
          <w14:textFill>
            <w14:solidFill>
              <w14:schemeClr w14:val="tx1"/>
            </w14:solidFill>
          </w14:textFill>
        </w:rPr>
        <w:t xml:space="preserve">                        </w:t>
      </w:r>
      <w:permEnd w:id="105"/>
    </w:p>
    <w:p w14:paraId="30E75F9D">
      <w:pPr>
        <w:pStyle w:val="5"/>
        <w:tabs>
          <w:tab w:val="left" w:pos="2100"/>
        </w:tabs>
        <w:spacing w:line="400" w:lineRule="exact"/>
        <w:ind w:right="210" w:rightChars="100" w:firstLine="432"/>
        <w:rPr>
          <w:rFonts w:hAnsi="仿宋_GB2312" w:cs="仿宋_GB2312"/>
          <w:color w:val="000000" w:themeColor="text1"/>
          <w:sz w:val="24"/>
          <w:highlight w:val="none"/>
          <w14:textFill>
            <w14:solidFill>
              <w14:schemeClr w14:val="tx1"/>
            </w14:solidFill>
          </w14:textFill>
        </w:rPr>
      </w:pPr>
      <w:r>
        <w:rPr>
          <w:rFonts w:hint="eastAsia" w:hAnsi="仿宋_GB2312" w:cs="仿宋_GB2312"/>
          <w:color w:val="000000" w:themeColor="text1"/>
          <w:sz w:val="24"/>
          <w:highlight w:val="none"/>
          <w14:textFill>
            <w14:solidFill>
              <w14:schemeClr w14:val="tx1"/>
            </w14:solidFill>
          </w14:textFill>
        </w:rPr>
        <w:t xml:space="preserve">根据《中华人民共和国民法典》、《安全生产法》及有关法律规定，遵循平等、自愿、公平和诚实信用的原则，双方就合同范围内且在项目部施工现场范围内安全事项协商一致，订立本合同并共同遵守。 </w:t>
      </w:r>
    </w:p>
    <w:p w14:paraId="16E69F79">
      <w:pPr>
        <w:snapToGrid w:val="0"/>
        <w:spacing w:line="400" w:lineRule="exact"/>
        <w:ind w:firstLine="555"/>
        <w:rPr>
          <w:rFonts w:ascii="仿宋_GB2312" w:hAnsi="仿宋_GB2312" w:eastAsia="仿宋_GB2312" w:cs="仿宋_GB2312"/>
          <w:b/>
          <w:bCs/>
          <w:color w:val="000000" w:themeColor="text1"/>
          <w:sz w:val="24"/>
          <w:szCs w:val="24"/>
          <w:highlight w:val="none"/>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 xml:space="preserve">第一条 共同约定  </w:t>
      </w:r>
    </w:p>
    <w:p w14:paraId="1650C0E5">
      <w:pPr>
        <w:snapToGrid w:val="0"/>
        <w:spacing w:line="400" w:lineRule="exact"/>
        <w:ind w:firstLine="556"/>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1、双方应共同遵守《安全生产法》、《中华人民共和国建筑法》、《建设工程安全生产管理条例》、《房屋建筑和市政基础设施工程分包管理办法》《安全生产许可证条例》等一系列有关安全生产的法律法规，严格执行建设部标准</w:t>
      </w:r>
      <w:permStart w:id="106" w:edGrp="everyone"/>
      <w:r>
        <w:rPr>
          <w:rFonts w:hint="eastAsia" w:ascii="仿宋_GB2312" w:hAnsi="仿宋_GB2312" w:eastAsia="仿宋_GB2312" w:cs="仿宋_GB2312"/>
          <w:color w:val="000000" w:themeColor="text1"/>
          <w:sz w:val="24"/>
          <w:szCs w:val="24"/>
          <w:highlight w:val="none"/>
          <w14:textFill>
            <w14:solidFill>
              <w14:schemeClr w14:val="tx1"/>
            </w14:solidFill>
          </w14:textFill>
        </w:rPr>
        <w:t>JGJ59—2011《建筑安全施工检查标准》</w:t>
      </w:r>
      <w:permEnd w:id="106"/>
      <w:r>
        <w:rPr>
          <w:rFonts w:hint="eastAsia" w:ascii="仿宋_GB2312" w:hAnsi="仿宋_GB2312" w:eastAsia="仿宋_GB2312" w:cs="仿宋_GB2312"/>
          <w:color w:val="000000" w:themeColor="text1"/>
          <w:sz w:val="24"/>
          <w:szCs w:val="24"/>
          <w:highlight w:val="none"/>
          <w14:textFill>
            <w14:solidFill>
              <w14:schemeClr w14:val="tx1"/>
            </w14:solidFill>
          </w14:textFill>
        </w:rPr>
        <w:t>等一系列标准规程及</w:t>
      </w:r>
      <w:permStart w:id="107" w:edGrp="everyone"/>
      <w:r>
        <w:rPr>
          <w:rFonts w:hint="eastAsia" w:ascii="仿宋_GB2312" w:hAnsi="仿宋_GB2312" w:eastAsia="仿宋_GB2312" w:cs="仿宋_GB2312"/>
          <w:color w:val="000000" w:themeColor="text1"/>
          <w:sz w:val="24"/>
          <w:szCs w:val="24"/>
          <w:highlight w:val="none"/>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highlight w:val="none"/>
          <w:u w:val="single"/>
          <w:lang w:val="en-US" w:eastAsia="zh-CN"/>
          <w14:textFill>
            <w14:solidFill>
              <w14:schemeClr w14:val="tx1"/>
            </w14:solidFill>
          </w14:textFill>
        </w:rPr>
        <w:t>那曲</w:t>
      </w:r>
      <w:r>
        <w:rPr>
          <w:rFonts w:hint="eastAsia" w:ascii="仿宋_GB2312" w:hAnsi="仿宋_GB2312" w:eastAsia="仿宋_GB2312" w:cs="仿宋_GB2312"/>
          <w:color w:val="000000" w:themeColor="text1"/>
          <w:sz w:val="24"/>
          <w:szCs w:val="24"/>
          <w:highlight w:val="none"/>
          <w:u w:val="single"/>
          <w14:textFill>
            <w14:solidFill>
              <w14:schemeClr w14:val="tx1"/>
            </w14:solidFill>
          </w14:textFill>
        </w:rPr>
        <w:t xml:space="preserve"> </w:t>
      </w:r>
      <w:permEnd w:id="107"/>
      <w:r>
        <w:rPr>
          <w:rFonts w:hint="eastAsia" w:ascii="仿宋_GB2312" w:hAnsi="仿宋_GB2312" w:eastAsia="仿宋_GB2312" w:cs="仿宋_GB2312"/>
          <w:color w:val="000000" w:themeColor="text1"/>
          <w:sz w:val="24"/>
          <w:szCs w:val="24"/>
          <w:highlight w:val="none"/>
          <w14:textFill>
            <w14:solidFill>
              <w14:schemeClr w14:val="tx1"/>
            </w14:solidFill>
          </w14:textFill>
        </w:rPr>
        <w:t>市有关安全生产的规章制度。</w:t>
      </w:r>
    </w:p>
    <w:p w14:paraId="2C0778B6">
      <w:pPr>
        <w:snapToGrid w:val="0"/>
        <w:spacing w:line="400" w:lineRule="exact"/>
        <w:ind w:firstLine="556"/>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2、双方应共同遵守</w:t>
      </w:r>
      <w:r>
        <w:rPr>
          <w:rFonts w:hint="eastAsia" w:ascii="仿宋_GB2312" w:hAnsi="仿宋_GB2312" w:eastAsia="仿宋_GB2312" w:cs="仿宋_GB2312"/>
          <w:color w:val="000000" w:themeColor="text1"/>
          <w:sz w:val="24"/>
          <w:szCs w:val="24"/>
          <w:highlight w:val="none"/>
          <w:u w:val="single"/>
          <w:lang w:eastAsia="zh-CN"/>
          <w14:textFill>
            <w14:solidFill>
              <w14:schemeClr w14:val="tx1"/>
            </w14:solidFill>
          </w14:textFill>
        </w:rPr>
        <w:t>中建集团</w:t>
      </w:r>
      <w:r>
        <w:rPr>
          <w:rFonts w:hint="eastAsia" w:ascii="仿宋_GB2312" w:hAnsi="仿宋_GB2312" w:eastAsia="仿宋_GB2312" w:cs="仿宋_GB2312"/>
          <w:color w:val="000000" w:themeColor="text1"/>
          <w:sz w:val="24"/>
          <w:szCs w:val="24"/>
          <w:highlight w:val="none"/>
          <w:u w:val="single"/>
          <w14:textFill>
            <w14:solidFill>
              <w14:schemeClr w14:val="tx1"/>
            </w14:solidFill>
          </w14:textFill>
        </w:rPr>
        <w:t>、中建交通</w:t>
      </w:r>
      <w:r>
        <w:rPr>
          <w:rFonts w:hint="eastAsia" w:ascii="仿宋_GB2312" w:hAnsi="仿宋_GB2312" w:eastAsia="仿宋_GB2312" w:cs="仿宋_GB2312"/>
          <w:color w:val="000000" w:themeColor="text1"/>
          <w:sz w:val="24"/>
          <w:szCs w:val="24"/>
          <w:highlight w:val="none"/>
          <w:u w:val="single"/>
          <w:lang w:eastAsia="zh-CN"/>
          <w14:textFill>
            <w14:solidFill>
              <w14:schemeClr w14:val="tx1"/>
            </w14:solidFill>
          </w14:textFill>
        </w:rPr>
        <w:t>、</w:t>
      </w:r>
      <w:r>
        <w:rPr>
          <w:rFonts w:hint="eastAsia" w:ascii="仿宋_GB2312" w:hAnsi="仿宋_GB2312" w:eastAsia="仿宋_GB2312" w:cs="仿宋_GB2312"/>
          <w:color w:val="000000" w:themeColor="text1"/>
          <w:sz w:val="24"/>
          <w:szCs w:val="24"/>
          <w:highlight w:val="none"/>
          <w:u w:val="single"/>
          <w:lang w:val="en-US" w:eastAsia="zh-CN"/>
          <w14:textFill>
            <w14:solidFill>
              <w14:schemeClr w14:val="tx1"/>
            </w14:solidFill>
          </w14:textFill>
        </w:rPr>
        <w:t>中建路桥</w:t>
      </w:r>
      <w:r>
        <w:rPr>
          <w:rFonts w:hint="eastAsia" w:ascii="仿宋_GB2312" w:hAnsi="仿宋_GB2312" w:eastAsia="仿宋_GB2312" w:cs="仿宋_GB2312"/>
          <w:color w:val="000000" w:themeColor="text1"/>
          <w:sz w:val="24"/>
          <w:szCs w:val="24"/>
          <w:highlight w:val="none"/>
          <w14:textFill>
            <w14:solidFill>
              <w14:schemeClr w14:val="tx1"/>
            </w14:solidFill>
          </w14:textFill>
        </w:rPr>
        <w:t>等系列安全生产规章制度。贯彻执行项目职业健康安全和环境管理体系的各项要求。</w:t>
      </w:r>
    </w:p>
    <w:p w14:paraId="74B8FAC9">
      <w:pPr>
        <w:snapToGrid w:val="0"/>
        <w:spacing w:line="400" w:lineRule="exact"/>
        <w:ind w:firstLine="556"/>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3、安全文明施工管理目标、指标：以项目部总包单位制定的为准。</w:t>
      </w:r>
    </w:p>
    <w:p w14:paraId="72B3478A">
      <w:pPr>
        <w:snapToGrid w:val="0"/>
        <w:spacing w:line="400" w:lineRule="exact"/>
        <w:ind w:firstLine="556"/>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4、在甲方施工区域以外场所安全工作及发生的不良后果由乙方自行承担。</w:t>
      </w:r>
    </w:p>
    <w:p w14:paraId="547D1BAC">
      <w:pPr>
        <w:pStyle w:val="12"/>
        <w:spacing w:line="400" w:lineRule="exact"/>
        <w:ind w:firstLine="482" w:firstLineChars="200"/>
        <w:rPr>
          <w:rFonts w:ascii="仿宋_GB2312" w:hAnsi="仿宋_GB2312" w:eastAsia="仿宋_GB2312" w:cs="仿宋_GB2312"/>
          <w:b/>
          <w:bCs/>
          <w:color w:val="000000" w:themeColor="text1"/>
          <w:kern w:val="2"/>
          <w:highlight w:val="none"/>
          <w14:textFill>
            <w14:solidFill>
              <w14:schemeClr w14:val="tx1"/>
            </w14:solidFill>
          </w14:textFill>
        </w:rPr>
      </w:pPr>
      <w:r>
        <w:rPr>
          <w:rFonts w:hint="eastAsia" w:ascii="仿宋_GB2312" w:hAnsi="仿宋_GB2312" w:eastAsia="仿宋_GB2312" w:cs="仿宋_GB2312"/>
          <w:b/>
          <w:bCs/>
          <w:color w:val="000000" w:themeColor="text1"/>
          <w:kern w:val="2"/>
          <w:highlight w:val="none"/>
          <w14:textFill>
            <w14:solidFill>
              <w14:schemeClr w14:val="tx1"/>
            </w14:solidFill>
          </w14:textFill>
        </w:rPr>
        <w:t>第二条 环境与职业健康安全</w:t>
      </w:r>
    </w:p>
    <w:p w14:paraId="40A5BFF2">
      <w:pPr>
        <w:snapToGrid w:val="0"/>
        <w:spacing w:line="400" w:lineRule="exact"/>
        <w:ind w:firstLine="556"/>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1、乙方车辆及材料在运输途中及到达甲方现场后应遵守国家和地方现行的有关环境保护、职业健康安全的法律、法规和其他要求。</w:t>
      </w:r>
    </w:p>
    <w:p w14:paraId="7BA53031">
      <w:pPr>
        <w:snapToGrid w:val="0"/>
        <w:spacing w:line="400" w:lineRule="exact"/>
        <w:ind w:firstLine="556"/>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2、乙方需遵守《道路交通安全法》，应当给负责运送货物的车辆办理交强险及商业保险，否则发生的人员伤亡事故或货物毁损由责任方承担，与甲方无关。</w:t>
      </w:r>
    </w:p>
    <w:p w14:paraId="40C91CC9">
      <w:pPr>
        <w:snapToGrid w:val="0"/>
        <w:spacing w:line="400" w:lineRule="exact"/>
        <w:ind w:firstLine="556"/>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3、乙方货物到达指定堆场或仓库等甲方指定地点，装卸、运输过程中的人员、机械、车辆安全，应按国家及地方规定办理相关手续。如因运载车辆事故、卸货等原因导致的乙方及任何第三方的人身伤害及经济损失均由乙方负责，并补偿甲方及其他方因此造成的损失。</w:t>
      </w:r>
    </w:p>
    <w:p w14:paraId="14217AD8">
      <w:pPr>
        <w:snapToGrid w:val="0"/>
        <w:spacing w:line="400" w:lineRule="exact"/>
        <w:ind w:firstLine="556"/>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4、乙方到施工现场的人员必须佩戴安全帽，穿戴整洁，严禁吸烟和大声喧哗，遵守需方项目的规章制度，否则将按需方有关制度处罚。</w:t>
      </w:r>
    </w:p>
    <w:p w14:paraId="1BBBFEEB">
      <w:pPr>
        <w:snapToGrid w:val="0"/>
        <w:spacing w:line="400" w:lineRule="exact"/>
        <w:ind w:firstLine="556"/>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5、由于非甲方的任何第三方原因导致乙方人员伤亡及财产损害均由乙方承担相应损失。</w:t>
      </w:r>
    </w:p>
    <w:p w14:paraId="6E0B0FEA">
      <w:pPr>
        <w:spacing w:line="400" w:lineRule="exact"/>
        <w:jc w:val="left"/>
        <w:rPr>
          <w:rFonts w:ascii="仿宋_GB2312" w:hAnsi="仿宋_GB2312" w:eastAsia="仿宋_GB2312" w:cs="仿宋_GB2312"/>
          <w:b/>
          <w:bCs/>
          <w:color w:val="000000" w:themeColor="text1"/>
          <w:sz w:val="24"/>
          <w:szCs w:val="24"/>
          <w:highlight w:val="none"/>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 xml:space="preserve">    第三条 甲方的安全责任、权利和义务  </w:t>
      </w:r>
    </w:p>
    <w:p w14:paraId="226141DA">
      <w:pPr>
        <w:snapToGrid w:val="0"/>
        <w:spacing w:line="400" w:lineRule="exact"/>
        <w:ind w:firstLine="555"/>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1、甲方在现场履行管理、监督职责，认真履行第一条共同约定的内容，对乙方在进入总包施工现场的施工安全进行监督、指导、检查。 </w:t>
      </w:r>
    </w:p>
    <w:p w14:paraId="7FECDCF9">
      <w:pPr>
        <w:snapToGrid w:val="0"/>
        <w:spacing w:line="400" w:lineRule="exact"/>
        <w:ind w:firstLine="555"/>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2、对乙方安排生产、运输任务的同时，对按照规定程序审批的施工组织设计进行书面安全技术交底，并办理交底双方签字手续（如有）。 </w:t>
      </w:r>
    </w:p>
    <w:p w14:paraId="28045711">
      <w:pPr>
        <w:snapToGrid w:val="0"/>
        <w:spacing w:line="400" w:lineRule="exact"/>
        <w:ind w:firstLine="555"/>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3、在合同中约定由甲方向使用单位提供的安全防护设施，应完整齐全，并且符合安全要求，并整改乙方提出的不安全问题。</w:t>
      </w:r>
    </w:p>
    <w:p w14:paraId="09DCC275">
      <w:pPr>
        <w:snapToGrid w:val="0"/>
        <w:spacing w:line="400" w:lineRule="exact"/>
        <w:ind w:firstLine="555"/>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4、有权制止乙方的违章作业，对重大违章行为有权责令其停工整顿；对于乙方的违章行为，甲方有进行安全违约处罚的权利；因乙方责任造成防护设施、防护用品等损坏、改变或遗失，或者环境破坏，可要求乙方赔偿或恢复。 </w:t>
      </w:r>
    </w:p>
    <w:p w14:paraId="58AC6198">
      <w:pPr>
        <w:snapToGrid w:val="0"/>
        <w:spacing w:line="400" w:lineRule="exact"/>
        <w:ind w:firstLine="555"/>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5、对安全素质差、不服从安全生产管理的人员责令其限期退场，造成的工期损失、经济损失由乙方承担。对不执行规章制度的人员，可视情节轻重，按照项目奖罚制度进行安全违约处罚。</w:t>
      </w:r>
    </w:p>
    <w:p w14:paraId="2AFB16EE">
      <w:pPr>
        <w:snapToGrid w:val="0"/>
        <w:spacing w:line="400" w:lineRule="exact"/>
        <w:ind w:firstLine="555"/>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6、对达不到规定的安全生产条件、存在重大安全隐患或发生安全事故，可要求乙方限期退场，或者中止合同，造成项目工期损失、经济损失由乙方承担。</w:t>
      </w:r>
    </w:p>
    <w:p w14:paraId="2A50B8C0">
      <w:pPr>
        <w:snapToGrid w:val="0"/>
        <w:spacing w:line="400" w:lineRule="exact"/>
        <w:ind w:firstLine="555"/>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7、按照规定要求对乙方自有的材料和自带（含租赁）施工机具、起重 吊装设备、运输车辆等进行安全生产监督检查，有权拒绝乙方不合格产品进场（已进场的限期退场）。</w:t>
      </w:r>
    </w:p>
    <w:p w14:paraId="62E8096E">
      <w:pPr>
        <w:snapToGrid w:val="0"/>
        <w:spacing w:line="400" w:lineRule="exact"/>
        <w:ind w:firstLine="555"/>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t>8、</w:t>
      </w:r>
      <w:r>
        <w:rPr>
          <w:rFonts w:hint="eastAsia" w:ascii="仿宋_GB2312" w:hAnsi="仿宋_GB2312" w:eastAsia="仿宋_GB2312" w:cs="仿宋_GB2312"/>
          <w:color w:val="000000" w:themeColor="text1"/>
          <w:sz w:val="24"/>
          <w:szCs w:val="24"/>
          <w:highlight w:val="none"/>
          <w14:textFill>
            <w14:solidFill>
              <w14:schemeClr w14:val="tx1"/>
            </w14:solidFill>
          </w14:textFill>
        </w:rPr>
        <w:t>与安全生产关系直接的大型设备、特种设备、安全设施设备、防护用品进场时，项目安全生产监督管理部门应参与验收，验收合格签字后方可进场。</w:t>
      </w:r>
    </w:p>
    <w:p w14:paraId="68F64B2F">
      <w:pPr>
        <w:spacing w:line="400" w:lineRule="exact"/>
        <w:jc w:val="left"/>
        <w:rPr>
          <w:rFonts w:ascii="仿宋_GB2312" w:hAnsi="仿宋_GB2312" w:eastAsia="仿宋_GB2312" w:cs="仿宋_GB2312"/>
          <w:b/>
          <w:bCs/>
          <w:color w:val="000000" w:themeColor="text1"/>
          <w:sz w:val="24"/>
          <w:szCs w:val="24"/>
          <w:highlight w:val="none"/>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 xml:space="preserve">    第四条 乙方的安全责任、权利和义务  </w:t>
      </w:r>
    </w:p>
    <w:p w14:paraId="1228DAF3">
      <w:pPr>
        <w:snapToGrid w:val="0"/>
        <w:spacing w:line="400" w:lineRule="exact"/>
        <w:ind w:firstLine="480" w:firstLineChars="200"/>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1、乙方应认真履行第一条共同约定的内容，接受甲方的监督、检查工作。</w:t>
      </w:r>
    </w:p>
    <w:p w14:paraId="0A8F26E1">
      <w:pPr>
        <w:snapToGrid w:val="0"/>
        <w:spacing w:line="400" w:lineRule="exact"/>
        <w:ind w:firstLine="480" w:firstLineChars="200"/>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2、乙方应具备所供货物的运输资质或证照，不得跨资质承运相应货物。若乙方委托第三方单位承运相应货物，不解除乙方应承担本合同项下的义务和责任。</w:t>
      </w:r>
    </w:p>
    <w:p w14:paraId="189D0483">
      <w:pPr>
        <w:snapToGrid w:val="0"/>
        <w:spacing w:line="400" w:lineRule="exact"/>
        <w:ind w:firstLine="480" w:firstLineChars="200"/>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3、乙方运输前对货物性质、形状充分认识并制定相应运输措施，必要情况下准备运输防护用品及货物运输应急用品。如有特定需求运输超大、超重、异形等道路通行规定以外的货物，应按照设计文件提示等采用特定的运输方式并制定安全防范措施。</w:t>
      </w:r>
    </w:p>
    <w:p w14:paraId="7296DCDA">
      <w:pPr>
        <w:snapToGrid w:val="0"/>
        <w:spacing w:line="400" w:lineRule="exact"/>
        <w:ind w:firstLine="480" w:firstLineChars="200"/>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4、负责本单位特种作业人员、运输车辆司机、起重吊装作业司机指挥等人的培训、考核和取证，必须做到进入施工现场的人员持证上岗。进入施工现场作业要有专人在现场履行管理职责，并对未认真履行职责的后果负责。</w:t>
      </w:r>
    </w:p>
    <w:p w14:paraId="3484F4D6">
      <w:pPr>
        <w:snapToGrid w:val="0"/>
        <w:spacing w:line="400" w:lineRule="exact"/>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    5、对本单位员工进行安全三级教育，进行安全技术交底，交底报甲方备案。保证进场人员符合相关要求，身体情况能适应本行业工作，熟悉现场一般安全规定及本工种安全操作规程，并进行进场岗前教育，未经过培训教育的工人不得安排进行现场工作；</w:t>
      </w:r>
    </w:p>
    <w:p w14:paraId="31B38162">
      <w:pPr>
        <w:snapToGrid w:val="0"/>
        <w:spacing w:line="400" w:lineRule="exact"/>
        <w:ind w:firstLine="453"/>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6、不得违章指挥，或强令工人冒险作业，也不能强迫工人连续长时间作业，更不能进入指定禁区及非本工作作业区域。不得私自翻越防护，攀爬架体、私自接电等违章作业行为，不得在高处危险作业和各种提升机械的垂直下方穿行或停留（如：吊篮、电梯笼）。 </w:t>
      </w:r>
    </w:p>
    <w:p w14:paraId="76338E74">
      <w:pPr>
        <w:snapToGrid w:val="0"/>
        <w:spacing w:line="400" w:lineRule="exact"/>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    7、对甲方所提供的安全设施不能保证安全施工时，应及时提出，也可拒绝施工；在施工中不得未经甲方现场负责人同意私自拆除安全防护设施。 </w:t>
      </w:r>
    </w:p>
    <w:p w14:paraId="5FD733E0">
      <w:pPr>
        <w:spacing w:line="400" w:lineRule="exact"/>
        <w:ind w:firstLine="480" w:firstLineChars="200"/>
        <w:jc w:val="left"/>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8、乙方自备的设备及工具必须保证环保、性能良好、各安全装置齐全灵敏有效。进工地前必须报项目监督试机，验收并填写验收表，达不到环保和</w:t>
      </w:r>
      <w:permStart w:id="108" w:edGrp="everyone"/>
      <w:r>
        <w:rPr>
          <w:rFonts w:hint="eastAsia" w:ascii="仿宋_GB2312" w:hAnsi="仿宋_GB2312" w:eastAsia="仿宋_GB2312" w:cs="仿宋_GB2312"/>
          <w:color w:val="000000" w:themeColor="text1"/>
          <w:sz w:val="24"/>
          <w:szCs w:val="24"/>
          <w:highlight w:val="none"/>
          <w14:textFill>
            <w14:solidFill>
              <w14:schemeClr w14:val="tx1"/>
            </w14:solidFill>
          </w14:textFill>
        </w:rPr>
        <w:t>《JGJ59—2011》标准</w:t>
      </w:r>
      <w:permEnd w:id="108"/>
      <w:r>
        <w:rPr>
          <w:rFonts w:hint="eastAsia" w:ascii="仿宋_GB2312" w:hAnsi="仿宋_GB2312" w:eastAsia="仿宋_GB2312" w:cs="仿宋_GB2312"/>
          <w:color w:val="000000" w:themeColor="text1"/>
          <w:sz w:val="24"/>
          <w:szCs w:val="24"/>
          <w:highlight w:val="none"/>
          <w14:textFill>
            <w14:solidFill>
              <w14:schemeClr w14:val="tx1"/>
            </w14:solidFill>
          </w14:textFill>
        </w:rPr>
        <w:t>的设备及工具严禁在工地使用。</w:t>
      </w:r>
    </w:p>
    <w:p w14:paraId="71E79B3A">
      <w:pPr>
        <w:spacing w:line="400" w:lineRule="exact"/>
        <w:ind w:firstLine="480" w:firstLineChars="200"/>
        <w:jc w:val="left"/>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9、乙方自带设备或工具必须相匹配的质量合格的电缆线，并自备符合当地主管部门要求的末级标准配电箱。</w:t>
      </w:r>
    </w:p>
    <w:p w14:paraId="44822394">
      <w:pPr>
        <w:snapToGrid w:val="0"/>
        <w:spacing w:line="400" w:lineRule="exact"/>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    10、必须按规定提取和使用安全技术措施经费，为作业人员提供符合国家标准或行业标准的劳动防护用品，并督促、教育作业人员按照使用规则佩戴、使用。 </w:t>
      </w:r>
    </w:p>
    <w:p w14:paraId="16A1245F">
      <w:pPr>
        <w:snapToGrid w:val="0"/>
        <w:spacing w:line="400" w:lineRule="exact"/>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    11、对甲方人员违章指挥或者可能危及人身安全、财产损失的指挥，乙方有权拒绝。 </w:t>
      </w:r>
    </w:p>
    <w:p w14:paraId="30EBCDBF">
      <w:pPr>
        <w:snapToGrid w:val="0"/>
        <w:spacing w:line="400" w:lineRule="exact"/>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    12、不得进行违反安全法律和其他、安全生产规章制度的行为。</w:t>
      </w:r>
    </w:p>
    <w:p w14:paraId="5D7557E0">
      <w:pPr>
        <w:snapToGrid w:val="0"/>
        <w:spacing w:line="400" w:lineRule="exact"/>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    13、乙方对供应的材料在甲方施工场地外运输过程发生的安全事故承担全部责任，不得向甲方提出索赔要求。</w:t>
      </w:r>
    </w:p>
    <w:p w14:paraId="2C206D47">
      <w:pPr>
        <w:spacing w:line="400" w:lineRule="exact"/>
        <w:jc w:val="left"/>
        <w:rPr>
          <w:rFonts w:ascii="仿宋_GB2312" w:hAnsi="仿宋_GB2312" w:eastAsia="仿宋_GB2312" w:cs="仿宋_GB2312"/>
          <w:color w:val="000000" w:themeColor="text1"/>
          <w:sz w:val="24"/>
          <w:szCs w:val="24"/>
          <w:highlight w:val="none"/>
          <w:shd w:val="clear" w:color="auto" w:fill="FF0000"/>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    14、乙方对因自身原因发生的安全事故承担全部责任。由于乙方原因而引发的被当地有关部门处罚的各类事件，乙方承担相应罚款、工期损失及经济损失；</w:t>
      </w:r>
    </w:p>
    <w:p w14:paraId="2D849072">
      <w:pPr>
        <w:spacing w:line="400" w:lineRule="exact"/>
        <w:jc w:val="left"/>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    15、在施工现场发生事故时，应积极抢救伤员，保护事故现场，防止事故扩大，按甲方要求提供事故有关资料，并配合调查。</w:t>
      </w:r>
    </w:p>
    <w:p w14:paraId="6B90B02B">
      <w:pPr>
        <w:spacing w:line="400" w:lineRule="exact"/>
        <w:jc w:val="left"/>
        <w:rPr>
          <w:rFonts w:ascii="仿宋_GB2312" w:hAnsi="仿宋_GB2312" w:eastAsia="仿宋_GB2312" w:cs="仿宋_GB2312"/>
          <w:b/>
          <w:bCs/>
          <w:color w:val="000000" w:themeColor="text1"/>
          <w:sz w:val="24"/>
          <w:szCs w:val="24"/>
          <w:highlight w:val="none"/>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 xml:space="preserve">    第五条 事故处理 </w:t>
      </w:r>
    </w:p>
    <w:p w14:paraId="38B4BECE">
      <w:pPr>
        <w:snapToGrid w:val="0"/>
        <w:spacing w:line="400" w:lineRule="exact"/>
        <w:ind w:firstLine="555"/>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1、若发生事故应立即启动事故应急预案，采取有效措施组织抢救，防止事故扩大，减少人员伤亡和财产损失，同时应按</w:t>
      </w:r>
      <w:permStart w:id="109" w:edGrp="everyone"/>
      <w:r>
        <w:rPr>
          <w:rFonts w:hint="eastAsia" w:ascii="仿宋_GB2312" w:hAnsi="仿宋_GB2312" w:eastAsia="仿宋_GB2312" w:cs="仿宋_GB2312"/>
          <w:color w:val="000000" w:themeColor="text1"/>
          <w:sz w:val="24"/>
          <w:szCs w:val="24"/>
          <w:highlight w:val="none"/>
          <w14:textFill>
            <w14:solidFill>
              <w14:schemeClr w14:val="tx1"/>
            </w14:solidFill>
          </w14:textFill>
        </w:rPr>
        <w:t>《生产安全事故报告和调查处理条例》(493号令)</w:t>
      </w:r>
      <w:permEnd w:id="109"/>
      <w:r>
        <w:rPr>
          <w:rFonts w:hint="eastAsia" w:ascii="仿宋_GB2312" w:hAnsi="仿宋_GB2312" w:eastAsia="仿宋_GB2312" w:cs="仿宋_GB2312"/>
          <w:color w:val="000000" w:themeColor="text1"/>
          <w:sz w:val="24"/>
          <w:szCs w:val="24"/>
          <w:highlight w:val="none"/>
          <w14:textFill>
            <w14:solidFill>
              <w14:schemeClr w14:val="tx1"/>
            </w14:solidFill>
          </w14:textFill>
        </w:rPr>
        <w:t>的规定进行事故处理及上报。乙方应及时将事故情况向甲方上报，不得迟报、漏报、谎报或瞒报。</w:t>
      </w:r>
    </w:p>
    <w:p w14:paraId="02740776">
      <w:pPr>
        <w:snapToGrid w:val="0"/>
        <w:spacing w:line="400" w:lineRule="exact"/>
        <w:ind w:firstLine="555"/>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2、在施工现场内发生重伤或死亡事故，由甲方主管部门牵头，乙方为主，甲乙双方共同参加，按照规定报告有关部门进行调查，查清事故原因，分清事故责任，提出对事故责任者的处理意见。 </w:t>
      </w:r>
    </w:p>
    <w:p w14:paraId="74652E02">
      <w:pPr>
        <w:snapToGrid w:val="0"/>
        <w:spacing w:line="400" w:lineRule="exact"/>
        <w:ind w:firstLine="555"/>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3、由于没有认真履行安全责任，造成重大伤亡事故，情节严重的主要直接责任者，已触及国家刑律，应提请有关部门进行调查处理。 </w:t>
      </w:r>
    </w:p>
    <w:p w14:paraId="0055BEEA">
      <w:pPr>
        <w:snapToGrid w:val="0"/>
        <w:spacing w:line="400" w:lineRule="exact"/>
        <w:ind w:firstLine="555"/>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4、对不认真履行本合同，违章指挥、违章作业、冒险进入施工禁区及损坏安全防护设施、不按规定进行安全技术交底及组织施工，造成伤亡事故的，应由事故责任方承担罚款及一切经济损失和责任。 </w:t>
      </w:r>
    </w:p>
    <w:p w14:paraId="175069CD">
      <w:pPr>
        <w:snapToGrid w:val="0"/>
        <w:spacing w:line="400" w:lineRule="exact"/>
        <w:ind w:firstLine="555"/>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5、由于甲方主要责任造成的伤亡事故，乙方有权要求甲方进行经济赔偿。由于乙方主要责任造成的伤亡事故，甲方有权要求乙方承担违约责任。</w:t>
      </w:r>
    </w:p>
    <w:p w14:paraId="6B6972C8">
      <w:pPr>
        <w:snapToGrid w:val="0"/>
        <w:spacing w:line="400" w:lineRule="exact"/>
        <w:ind w:firstLine="555"/>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6、由于第三方责任导致乙方人员伤亡，及由于乙方责任导致第三方人员伤亡，由乙方负责并处理。</w:t>
      </w:r>
    </w:p>
    <w:p w14:paraId="35D2DE9A">
      <w:pPr>
        <w:snapToGrid w:val="0"/>
        <w:spacing w:line="400" w:lineRule="exact"/>
        <w:ind w:firstLine="555"/>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7、对乙方因自身原因发生的安全事故，如因工人自身误操作、违章作业、冒险进入施工禁区、损坏安全设施、乙方不按规定对工人进行安全交底、班前活动等等，所造成的或主要责任在乙方的伤害事故，所发生的一切责任及费用由乙方承担。</w:t>
      </w:r>
    </w:p>
    <w:p w14:paraId="0C923EFA">
      <w:pPr>
        <w:snapToGrid w:val="0"/>
        <w:spacing w:line="400" w:lineRule="exact"/>
        <w:ind w:firstLine="555"/>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8、乙方积极配合甲方做好事故的善后处理工作，若伤亡人员为乙方雇佣、招录人员，乙方应及时负责伤亡人员及家属的接待善后工作，因此发生的医疗费、护理费、赔偿费等费用由乙方先垫付，最后由事故责任方一次性承担，因未积极配合甲方对事故进行善后处理而产生的一切法律责任及经济处罚由乙方自负。</w:t>
      </w:r>
    </w:p>
    <w:p w14:paraId="4B1A286C">
      <w:pPr>
        <w:spacing w:line="400" w:lineRule="exact"/>
        <w:ind w:firstLine="516" w:firstLineChars="214"/>
        <w:jc w:val="left"/>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第六条</w:t>
      </w: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 本合同生效条件与主合同相同。</w:t>
      </w:r>
    </w:p>
    <w:p w14:paraId="1E0C37E8">
      <w:pPr>
        <w:spacing w:line="400" w:lineRule="exact"/>
        <w:rPr>
          <w:rFonts w:ascii="仿宋_GB2312" w:hAnsi="仿宋_GB2312" w:eastAsia="仿宋_GB2312" w:cs="仿宋_GB2312"/>
          <w:color w:val="000000" w:themeColor="text1"/>
          <w:sz w:val="24"/>
          <w:szCs w:val="24"/>
          <w:highlight w:val="none"/>
          <w14:textFill>
            <w14:solidFill>
              <w14:schemeClr w14:val="tx1"/>
            </w14:solidFill>
          </w14:textFill>
        </w:rPr>
      </w:pPr>
    </w:p>
    <w:p w14:paraId="18DCAF51">
      <w:pPr>
        <w:autoSpaceDE w:val="0"/>
        <w:autoSpaceDN w:val="0"/>
        <w:adjustRightInd w:val="0"/>
        <w:spacing w:line="400" w:lineRule="atLeast"/>
        <w:ind w:firstLine="480" w:firstLineChars="200"/>
        <w:rPr>
          <w:rFonts w:ascii="仿宋_GB2312" w:hAnsi="仿宋_GB2312" w:eastAsia="仿宋_GB2312" w:cs="仿宋_GB2312"/>
          <w:color w:val="000000" w:themeColor="text1"/>
          <w:kern w:val="0"/>
          <w:sz w:val="24"/>
          <w:szCs w:val="24"/>
          <w:highlight w:val="none"/>
          <w14:textFill>
            <w14:solidFill>
              <w14:schemeClr w14:val="tx1"/>
            </w14:solidFill>
          </w14:textFill>
        </w:rPr>
      </w:pPr>
      <w:bookmarkStart w:id="77" w:name="_Hlk127203185"/>
      <w:r>
        <w:rPr>
          <w:rFonts w:hint="eastAsia" w:ascii="仿宋_GB2312" w:hAnsi="仿宋_GB2312" w:eastAsia="仿宋_GB2312" w:cs="仿宋_GB2312"/>
          <w:color w:val="000000" w:themeColor="text1"/>
          <w:kern w:val="0"/>
          <w:sz w:val="24"/>
          <w:szCs w:val="24"/>
          <w:highlight w:val="none"/>
          <w14:textFill>
            <w14:solidFill>
              <w14:schemeClr w14:val="tx1"/>
            </w14:solidFill>
          </w14:textFill>
        </w:rPr>
        <w:t xml:space="preserve">甲方（盖章）：                        乙方（公章）：             </w:t>
      </w:r>
    </w:p>
    <w:p w14:paraId="028659DF">
      <w:pPr>
        <w:autoSpaceDE w:val="0"/>
        <w:autoSpaceDN w:val="0"/>
        <w:adjustRightInd w:val="0"/>
        <w:spacing w:line="400" w:lineRule="atLeast"/>
        <w:rPr>
          <w:rFonts w:hint="eastAsia" w:ascii="仿宋_GB2312" w:hAnsi="仿宋_GB2312" w:eastAsia="仿宋_GB2312" w:cs="仿宋_GB2312"/>
          <w:color w:val="000000" w:themeColor="text1"/>
          <w:kern w:val="0"/>
          <w:sz w:val="24"/>
          <w:szCs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kern w:val="0"/>
          <w:sz w:val="24"/>
          <w:szCs w:val="24"/>
          <w:highlight w:val="none"/>
          <w14:textFill>
            <w14:solidFill>
              <w14:schemeClr w14:val="tx1"/>
            </w14:solidFill>
          </w14:textFill>
        </w:rPr>
        <w:t xml:space="preserve">  </w:t>
      </w:r>
      <w:r>
        <w:rPr>
          <w:rFonts w:hint="eastAsia" w:ascii="仿宋_GB2312" w:hAnsi="仿宋_GB2312" w:eastAsia="仿宋_GB2312" w:cs="仿宋_GB2312"/>
          <w:color w:val="000000" w:themeColor="text1"/>
          <w:kern w:val="0"/>
          <w:sz w:val="24"/>
          <w:szCs w:val="24"/>
          <w:highlight w:val="none"/>
          <w:lang w:val="en-US" w:eastAsia="zh-CN"/>
          <w14:textFill>
            <w14:solidFill>
              <w14:schemeClr w14:val="tx1"/>
            </w14:solidFill>
          </w14:textFill>
        </w:rPr>
        <w:t xml:space="preserve">  </w:t>
      </w:r>
    </w:p>
    <w:p w14:paraId="2FF1507B">
      <w:pPr>
        <w:autoSpaceDE w:val="0"/>
        <w:autoSpaceDN w:val="0"/>
        <w:adjustRightInd w:val="0"/>
        <w:spacing w:line="400" w:lineRule="atLeast"/>
        <w:ind w:firstLine="480" w:firstLineChars="200"/>
        <w:rPr>
          <w:rFonts w:ascii="仿宋_GB2312" w:hAnsi="仿宋_GB2312" w:eastAsia="仿宋_GB2312" w:cs="仿宋_GB2312"/>
          <w:color w:val="000000" w:themeColor="text1"/>
          <w:kern w:val="0"/>
          <w:sz w:val="24"/>
          <w:szCs w:val="24"/>
          <w:highlight w:val="none"/>
          <w14:textFill>
            <w14:solidFill>
              <w14:schemeClr w14:val="tx1"/>
            </w14:solidFill>
          </w14:textFill>
        </w:rPr>
      </w:pPr>
      <w:r>
        <w:rPr>
          <w:rFonts w:hint="eastAsia" w:ascii="仿宋_GB2312" w:hAnsi="仿宋_GB2312" w:eastAsia="仿宋_GB2312" w:cs="仿宋_GB2312"/>
          <w:color w:val="000000" w:themeColor="text1"/>
          <w:kern w:val="0"/>
          <w:sz w:val="24"/>
          <w:szCs w:val="24"/>
          <w:highlight w:val="none"/>
          <w14:textFill>
            <w14:solidFill>
              <w14:schemeClr w14:val="tx1"/>
            </w14:solidFill>
          </w14:textFill>
        </w:rPr>
        <w:t>法定代表人：                           法定代表人：</w:t>
      </w:r>
    </w:p>
    <w:p w14:paraId="015837B5">
      <w:pPr>
        <w:autoSpaceDE w:val="0"/>
        <w:autoSpaceDN w:val="0"/>
        <w:adjustRightInd w:val="0"/>
        <w:spacing w:line="400" w:lineRule="atLeast"/>
        <w:ind w:firstLine="480" w:firstLineChars="200"/>
        <w:rPr>
          <w:rFonts w:ascii="仿宋_GB2312" w:hAnsi="仿宋_GB2312" w:eastAsia="仿宋_GB2312" w:cs="仿宋_GB2312"/>
          <w:color w:val="000000" w:themeColor="text1"/>
          <w:kern w:val="0"/>
          <w:sz w:val="24"/>
          <w:szCs w:val="24"/>
          <w:highlight w:val="none"/>
          <w14:textFill>
            <w14:solidFill>
              <w14:schemeClr w14:val="tx1"/>
            </w14:solidFill>
          </w14:textFill>
        </w:rPr>
      </w:pPr>
      <w:r>
        <w:rPr>
          <w:rFonts w:hint="eastAsia" w:ascii="仿宋_GB2312" w:hAnsi="仿宋_GB2312" w:eastAsia="仿宋_GB2312" w:cs="仿宋_GB2312"/>
          <w:color w:val="000000" w:themeColor="text1"/>
          <w:kern w:val="0"/>
          <w:sz w:val="24"/>
          <w:szCs w:val="24"/>
          <w:highlight w:val="none"/>
          <w14:textFill>
            <w14:solidFill>
              <w14:schemeClr w14:val="tx1"/>
            </w14:solidFill>
          </w14:textFill>
        </w:rPr>
        <w:t xml:space="preserve">    或                                   </w:t>
      </w:r>
      <w:r>
        <w:rPr>
          <w:rFonts w:hint="eastAsia" w:ascii="仿宋_GB2312" w:hAnsi="仿宋_GB2312" w:eastAsia="仿宋_GB2312" w:cs="仿宋_GB2312"/>
          <w:color w:val="000000" w:themeColor="text1"/>
          <w:kern w:val="0"/>
          <w:sz w:val="24"/>
          <w:szCs w:val="24"/>
          <w:highlight w:val="non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kern w:val="0"/>
          <w:sz w:val="24"/>
          <w:szCs w:val="24"/>
          <w:highlight w:val="none"/>
          <w14:textFill>
            <w14:solidFill>
              <w14:schemeClr w14:val="tx1"/>
            </w14:solidFill>
          </w14:textFill>
        </w:rPr>
        <w:t xml:space="preserve"> 或</w:t>
      </w:r>
    </w:p>
    <w:p w14:paraId="5C835E27">
      <w:pPr>
        <w:autoSpaceDE w:val="0"/>
        <w:autoSpaceDN w:val="0"/>
        <w:adjustRightInd w:val="0"/>
        <w:spacing w:line="400" w:lineRule="atLeast"/>
        <w:ind w:firstLine="720" w:firstLineChars="300"/>
        <w:rPr>
          <w:rFonts w:ascii="仿宋_GB2312" w:hAnsi="仿宋_GB2312" w:eastAsia="仿宋_GB2312" w:cs="仿宋_GB2312"/>
          <w:color w:val="000000" w:themeColor="text1"/>
          <w:kern w:val="0"/>
          <w:sz w:val="24"/>
          <w:szCs w:val="24"/>
          <w:highlight w:val="none"/>
          <w14:textFill>
            <w14:solidFill>
              <w14:schemeClr w14:val="tx1"/>
            </w14:solidFill>
          </w14:textFill>
        </w:rPr>
      </w:pPr>
      <w:r>
        <w:rPr>
          <w:rFonts w:hint="eastAsia" w:ascii="仿宋_GB2312" w:hAnsi="仿宋_GB2312" w:eastAsia="仿宋_GB2312" w:cs="仿宋_GB2312"/>
          <w:color w:val="000000" w:themeColor="text1"/>
          <w:kern w:val="0"/>
          <w:sz w:val="24"/>
          <w:szCs w:val="24"/>
          <w:highlight w:val="none"/>
          <w:lang w:val="en-US" w:eastAsia="zh-CN"/>
          <w14:textFill>
            <w14:solidFill>
              <w14:schemeClr w14:val="tx1"/>
            </w14:solidFill>
          </w14:textFill>
        </w:rPr>
        <w:t>被委托</w:t>
      </w:r>
      <w:r>
        <w:rPr>
          <w:rFonts w:hint="eastAsia" w:ascii="仿宋_GB2312" w:hAnsi="仿宋_GB2312" w:eastAsia="仿宋_GB2312" w:cs="仿宋_GB2312"/>
          <w:color w:val="000000" w:themeColor="text1"/>
          <w:kern w:val="0"/>
          <w:sz w:val="24"/>
          <w:szCs w:val="24"/>
          <w:highlight w:val="none"/>
          <w14:textFill>
            <w14:solidFill>
              <w14:schemeClr w14:val="tx1"/>
            </w14:solidFill>
          </w14:textFill>
        </w:rPr>
        <w:t xml:space="preserve">人：                           </w:t>
      </w:r>
      <w:r>
        <w:rPr>
          <w:rFonts w:hint="eastAsia" w:ascii="仿宋_GB2312" w:hAnsi="仿宋_GB2312" w:eastAsia="仿宋_GB2312" w:cs="仿宋_GB2312"/>
          <w:color w:val="000000" w:themeColor="text1"/>
          <w:kern w:val="0"/>
          <w:sz w:val="24"/>
          <w:szCs w:val="24"/>
          <w:highlight w:val="none"/>
          <w:lang w:val="en-US" w:eastAsia="zh-CN"/>
          <w14:textFill>
            <w14:solidFill>
              <w14:schemeClr w14:val="tx1"/>
            </w14:solidFill>
          </w14:textFill>
        </w:rPr>
        <w:t>被委托</w:t>
      </w:r>
      <w:r>
        <w:rPr>
          <w:rFonts w:hint="eastAsia" w:ascii="仿宋_GB2312" w:hAnsi="仿宋_GB2312" w:eastAsia="仿宋_GB2312" w:cs="仿宋_GB2312"/>
          <w:color w:val="000000" w:themeColor="text1"/>
          <w:kern w:val="0"/>
          <w:sz w:val="24"/>
          <w:szCs w:val="24"/>
          <w:highlight w:val="none"/>
          <w14:textFill>
            <w14:solidFill>
              <w14:schemeClr w14:val="tx1"/>
            </w14:solidFill>
          </w14:textFill>
        </w:rPr>
        <w:t>人：</w:t>
      </w:r>
    </w:p>
    <w:p w14:paraId="47D1ADEA">
      <w:pPr>
        <w:spacing w:line="400" w:lineRule="exact"/>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  </w:t>
      </w:r>
      <w:r>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年  月  日    </w:t>
      </w:r>
      <w:r>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  年  月  日 </w:t>
      </w:r>
    </w:p>
    <w:p w14:paraId="08659568">
      <w:pPr>
        <w:spacing w:line="400" w:lineRule="exact"/>
        <w:ind w:firstLine="5040" w:firstLineChars="2100"/>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 </w:t>
      </w:r>
      <w:bookmarkEnd w:id="77"/>
    </w:p>
    <w:p w14:paraId="207D32A9">
      <w:pPr>
        <w:spacing w:line="400" w:lineRule="exact"/>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br w:type="page"/>
      </w:r>
    </w:p>
    <w:p w14:paraId="2E40EAA0">
      <w:pPr>
        <w:spacing w:line="400" w:lineRule="exact"/>
        <w:ind w:right="210" w:rightChars="100"/>
        <w:outlineLvl w:val="0"/>
        <w:rPr>
          <w:rFonts w:ascii="仿宋_GB2312" w:hAnsi="仿宋_GB2312" w:eastAsia="仿宋_GB2312" w:cs="仿宋_GB2312"/>
          <w:color w:val="000000" w:themeColor="text1"/>
          <w:sz w:val="30"/>
          <w:szCs w:val="30"/>
          <w:highlight w:val="none"/>
          <w14:textFill>
            <w14:solidFill>
              <w14:schemeClr w14:val="tx1"/>
            </w14:solidFill>
          </w14:textFill>
        </w:rPr>
      </w:pPr>
      <w:bookmarkStart w:id="78" w:name="_Toc9726"/>
      <w:bookmarkStart w:id="79" w:name="_Toc24322"/>
      <w:bookmarkStart w:id="80" w:name="_Toc776"/>
      <w:r>
        <w:rPr>
          <w:rFonts w:hint="eastAsia" w:ascii="仿宋_GB2312" w:hAnsi="仿宋_GB2312" w:eastAsia="仿宋_GB2312" w:cs="仿宋_GB2312"/>
          <w:color w:val="000000" w:themeColor="text1"/>
          <w:sz w:val="30"/>
          <w:szCs w:val="30"/>
          <w:highlight w:val="none"/>
          <w14:textFill>
            <w14:solidFill>
              <w14:schemeClr w14:val="tx1"/>
            </w14:solidFill>
          </w14:textFill>
        </w:rPr>
        <w:t>附件四：</w:t>
      </w:r>
      <w:bookmarkEnd w:id="78"/>
      <w:bookmarkEnd w:id="79"/>
      <w:bookmarkEnd w:id="80"/>
    </w:p>
    <w:p w14:paraId="79298B74">
      <w:pPr>
        <w:spacing w:line="400" w:lineRule="exact"/>
        <w:jc w:val="center"/>
        <w:rPr>
          <w:rFonts w:ascii="仿宋_GB2312" w:hAnsi="仿宋_GB2312" w:eastAsia="仿宋_GB2312" w:cs="仿宋_GB2312"/>
          <w:color w:val="000000" w:themeColor="text1"/>
          <w:sz w:val="30"/>
          <w:szCs w:val="30"/>
          <w:highlight w:val="none"/>
          <w14:textFill>
            <w14:solidFill>
              <w14:schemeClr w14:val="tx1"/>
            </w14:solidFill>
          </w14:textFill>
        </w:rPr>
      </w:pPr>
      <w:bookmarkStart w:id="81" w:name="_Toc16461"/>
      <w:r>
        <w:rPr>
          <w:rFonts w:hint="eastAsia" w:ascii="仿宋_GB2312" w:hAnsi="仿宋_GB2312" w:eastAsia="仿宋_GB2312" w:cs="仿宋_GB2312"/>
          <w:b/>
          <w:color w:val="000000" w:themeColor="text1"/>
          <w:sz w:val="30"/>
          <w:szCs w:val="30"/>
          <w:highlight w:val="none"/>
          <w14:textFill>
            <w14:solidFill>
              <w14:schemeClr w14:val="tx1"/>
            </w14:solidFill>
          </w14:textFill>
        </w:rPr>
        <w:t>廉洁从业共建协议</w:t>
      </w:r>
      <w:bookmarkEnd w:id="81"/>
    </w:p>
    <w:p w14:paraId="32566F91">
      <w:pPr>
        <w:spacing w:line="460" w:lineRule="exact"/>
        <w:ind w:firstLine="480" w:firstLineChars="200"/>
        <w:rPr>
          <w:rFonts w:ascii="仿宋_GB2312" w:hAnsi="宋体" w:eastAsia="仿宋_GB2312"/>
          <w:color w:val="000000" w:themeColor="text1"/>
          <w:sz w:val="24"/>
          <w:szCs w:val="24"/>
          <w:highlight w:val="none"/>
          <w14:textFill>
            <w14:solidFill>
              <w14:schemeClr w14:val="tx1"/>
            </w14:solidFill>
          </w14:textFill>
        </w:rPr>
      </w:pPr>
      <w:r>
        <w:rPr>
          <w:rFonts w:hint="eastAsia" w:ascii="仿宋_GB2312" w:hAnsi="宋体" w:eastAsia="仿宋_GB2312"/>
          <w:color w:val="000000" w:themeColor="text1"/>
          <w:sz w:val="24"/>
          <w:szCs w:val="24"/>
          <w:highlight w:val="none"/>
          <w14:textFill>
            <w14:solidFill>
              <w14:schemeClr w14:val="tx1"/>
            </w14:solidFill>
          </w14:textFill>
        </w:rPr>
        <w:t>甲方：</w:t>
      </w:r>
      <w:permStart w:id="110" w:edGrp="everyone"/>
      <w:r>
        <w:rPr>
          <w:rFonts w:hint="eastAsia" w:ascii="仿宋_GB2312" w:hAnsi="宋体" w:eastAsia="仿宋_GB2312"/>
          <w:color w:val="000000" w:themeColor="text1"/>
          <w:sz w:val="24"/>
          <w:szCs w:val="24"/>
          <w:highlight w:val="none"/>
          <w:u w:val="single"/>
          <w:lang w:eastAsia="zh-CN"/>
          <w14:textFill>
            <w14:solidFill>
              <w14:schemeClr w14:val="tx1"/>
            </w14:solidFill>
          </w14:textFill>
        </w:rPr>
        <w:t>西藏中建建设有限责任公司</w:t>
      </w:r>
      <w:r>
        <w:rPr>
          <w:rFonts w:hint="eastAsia" w:ascii="仿宋_GB2312" w:hAnsi="宋体" w:eastAsia="仿宋_GB2312"/>
          <w:color w:val="000000" w:themeColor="text1"/>
          <w:sz w:val="24"/>
          <w:szCs w:val="24"/>
          <w:highlight w:val="none"/>
          <w:u w:val="single"/>
          <w:lang w:val="en-US" w:eastAsia="zh-CN"/>
          <w14:textFill>
            <w14:solidFill>
              <w14:schemeClr w14:val="tx1"/>
            </w14:solidFill>
          </w14:textFill>
        </w:rPr>
        <w:t xml:space="preserve">    </w:t>
      </w:r>
      <w:permEnd w:id="110"/>
      <w:r>
        <w:rPr>
          <w:rFonts w:hint="eastAsia" w:ascii="仿宋_GB2312" w:hAnsi="宋体" w:eastAsia="仿宋_GB2312"/>
          <w:color w:val="000000" w:themeColor="text1"/>
          <w:sz w:val="24"/>
          <w:szCs w:val="24"/>
          <w:highlight w:val="none"/>
          <w:u w:val="single"/>
          <w14:textFill>
            <w14:solidFill>
              <w14:schemeClr w14:val="tx1"/>
            </w14:solidFill>
          </w14:textFill>
        </w:rPr>
        <w:t xml:space="preserve"> </w:t>
      </w:r>
    </w:p>
    <w:p w14:paraId="46693D82">
      <w:pPr>
        <w:spacing w:line="460" w:lineRule="exact"/>
        <w:ind w:firstLine="480" w:firstLineChars="200"/>
        <w:rPr>
          <w:rFonts w:ascii="仿宋_GB2312" w:hAnsi="宋体" w:eastAsia="仿宋_GB2312"/>
          <w:color w:val="000000" w:themeColor="text1"/>
          <w:sz w:val="24"/>
          <w:szCs w:val="24"/>
          <w:highlight w:val="none"/>
          <w14:textFill>
            <w14:solidFill>
              <w14:schemeClr w14:val="tx1"/>
            </w14:solidFill>
          </w14:textFill>
        </w:rPr>
      </w:pPr>
      <w:r>
        <w:rPr>
          <w:rFonts w:hint="eastAsia" w:ascii="仿宋_GB2312" w:hAnsi="宋体" w:eastAsia="仿宋_GB2312"/>
          <w:color w:val="000000" w:themeColor="text1"/>
          <w:sz w:val="24"/>
          <w:szCs w:val="24"/>
          <w:highlight w:val="none"/>
          <w14:textFill>
            <w14:solidFill>
              <w14:schemeClr w14:val="tx1"/>
            </w14:solidFill>
          </w14:textFill>
        </w:rPr>
        <w:t>乙方：</w:t>
      </w:r>
      <w:permStart w:id="111" w:edGrp="everyone"/>
      <w:r>
        <w:rPr>
          <w:rFonts w:hint="eastAsia" w:ascii="仿宋_GB2312" w:hAnsi="宋体" w:eastAsia="仿宋_GB2312"/>
          <w:color w:val="000000" w:themeColor="text1"/>
          <w:sz w:val="24"/>
          <w:szCs w:val="24"/>
          <w:highlight w:val="none"/>
          <w:u w:val="single"/>
          <w14:textFill>
            <w14:solidFill>
              <w14:schemeClr w14:val="tx1"/>
            </w14:solidFill>
          </w14:textFill>
        </w:rPr>
        <w:t xml:space="preserve">            </w:t>
      </w:r>
      <w:r>
        <w:rPr>
          <w:rFonts w:ascii="仿宋_GB2312" w:hAnsi="宋体" w:eastAsia="仿宋_GB2312"/>
          <w:color w:val="000000" w:themeColor="text1"/>
          <w:sz w:val="24"/>
          <w:szCs w:val="24"/>
          <w:highlight w:val="none"/>
          <w:u w:val="single"/>
          <w14:textFill>
            <w14:solidFill>
              <w14:schemeClr w14:val="tx1"/>
            </w14:solidFill>
          </w14:textFill>
        </w:rPr>
        <w:t xml:space="preserve">   </w:t>
      </w:r>
      <w:r>
        <w:rPr>
          <w:rFonts w:hint="eastAsia" w:ascii="仿宋_GB2312" w:hAnsi="宋体" w:eastAsia="仿宋_GB2312"/>
          <w:color w:val="000000" w:themeColor="text1"/>
          <w:sz w:val="24"/>
          <w:szCs w:val="24"/>
          <w:highlight w:val="none"/>
          <w:u w:val="single"/>
          <w14:textFill>
            <w14:solidFill>
              <w14:schemeClr w14:val="tx1"/>
            </w14:solidFill>
          </w14:textFill>
        </w:rPr>
        <w:t xml:space="preserve">         </w:t>
      </w:r>
      <w:permEnd w:id="111"/>
      <w:r>
        <w:rPr>
          <w:rFonts w:hint="eastAsia" w:ascii="仿宋_GB2312" w:hAnsi="宋体" w:eastAsia="仿宋_GB2312"/>
          <w:color w:val="000000" w:themeColor="text1"/>
          <w:sz w:val="24"/>
          <w:szCs w:val="24"/>
          <w:highlight w:val="none"/>
          <w:u w:val="single"/>
          <w14:textFill>
            <w14:solidFill>
              <w14:schemeClr w14:val="tx1"/>
            </w14:solidFill>
          </w14:textFill>
        </w:rPr>
        <w:t xml:space="preserve"> </w:t>
      </w:r>
    </w:p>
    <w:p w14:paraId="0C05924F">
      <w:pPr>
        <w:widowControl/>
        <w:spacing w:line="400" w:lineRule="exact"/>
        <w:ind w:firstLine="480" w:firstLineChars="200"/>
        <w:rPr>
          <w:rFonts w:ascii="仿宋_GB2312" w:hAnsi="宋体" w:eastAsia="仿宋_GB2312" w:cs="宋体"/>
          <w:color w:val="000000" w:themeColor="text1"/>
          <w:kern w:val="0"/>
          <w:sz w:val="24"/>
          <w:szCs w:val="24"/>
          <w:highlight w:val="none"/>
          <w14:textFill>
            <w14:solidFill>
              <w14:schemeClr w14:val="tx1"/>
            </w14:solidFill>
          </w14:textFill>
        </w:rPr>
      </w:pPr>
      <w:r>
        <w:rPr>
          <w:rFonts w:hint="eastAsia" w:ascii="仿宋_GB2312" w:hAnsi="宋体" w:eastAsia="仿宋_GB2312" w:cs="宋体"/>
          <w:color w:val="000000" w:themeColor="text1"/>
          <w:kern w:val="0"/>
          <w:sz w:val="24"/>
          <w:szCs w:val="24"/>
          <w:highlight w:val="none"/>
          <w14:textFill>
            <w14:solidFill>
              <w14:schemeClr w14:val="tx1"/>
            </w14:solidFill>
          </w14:textFill>
        </w:rPr>
        <w:t>为加强建设工程廉政建设，规范建设工程各项活动中甲方、乙方双方的行为，防止谋取不正当利益的违法违纪现象的发生，保护国家、集体和当事人的合法权益，根据国家有关工程建设的法律法规和廉政建设的有关规定，订立本廉政责任书。</w:t>
      </w:r>
    </w:p>
    <w:p w14:paraId="7DF99753">
      <w:pPr>
        <w:widowControl/>
        <w:spacing w:line="400" w:lineRule="exact"/>
        <w:ind w:firstLine="480" w:firstLineChars="200"/>
        <w:rPr>
          <w:rFonts w:ascii="仿宋_GB2312" w:hAnsi="宋体" w:eastAsia="仿宋_GB2312" w:cs="宋体"/>
          <w:color w:val="000000" w:themeColor="text1"/>
          <w:kern w:val="0"/>
          <w:sz w:val="24"/>
          <w:szCs w:val="24"/>
          <w:highlight w:val="none"/>
          <w14:textFill>
            <w14:solidFill>
              <w14:schemeClr w14:val="tx1"/>
            </w14:solidFill>
          </w14:textFill>
        </w:rPr>
      </w:pPr>
      <w:bookmarkStart w:id="82" w:name="_Toc300671949"/>
      <w:r>
        <w:rPr>
          <w:rFonts w:hint="eastAsia" w:ascii="仿宋_GB2312" w:hAnsi="宋体" w:eastAsia="仿宋_GB2312" w:cs="宋体"/>
          <w:color w:val="000000" w:themeColor="text1"/>
          <w:kern w:val="0"/>
          <w:sz w:val="24"/>
          <w:szCs w:val="24"/>
          <w:highlight w:val="none"/>
          <w14:textFill>
            <w14:solidFill>
              <w14:schemeClr w14:val="tx1"/>
            </w14:solidFill>
          </w14:textFill>
        </w:rPr>
        <w:t>一、双方的责任</w:t>
      </w:r>
      <w:bookmarkEnd w:id="82"/>
    </w:p>
    <w:p w14:paraId="55CBB7DD">
      <w:pPr>
        <w:widowControl/>
        <w:spacing w:line="400" w:lineRule="exact"/>
        <w:ind w:firstLine="480" w:firstLineChars="200"/>
        <w:rPr>
          <w:rFonts w:ascii="仿宋_GB2312" w:hAnsi="宋体" w:eastAsia="仿宋_GB2312" w:cs="宋体"/>
          <w:color w:val="000000" w:themeColor="text1"/>
          <w:kern w:val="0"/>
          <w:sz w:val="24"/>
          <w:szCs w:val="24"/>
          <w:highlight w:val="none"/>
          <w14:textFill>
            <w14:solidFill>
              <w14:schemeClr w14:val="tx1"/>
            </w14:solidFill>
          </w14:textFill>
        </w:rPr>
      </w:pPr>
      <w:r>
        <w:rPr>
          <w:rFonts w:hint="eastAsia" w:ascii="仿宋_GB2312" w:hAnsi="宋体" w:eastAsia="仿宋_GB2312" w:cs="宋体"/>
          <w:color w:val="000000" w:themeColor="text1"/>
          <w:kern w:val="0"/>
          <w:sz w:val="24"/>
          <w:szCs w:val="24"/>
          <w:highlight w:val="none"/>
          <w14:textFill>
            <w14:solidFill>
              <w14:schemeClr w14:val="tx1"/>
            </w14:solidFill>
          </w14:textFill>
        </w:rPr>
        <w:t>1.1应严格遵守国家关于建设工程的有关法律、法规，相关政策，以及廉政建设的各项规定。</w:t>
      </w:r>
    </w:p>
    <w:p w14:paraId="66F9F1CC">
      <w:pPr>
        <w:widowControl/>
        <w:spacing w:line="400" w:lineRule="exact"/>
        <w:ind w:firstLine="480" w:firstLineChars="200"/>
        <w:rPr>
          <w:rFonts w:ascii="仿宋_GB2312" w:hAnsi="宋体" w:eastAsia="仿宋_GB2312" w:cs="宋体"/>
          <w:color w:val="000000" w:themeColor="text1"/>
          <w:kern w:val="0"/>
          <w:sz w:val="24"/>
          <w:szCs w:val="24"/>
          <w:highlight w:val="none"/>
          <w14:textFill>
            <w14:solidFill>
              <w14:schemeClr w14:val="tx1"/>
            </w14:solidFill>
          </w14:textFill>
        </w:rPr>
      </w:pPr>
      <w:r>
        <w:rPr>
          <w:rFonts w:hint="eastAsia" w:ascii="仿宋_GB2312" w:hAnsi="宋体" w:eastAsia="仿宋_GB2312" w:cs="宋体"/>
          <w:color w:val="000000" w:themeColor="text1"/>
          <w:kern w:val="0"/>
          <w:sz w:val="24"/>
          <w:szCs w:val="24"/>
          <w:highlight w:val="none"/>
          <w14:textFill>
            <w14:solidFill>
              <w14:schemeClr w14:val="tx1"/>
            </w14:solidFill>
          </w14:textFill>
        </w:rPr>
        <w:t>1.2严格执行建设工程合同文件，自觉按合同办事。</w:t>
      </w:r>
    </w:p>
    <w:p w14:paraId="31F59E70">
      <w:pPr>
        <w:widowControl/>
        <w:spacing w:line="400" w:lineRule="exact"/>
        <w:ind w:firstLine="480" w:firstLineChars="200"/>
        <w:rPr>
          <w:rFonts w:ascii="仿宋_GB2312" w:hAnsi="宋体" w:eastAsia="仿宋_GB2312" w:cs="宋体"/>
          <w:color w:val="000000" w:themeColor="text1"/>
          <w:kern w:val="0"/>
          <w:sz w:val="24"/>
          <w:szCs w:val="24"/>
          <w:highlight w:val="none"/>
          <w14:textFill>
            <w14:solidFill>
              <w14:schemeClr w14:val="tx1"/>
            </w14:solidFill>
          </w14:textFill>
        </w:rPr>
      </w:pPr>
      <w:r>
        <w:rPr>
          <w:rFonts w:hint="eastAsia" w:ascii="仿宋_GB2312" w:hAnsi="宋体" w:eastAsia="仿宋_GB2312" w:cs="宋体"/>
          <w:color w:val="000000" w:themeColor="text1"/>
          <w:kern w:val="0"/>
          <w:sz w:val="24"/>
          <w:szCs w:val="24"/>
          <w:highlight w:val="none"/>
          <w14:textFill>
            <w14:solidFill>
              <w14:schemeClr w14:val="tx1"/>
            </w14:solidFill>
          </w14:textFill>
        </w:rPr>
        <w:t>1.3各项活动必须坚持公开、公平、公正、诚信、透明的原则(除法律法规另有规定者外)，不得为获取不正当的利益，损害国家、集体和对方利益，不得违反建设工程管理的规章制度。</w:t>
      </w:r>
    </w:p>
    <w:p w14:paraId="1155A178">
      <w:pPr>
        <w:widowControl/>
        <w:spacing w:line="400" w:lineRule="exact"/>
        <w:ind w:firstLine="480" w:firstLineChars="200"/>
        <w:rPr>
          <w:rFonts w:ascii="仿宋_GB2312" w:hAnsi="宋体" w:eastAsia="仿宋_GB2312" w:cs="宋体"/>
          <w:color w:val="000000" w:themeColor="text1"/>
          <w:kern w:val="0"/>
          <w:sz w:val="24"/>
          <w:szCs w:val="24"/>
          <w:highlight w:val="none"/>
          <w14:textFill>
            <w14:solidFill>
              <w14:schemeClr w14:val="tx1"/>
            </w14:solidFill>
          </w14:textFill>
        </w:rPr>
      </w:pPr>
      <w:bookmarkStart w:id="83" w:name="_Hlk127535665"/>
      <w:r>
        <w:rPr>
          <w:rFonts w:hint="eastAsia" w:ascii="仿宋_GB2312" w:hAnsi="宋体" w:eastAsia="仿宋_GB2312" w:cs="宋体"/>
          <w:color w:val="000000" w:themeColor="text1"/>
          <w:kern w:val="0"/>
          <w:sz w:val="24"/>
          <w:szCs w:val="24"/>
          <w:highlight w:val="none"/>
          <w14:textFill>
            <w14:solidFill>
              <w14:schemeClr w14:val="tx1"/>
            </w14:solidFill>
          </w14:textFill>
        </w:rPr>
        <w:t>1.4发现双方在业务活动中有违规、违纪、违法行为的，应及时提醒对方，情节严重的，如实进行举报，一经查实，严肃处理。</w:t>
      </w:r>
    </w:p>
    <w:bookmarkEnd w:id="83"/>
    <w:p w14:paraId="0A1BD26C">
      <w:pPr>
        <w:widowControl/>
        <w:spacing w:line="400" w:lineRule="exact"/>
        <w:ind w:firstLine="480" w:firstLineChars="200"/>
        <w:rPr>
          <w:rFonts w:ascii="仿宋_GB2312" w:hAnsi="宋体" w:eastAsia="仿宋_GB2312" w:cs="宋体"/>
          <w:color w:val="000000" w:themeColor="text1"/>
          <w:kern w:val="0"/>
          <w:sz w:val="24"/>
          <w:szCs w:val="24"/>
          <w:highlight w:val="none"/>
          <w14:textFill>
            <w14:solidFill>
              <w14:schemeClr w14:val="tx1"/>
            </w14:solidFill>
          </w14:textFill>
        </w:rPr>
      </w:pPr>
      <w:bookmarkStart w:id="84" w:name="_Toc300671950"/>
      <w:r>
        <w:rPr>
          <w:rFonts w:hint="eastAsia" w:ascii="仿宋_GB2312" w:hAnsi="宋体" w:eastAsia="仿宋_GB2312" w:cs="宋体"/>
          <w:color w:val="000000" w:themeColor="text1"/>
          <w:kern w:val="0"/>
          <w:sz w:val="24"/>
          <w:szCs w:val="24"/>
          <w:highlight w:val="none"/>
          <w14:textFill>
            <w14:solidFill>
              <w14:schemeClr w14:val="tx1"/>
            </w14:solidFill>
          </w14:textFill>
        </w:rPr>
        <w:t>二、甲方责任</w:t>
      </w:r>
      <w:bookmarkEnd w:id="84"/>
    </w:p>
    <w:p w14:paraId="319CB69B">
      <w:pPr>
        <w:widowControl/>
        <w:spacing w:line="400" w:lineRule="exact"/>
        <w:ind w:firstLine="480" w:firstLineChars="200"/>
        <w:rPr>
          <w:rFonts w:ascii="仿宋_GB2312" w:hAnsi="宋体" w:eastAsia="仿宋_GB2312" w:cs="宋体"/>
          <w:color w:val="000000" w:themeColor="text1"/>
          <w:kern w:val="0"/>
          <w:sz w:val="24"/>
          <w:szCs w:val="24"/>
          <w:highlight w:val="none"/>
          <w14:textFill>
            <w14:solidFill>
              <w14:schemeClr w14:val="tx1"/>
            </w14:solidFill>
          </w14:textFill>
        </w:rPr>
      </w:pPr>
      <w:r>
        <w:rPr>
          <w:rFonts w:hint="eastAsia" w:ascii="仿宋_GB2312" w:hAnsi="宋体" w:eastAsia="仿宋_GB2312" w:cs="宋体"/>
          <w:color w:val="000000" w:themeColor="text1"/>
          <w:kern w:val="0"/>
          <w:sz w:val="24"/>
          <w:szCs w:val="24"/>
          <w:highlight w:val="none"/>
          <w14:textFill>
            <w14:solidFill>
              <w14:schemeClr w14:val="tx1"/>
            </w14:solidFill>
          </w14:textFill>
        </w:rPr>
        <w:t>甲方相关人员和从事该建设工程项目的工作人员，在工程建设的事前、事中、事后应遵守以下规定：</w:t>
      </w:r>
    </w:p>
    <w:p w14:paraId="3964D916">
      <w:pPr>
        <w:widowControl/>
        <w:spacing w:line="400" w:lineRule="exact"/>
        <w:ind w:firstLine="480" w:firstLineChars="200"/>
        <w:rPr>
          <w:rFonts w:ascii="仿宋_GB2312" w:hAnsi="宋体" w:eastAsia="仿宋_GB2312" w:cs="宋体"/>
          <w:color w:val="000000" w:themeColor="text1"/>
          <w:kern w:val="0"/>
          <w:sz w:val="24"/>
          <w:szCs w:val="24"/>
          <w:highlight w:val="none"/>
          <w14:textFill>
            <w14:solidFill>
              <w14:schemeClr w14:val="tx1"/>
            </w14:solidFill>
          </w14:textFill>
        </w:rPr>
      </w:pPr>
      <w:r>
        <w:rPr>
          <w:rFonts w:hint="eastAsia" w:ascii="仿宋_GB2312" w:hAnsi="宋体" w:eastAsia="仿宋_GB2312" w:cs="宋体"/>
          <w:color w:val="000000" w:themeColor="text1"/>
          <w:kern w:val="0"/>
          <w:sz w:val="24"/>
          <w:szCs w:val="24"/>
          <w:highlight w:val="none"/>
          <w14:textFill>
            <w14:solidFill>
              <w14:schemeClr w14:val="tx1"/>
            </w14:solidFill>
          </w14:textFill>
        </w:rPr>
        <w:t>2.1按照甲方的</w:t>
      </w:r>
      <w:r>
        <w:rPr>
          <w:rFonts w:hint="eastAsia" w:ascii="仿宋_GB2312" w:hAnsi="宋体" w:eastAsia="仿宋_GB2312" w:cs="宋体"/>
          <w:color w:val="000000" w:themeColor="text1"/>
          <w:kern w:val="0"/>
          <w:sz w:val="24"/>
          <w:szCs w:val="24"/>
          <w:highlight w:val="none"/>
          <w:lang w:val="en-US" w:eastAsia="zh-CN"/>
          <w14:textFill>
            <w14:solidFill>
              <w14:schemeClr w14:val="tx1"/>
            </w14:solidFill>
          </w14:textFill>
        </w:rPr>
        <w:t>采购</w:t>
      </w:r>
      <w:r>
        <w:rPr>
          <w:rFonts w:hint="eastAsia" w:ascii="仿宋_GB2312" w:hAnsi="宋体" w:eastAsia="仿宋_GB2312" w:cs="宋体"/>
          <w:color w:val="000000" w:themeColor="text1"/>
          <w:kern w:val="0"/>
          <w:sz w:val="24"/>
          <w:szCs w:val="24"/>
          <w:highlight w:val="none"/>
          <w14:textFill>
            <w14:solidFill>
              <w14:schemeClr w14:val="tx1"/>
            </w14:solidFill>
          </w14:textFill>
        </w:rPr>
        <w:t>程序确定供应商，确保公正、公平对待所有合作方；不得在</w:t>
      </w:r>
      <w:r>
        <w:rPr>
          <w:rFonts w:hint="eastAsia" w:ascii="仿宋_GB2312" w:hAnsi="宋体" w:eastAsia="仿宋_GB2312" w:cs="宋体"/>
          <w:color w:val="000000" w:themeColor="text1"/>
          <w:kern w:val="0"/>
          <w:sz w:val="24"/>
          <w:szCs w:val="24"/>
          <w:highlight w:val="none"/>
          <w:lang w:val="en-US" w:eastAsia="zh-CN"/>
          <w14:textFill>
            <w14:solidFill>
              <w14:schemeClr w14:val="tx1"/>
            </w14:solidFill>
          </w14:textFill>
        </w:rPr>
        <w:t>采购</w:t>
      </w:r>
      <w:r>
        <w:rPr>
          <w:rFonts w:hint="eastAsia" w:ascii="仿宋_GB2312" w:hAnsi="宋体" w:eastAsia="仿宋_GB2312" w:cs="宋体"/>
          <w:color w:val="000000" w:themeColor="text1"/>
          <w:kern w:val="0"/>
          <w:sz w:val="24"/>
          <w:szCs w:val="24"/>
          <w:highlight w:val="none"/>
          <w14:textFill>
            <w14:solidFill>
              <w14:schemeClr w14:val="tx1"/>
            </w14:solidFill>
          </w14:textFill>
        </w:rPr>
        <w:t>文件中有针对性地故意设定条件，以不公正的方法确定供应商；</w:t>
      </w:r>
    </w:p>
    <w:p w14:paraId="7479B45D">
      <w:pPr>
        <w:widowControl/>
        <w:spacing w:line="400" w:lineRule="exact"/>
        <w:ind w:firstLine="480" w:firstLineChars="200"/>
        <w:rPr>
          <w:rFonts w:ascii="仿宋_GB2312" w:hAnsi="宋体" w:eastAsia="仿宋_GB2312" w:cs="宋体"/>
          <w:color w:val="000000" w:themeColor="text1"/>
          <w:kern w:val="0"/>
          <w:sz w:val="24"/>
          <w:szCs w:val="24"/>
          <w:highlight w:val="none"/>
          <w14:textFill>
            <w14:solidFill>
              <w14:schemeClr w14:val="tx1"/>
            </w14:solidFill>
          </w14:textFill>
        </w:rPr>
      </w:pPr>
      <w:r>
        <w:rPr>
          <w:rFonts w:hint="eastAsia" w:ascii="仿宋_GB2312" w:hAnsi="宋体" w:eastAsia="仿宋_GB2312" w:cs="宋体"/>
          <w:color w:val="000000" w:themeColor="text1"/>
          <w:kern w:val="0"/>
          <w:sz w:val="24"/>
          <w:szCs w:val="24"/>
          <w:highlight w:val="none"/>
          <w14:textFill>
            <w14:solidFill>
              <w14:schemeClr w14:val="tx1"/>
            </w14:solidFill>
          </w14:textFill>
        </w:rPr>
        <w:t>2.2</w:t>
      </w:r>
      <w:r>
        <w:rPr>
          <w:rFonts w:hint="eastAsia" w:ascii="仿宋_GB2312" w:hAnsi="宋体" w:eastAsia="仿宋_GB2312"/>
          <w:color w:val="000000" w:themeColor="text1"/>
          <w:sz w:val="24"/>
          <w:szCs w:val="24"/>
          <w:highlight w:val="none"/>
          <w14:textFill>
            <w14:solidFill>
              <w14:schemeClr w14:val="tx1"/>
            </w14:solidFill>
          </w14:textFill>
        </w:rPr>
        <w:t>按照甲方的项目管理流程办理乙方的各项业务（现场签证、验收、结算、付款等），对乙方员工的吃拿卡要行为坚决制止，如甲方员工出现上述情况以索贿论；</w:t>
      </w:r>
    </w:p>
    <w:p w14:paraId="755D0238">
      <w:pPr>
        <w:widowControl/>
        <w:spacing w:line="400" w:lineRule="exact"/>
        <w:ind w:firstLine="480" w:firstLineChars="200"/>
        <w:rPr>
          <w:rFonts w:ascii="仿宋_GB2312" w:hAnsi="宋体" w:eastAsia="仿宋_GB2312"/>
          <w:color w:val="000000" w:themeColor="text1"/>
          <w:sz w:val="24"/>
          <w:szCs w:val="24"/>
          <w:highlight w:val="none"/>
          <w14:textFill>
            <w14:solidFill>
              <w14:schemeClr w14:val="tx1"/>
            </w14:solidFill>
          </w14:textFill>
        </w:rPr>
      </w:pPr>
      <w:r>
        <w:rPr>
          <w:rFonts w:hint="eastAsia" w:ascii="仿宋_GB2312" w:hAnsi="宋体" w:eastAsia="仿宋_GB2312" w:cs="宋体"/>
          <w:color w:val="000000" w:themeColor="text1"/>
          <w:kern w:val="0"/>
          <w:sz w:val="24"/>
          <w:szCs w:val="24"/>
          <w:highlight w:val="none"/>
          <w14:textFill>
            <w14:solidFill>
              <w14:schemeClr w14:val="tx1"/>
            </w14:solidFill>
          </w14:textFill>
        </w:rPr>
        <w:t>2.3</w:t>
      </w:r>
      <w:r>
        <w:rPr>
          <w:rFonts w:hint="eastAsia" w:ascii="仿宋_GB2312" w:hAnsi="宋体" w:eastAsia="仿宋_GB2312"/>
          <w:color w:val="000000" w:themeColor="text1"/>
          <w:sz w:val="24"/>
          <w:szCs w:val="24"/>
          <w:highlight w:val="none"/>
          <w14:textFill>
            <w14:solidFill>
              <w14:schemeClr w14:val="tx1"/>
            </w14:solidFill>
          </w14:textFill>
        </w:rPr>
        <w:t>不安排己方员工的亲友在乙方工作；</w:t>
      </w:r>
    </w:p>
    <w:p w14:paraId="1E9E53B4">
      <w:pPr>
        <w:widowControl/>
        <w:spacing w:line="400" w:lineRule="exact"/>
        <w:ind w:firstLine="480" w:firstLineChars="200"/>
        <w:rPr>
          <w:color w:val="000000" w:themeColor="text1"/>
          <w:sz w:val="24"/>
          <w:szCs w:val="24"/>
          <w:highlight w:val="none"/>
          <w14:textFill>
            <w14:solidFill>
              <w14:schemeClr w14:val="tx1"/>
            </w14:solidFill>
          </w14:textFill>
        </w:rPr>
      </w:pPr>
      <w:r>
        <w:rPr>
          <w:rFonts w:hint="eastAsia" w:ascii="仿宋_GB2312" w:hAnsi="宋体" w:eastAsia="仿宋_GB2312" w:cs="宋体"/>
          <w:color w:val="000000" w:themeColor="text1"/>
          <w:kern w:val="0"/>
          <w:sz w:val="24"/>
          <w:szCs w:val="24"/>
          <w:highlight w:val="none"/>
          <w14:textFill>
            <w14:solidFill>
              <w14:schemeClr w14:val="tx1"/>
            </w14:solidFill>
          </w14:textFill>
        </w:rPr>
        <w:t>2.4</w:t>
      </w:r>
      <w:r>
        <w:rPr>
          <w:rFonts w:hint="eastAsia" w:ascii="仿宋_GB2312" w:hAnsi="宋体" w:eastAsia="仿宋_GB2312"/>
          <w:color w:val="000000" w:themeColor="text1"/>
          <w:sz w:val="24"/>
          <w:szCs w:val="24"/>
          <w:highlight w:val="none"/>
          <w14:textFill>
            <w14:solidFill>
              <w14:schemeClr w14:val="tx1"/>
            </w14:solidFill>
          </w14:textFill>
        </w:rPr>
        <w:t>不得以任何理由向乙方推荐分包单位，不得要求乙方购买合同规定外的材料和设备；</w:t>
      </w:r>
    </w:p>
    <w:p w14:paraId="11333E31">
      <w:pPr>
        <w:widowControl/>
        <w:spacing w:line="400" w:lineRule="exact"/>
        <w:ind w:firstLine="480" w:firstLineChars="200"/>
        <w:rPr>
          <w:rFonts w:ascii="仿宋_GB2312" w:hAnsi="宋体" w:eastAsia="仿宋_GB2312" w:cs="宋体"/>
          <w:color w:val="000000" w:themeColor="text1"/>
          <w:kern w:val="0"/>
          <w:sz w:val="24"/>
          <w:szCs w:val="24"/>
          <w:highlight w:val="none"/>
          <w14:textFill>
            <w14:solidFill>
              <w14:schemeClr w14:val="tx1"/>
            </w14:solidFill>
          </w14:textFill>
        </w:rPr>
      </w:pPr>
      <w:r>
        <w:rPr>
          <w:rFonts w:hint="eastAsia" w:ascii="仿宋_GB2312" w:hAnsi="宋体" w:eastAsia="仿宋_GB2312" w:cs="宋体"/>
          <w:color w:val="000000" w:themeColor="text1"/>
          <w:kern w:val="0"/>
          <w:sz w:val="24"/>
          <w:szCs w:val="24"/>
          <w:highlight w:val="none"/>
          <w14:textFill>
            <w14:solidFill>
              <w14:schemeClr w14:val="tx1"/>
            </w14:solidFill>
          </w14:textFill>
        </w:rPr>
        <w:t>2.5不得向乙方和相关单位索要或接受回扣、礼金、有价证券、贵重物品和好处费、感谢费等。</w:t>
      </w:r>
    </w:p>
    <w:p w14:paraId="3E76F09A">
      <w:pPr>
        <w:widowControl/>
        <w:spacing w:line="400" w:lineRule="exact"/>
        <w:ind w:firstLine="480" w:firstLineChars="200"/>
        <w:rPr>
          <w:rFonts w:ascii="仿宋_GB2312" w:hAnsi="宋体" w:eastAsia="仿宋_GB2312" w:cs="宋体"/>
          <w:color w:val="000000" w:themeColor="text1"/>
          <w:kern w:val="0"/>
          <w:sz w:val="24"/>
          <w:szCs w:val="24"/>
          <w:highlight w:val="none"/>
          <w14:textFill>
            <w14:solidFill>
              <w14:schemeClr w14:val="tx1"/>
            </w14:solidFill>
          </w14:textFill>
        </w:rPr>
      </w:pPr>
      <w:r>
        <w:rPr>
          <w:rFonts w:hint="eastAsia" w:ascii="仿宋_GB2312" w:hAnsi="宋体" w:eastAsia="仿宋_GB2312" w:cs="宋体"/>
          <w:color w:val="000000" w:themeColor="text1"/>
          <w:kern w:val="0"/>
          <w:sz w:val="24"/>
          <w:szCs w:val="24"/>
          <w:highlight w:val="none"/>
          <w14:textFill>
            <w14:solidFill>
              <w14:schemeClr w14:val="tx1"/>
            </w14:solidFill>
          </w14:textFill>
        </w:rPr>
        <w:t>2.6不得在乙方和相关单位报销任何应由业主方或个人支付的费用。</w:t>
      </w:r>
    </w:p>
    <w:p w14:paraId="53763CF3">
      <w:pPr>
        <w:widowControl/>
        <w:spacing w:line="400" w:lineRule="exact"/>
        <w:ind w:firstLine="480" w:firstLineChars="200"/>
        <w:rPr>
          <w:rFonts w:ascii="仿宋_GB2312" w:hAnsi="宋体" w:eastAsia="仿宋_GB2312" w:cs="宋体"/>
          <w:color w:val="000000" w:themeColor="text1"/>
          <w:kern w:val="0"/>
          <w:sz w:val="24"/>
          <w:szCs w:val="24"/>
          <w:highlight w:val="none"/>
          <w14:textFill>
            <w14:solidFill>
              <w14:schemeClr w14:val="tx1"/>
            </w14:solidFill>
          </w14:textFill>
        </w:rPr>
      </w:pPr>
      <w:r>
        <w:rPr>
          <w:rFonts w:hint="eastAsia" w:ascii="仿宋_GB2312" w:hAnsi="宋体" w:eastAsia="仿宋_GB2312" w:cs="宋体"/>
          <w:color w:val="000000" w:themeColor="text1"/>
          <w:kern w:val="0"/>
          <w:sz w:val="24"/>
          <w:szCs w:val="24"/>
          <w:highlight w:val="none"/>
          <w14:textFill>
            <w14:solidFill>
              <w14:schemeClr w14:val="tx1"/>
            </w14:solidFill>
          </w14:textFill>
        </w:rPr>
        <w:t>2.7不得要求、暗示或接受乙方和相关单位为个人装修住房、婚丧嫁娶、配偶子女的工作安排以及出国(境)、旅游等提供方便。</w:t>
      </w:r>
    </w:p>
    <w:p w14:paraId="76905EB7">
      <w:pPr>
        <w:widowControl/>
        <w:spacing w:line="400" w:lineRule="exact"/>
        <w:ind w:firstLine="480" w:firstLineChars="200"/>
        <w:rPr>
          <w:rFonts w:ascii="仿宋_GB2312" w:hAnsi="宋体" w:eastAsia="仿宋_GB2312" w:cs="宋体"/>
          <w:color w:val="000000" w:themeColor="text1"/>
          <w:kern w:val="0"/>
          <w:sz w:val="24"/>
          <w:szCs w:val="24"/>
          <w:highlight w:val="none"/>
          <w14:textFill>
            <w14:solidFill>
              <w14:schemeClr w14:val="tx1"/>
            </w14:solidFill>
          </w14:textFill>
        </w:rPr>
      </w:pPr>
      <w:r>
        <w:rPr>
          <w:rFonts w:hint="eastAsia" w:ascii="仿宋_GB2312" w:hAnsi="宋体" w:eastAsia="仿宋_GB2312" w:cs="宋体"/>
          <w:color w:val="000000" w:themeColor="text1"/>
          <w:kern w:val="0"/>
          <w:sz w:val="24"/>
          <w:szCs w:val="24"/>
          <w:highlight w:val="none"/>
          <w14:textFill>
            <w14:solidFill>
              <w14:schemeClr w14:val="tx1"/>
            </w14:solidFill>
          </w14:textFill>
        </w:rPr>
        <w:t>2.8不得参加有可能影响公正执行公务的乙方和相关单位的宴请、健身、娱乐等活动。</w:t>
      </w:r>
    </w:p>
    <w:p w14:paraId="3B5990FC">
      <w:pPr>
        <w:widowControl/>
        <w:spacing w:line="400" w:lineRule="exact"/>
        <w:ind w:firstLine="480" w:firstLineChars="200"/>
        <w:rPr>
          <w:rFonts w:ascii="仿宋_GB2312" w:hAnsi="宋体" w:eastAsia="仿宋_GB2312" w:cs="宋体"/>
          <w:color w:val="000000" w:themeColor="text1"/>
          <w:kern w:val="0"/>
          <w:sz w:val="24"/>
          <w:szCs w:val="24"/>
          <w:highlight w:val="none"/>
          <w14:textFill>
            <w14:solidFill>
              <w14:schemeClr w14:val="tx1"/>
            </w14:solidFill>
          </w14:textFill>
        </w:rPr>
      </w:pPr>
      <w:bookmarkStart w:id="85" w:name="_Toc300671951"/>
      <w:r>
        <w:rPr>
          <w:rFonts w:hint="eastAsia" w:ascii="仿宋_GB2312" w:hAnsi="宋体" w:eastAsia="仿宋_GB2312" w:cs="宋体"/>
          <w:color w:val="000000" w:themeColor="text1"/>
          <w:kern w:val="0"/>
          <w:sz w:val="24"/>
          <w:szCs w:val="24"/>
          <w:highlight w:val="none"/>
          <w14:textFill>
            <w14:solidFill>
              <w14:schemeClr w14:val="tx1"/>
            </w14:solidFill>
          </w14:textFill>
        </w:rPr>
        <w:t>三、乙方责任</w:t>
      </w:r>
      <w:bookmarkEnd w:id="85"/>
    </w:p>
    <w:p w14:paraId="39AB8F2C">
      <w:pPr>
        <w:widowControl/>
        <w:spacing w:line="400" w:lineRule="exact"/>
        <w:ind w:firstLine="480" w:firstLineChars="200"/>
        <w:rPr>
          <w:rFonts w:ascii="仿宋_GB2312" w:hAnsi="宋体" w:eastAsia="仿宋_GB2312" w:cs="宋体"/>
          <w:color w:val="000000" w:themeColor="text1"/>
          <w:kern w:val="0"/>
          <w:sz w:val="24"/>
          <w:szCs w:val="24"/>
          <w:highlight w:val="none"/>
          <w14:textFill>
            <w14:solidFill>
              <w14:schemeClr w14:val="tx1"/>
            </w14:solidFill>
          </w14:textFill>
        </w:rPr>
      </w:pPr>
      <w:r>
        <w:rPr>
          <w:rFonts w:hint="eastAsia" w:ascii="仿宋_GB2312" w:hAnsi="宋体" w:eastAsia="仿宋_GB2312" w:cs="宋体"/>
          <w:color w:val="000000" w:themeColor="text1"/>
          <w:kern w:val="0"/>
          <w:sz w:val="24"/>
          <w:szCs w:val="24"/>
          <w:highlight w:val="none"/>
          <w14:textFill>
            <w14:solidFill>
              <w14:schemeClr w14:val="tx1"/>
            </w14:solidFill>
          </w14:textFill>
        </w:rPr>
        <w:t>应与甲方保持正常的业务交往，按照有关法律法规和程序开展业务工作，严格执行工程建设的有关方针、政策，执行工程建设强制性标准，并遵守以下规定：</w:t>
      </w:r>
    </w:p>
    <w:p w14:paraId="41417CE8">
      <w:pPr>
        <w:spacing w:line="400" w:lineRule="exact"/>
        <w:ind w:firstLine="480" w:firstLineChars="200"/>
        <w:rPr>
          <w:rFonts w:ascii="仿宋_GB2312" w:hAnsi="宋体" w:eastAsia="仿宋_GB2312"/>
          <w:color w:val="000000" w:themeColor="text1"/>
          <w:sz w:val="24"/>
          <w:szCs w:val="24"/>
          <w:highlight w:val="none"/>
          <w14:textFill>
            <w14:solidFill>
              <w14:schemeClr w14:val="tx1"/>
            </w14:solidFill>
          </w14:textFill>
        </w:rPr>
      </w:pPr>
      <w:r>
        <w:rPr>
          <w:rFonts w:hint="eastAsia" w:ascii="仿宋_GB2312" w:eastAsia="仿宋_GB2312" w:cs="宋体"/>
          <w:color w:val="000000" w:themeColor="text1"/>
          <w:kern w:val="0"/>
          <w:sz w:val="24"/>
          <w:szCs w:val="24"/>
          <w:highlight w:val="none"/>
          <w14:textFill>
            <w14:solidFill>
              <w14:schemeClr w14:val="tx1"/>
            </w14:solidFill>
          </w14:textFill>
        </w:rPr>
        <w:t>3.1</w:t>
      </w:r>
      <w:r>
        <w:rPr>
          <w:rFonts w:hint="eastAsia" w:ascii="仿宋_GB2312" w:hAnsi="宋体" w:eastAsia="仿宋_GB2312"/>
          <w:color w:val="000000" w:themeColor="text1"/>
          <w:sz w:val="24"/>
          <w:szCs w:val="24"/>
          <w:highlight w:val="none"/>
          <w14:textFill>
            <w14:solidFill>
              <w14:schemeClr w14:val="tx1"/>
            </w14:solidFill>
          </w14:textFill>
        </w:rPr>
        <w:t>根据自己的实力参与甲方的</w:t>
      </w:r>
      <w:r>
        <w:rPr>
          <w:rFonts w:hint="eastAsia" w:ascii="仿宋_GB2312" w:hAnsi="宋体" w:eastAsia="仿宋_GB2312"/>
          <w:color w:val="000000" w:themeColor="text1"/>
          <w:sz w:val="24"/>
          <w:szCs w:val="24"/>
          <w:highlight w:val="none"/>
          <w:lang w:val="en-US" w:eastAsia="zh-CN"/>
          <w14:textFill>
            <w14:solidFill>
              <w14:schemeClr w14:val="tx1"/>
            </w14:solidFill>
          </w14:textFill>
        </w:rPr>
        <w:t>采购事项</w:t>
      </w:r>
      <w:r>
        <w:rPr>
          <w:rFonts w:hint="eastAsia" w:ascii="仿宋_GB2312" w:hAnsi="宋体" w:eastAsia="仿宋_GB2312"/>
          <w:color w:val="000000" w:themeColor="text1"/>
          <w:sz w:val="24"/>
          <w:szCs w:val="24"/>
          <w:highlight w:val="none"/>
          <w14:textFill>
            <w14:solidFill>
              <w14:schemeClr w14:val="tx1"/>
            </w14:solidFill>
          </w14:textFill>
        </w:rPr>
        <w:t>，遵守甲方的管理制度；不得在</w:t>
      </w:r>
      <w:r>
        <w:rPr>
          <w:rFonts w:hint="eastAsia" w:ascii="仿宋_GB2312" w:hAnsi="宋体" w:eastAsia="仿宋_GB2312"/>
          <w:color w:val="000000" w:themeColor="text1"/>
          <w:sz w:val="24"/>
          <w:szCs w:val="24"/>
          <w:highlight w:val="none"/>
          <w:lang w:val="en-US" w:eastAsia="zh-CN"/>
          <w14:textFill>
            <w14:solidFill>
              <w14:schemeClr w14:val="tx1"/>
            </w14:solidFill>
          </w14:textFill>
        </w:rPr>
        <w:t>采购</w:t>
      </w:r>
      <w:r>
        <w:rPr>
          <w:rFonts w:hint="eastAsia" w:ascii="仿宋_GB2312" w:hAnsi="宋体" w:eastAsia="仿宋_GB2312"/>
          <w:color w:val="000000" w:themeColor="text1"/>
          <w:sz w:val="24"/>
          <w:szCs w:val="24"/>
          <w:highlight w:val="none"/>
          <w14:textFill>
            <w14:solidFill>
              <w14:schemeClr w14:val="tx1"/>
            </w14:solidFill>
          </w14:textFill>
        </w:rPr>
        <w:t>之前或过程中，以不正当手段谋求</w:t>
      </w:r>
      <w:r>
        <w:rPr>
          <w:rFonts w:hint="eastAsia" w:ascii="仿宋_GB2312" w:hAnsi="宋体" w:eastAsia="仿宋_GB2312"/>
          <w:color w:val="000000" w:themeColor="text1"/>
          <w:sz w:val="24"/>
          <w:szCs w:val="24"/>
          <w:highlight w:val="none"/>
          <w:lang w:val="en-US" w:eastAsia="zh-CN"/>
          <w14:textFill>
            <w14:solidFill>
              <w14:schemeClr w14:val="tx1"/>
            </w14:solidFill>
          </w14:textFill>
        </w:rPr>
        <w:t>成交</w:t>
      </w:r>
      <w:r>
        <w:rPr>
          <w:rFonts w:hint="eastAsia" w:ascii="仿宋_GB2312" w:hAnsi="宋体" w:eastAsia="仿宋_GB2312"/>
          <w:color w:val="000000" w:themeColor="text1"/>
          <w:sz w:val="24"/>
          <w:szCs w:val="24"/>
          <w:highlight w:val="none"/>
          <w14:textFill>
            <w14:solidFill>
              <w14:schemeClr w14:val="tx1"/>
            </w14:solidFill>
          </w14:textFill>
        </w:rPr>
        <w:t>。</w:t>
      </w:r>
    </w:p>
    <w:p w14:paraId="3CD71C55">
      <w:pPr>
        <w:spacing w:line="400" w:lineRule="exact"/>
        <w:ind w:firstLine="480" w:firstLineChars="200"/>
        <w:rPr>
          <w:rFonts w:ascii="仿宋_GB2312" w:eastAsia="仿宋_GB2312" w:cs="宋体"/>
          <w:color w:val="000000" w:themeColor="text1"/>
          <w:kern w:val="0"/>
          <w:sz w:val="24"/>
          <w:szCs w:val="24"/>
          <w:highlight w:val="none"/>
          <w14:textFill>
            <w14:solidFill>
              <w14:schemeClr w14:val="tx1"/>
            </w14:solidFill>
          </w14:textFill>
        </w:rPr>
      </w:pPr>
      <w:r>
        <w:rPr>
          <w:rFonts w:hint="eastAsia" w:ascii="仿宋_GB2312" w:eastAsia="仿宋_GB2312" w:cs="宋体"/>
          <w:color w:val="000000" w:themeColor="text1"/>
          <w:kern w:val="0"/>
          <w:sz w:val="24"/>
          <w:szCs w:val="24"/>
          <w:highlight w:val="none"/>
          <w14:textFill>
            <w14:solidFill>
              <w14:schemeClr w14:val="tx1"/>
            </w14:solidFill>
          </w14:textFill>
        </w:rPr>
        <w:t>3.2不得向甲方员工及其亲属输送任何个人利益以寻求合作机会，不得为甲方人员配偶、子女及特定关系人安排工作、谋取不正当利益或提供各类方便。</w:t>
      </w:r>
    </w:p>
    <w:p w14:paraId="3518DAE3">
      <w:pPr>
        <w:spacing w:line="400" w:lineRule="exact"/>
        <w:ind w:firstLine="480" w:firstLineChars="200"/>
        <w:rPr>
          <w:rFonts w:ascii="仿宋_GB2312" w:eastAsia="仿宋_GB2312" w:cs="宋体"/>
          <w:color w:val="000000" w:themeColor="text1"/>
          <w:kern w:val="0"/>
          <w:sz w:val="24"/>
          <w:szCs w:val="24"/>
          <w:highlight w:val="none"/>
          <w14:textFill>
            <w14:solidFill>
              <w14:schemeClr w14:val="tx1"/>
            </w14:solidFill>
          </w14:textFill>
        </w:rPr>
      </w:pPr>
      <w:r>
        <w:rPr>
          <w:rFonts w:hint="eastAsia" w:ascii="仿宋_GB2312" w:eastAsia="仿宋_GB2312" w:cs="宋体"/>
          <w:color w:val="000000" w:themeColor="text1"/>
          <w:kern w:val="0"/>
          <w:sz w:val="24"/>
          <w:szCs w:val="24"/>
          <w:highlight w:val="none"/>
          <w14:textFill>
            <w14:solidFill>
              <w14:schemeClr w14:val="tx1"/>
            </w14:solidFill>
          </w14:textFill>
        </w:rPr>
        <w:t>3.3不得以任何理由为甲方和相关单位报销应由对方或个人支付的费用，包括出差期间的交通费和住宿费等。</w:t>
      </w:r>
    </w:p>
    <w:p w14:paraId="7DADFAEC">
      <w:pPr>
        <w:spacing w:line="400" w:lineRule="exact"/>
        <w:ind w:firstLine="480" w:firstLineChars="200"/>
        <w:rPr>
          <w:rFonts w:ascii="仿宋_GB2312" w:eastAsia="仿宋_GB2312" w:cs="宋体"/>
          <w:color w:val="000000" w:themeColor="text1"/>
          <w:kern w:val="0"/>
          <w:sz w:val="24"/>
          <w:szCs w:val="24"/>
          <w:highlight w:val="none"/>
          <w14:textFill>
            <w14:solidFill>
              <w14:schemeClr w14:val="tx1"/>
            </w14:solidFill>
          </w14:textFill>
        </w:rPr>
      </w:pPr>
      <w:r>
        <w:rPr>
          <w:rFonts w:hint="eastAsia" w:ascii="仿宋_GB2312" w:eastAsia="仿宋_GB2312" w:cs="宋体"/>
          <w:color w:val="000000" w:themeColor="text1"/>
          <w:kern w:val="0"/>
          <w:sz w:val="24"/>
          <w:szCs w:val="24"/>
          <w:highlight w:val="none"/>
          <w14:textFill>
            <w14:solidFill>
              <w14:schemeClr w14:val="tx1"/>
            </w14:solidFill>
          </w14:textFill>
        </w:rPr>
        <w:t>3.4不得以甲方员工及其亲属的家庭装修、婚丧嫁娶、出国留学等事宜为由进行提供资金及物资资助等行贿行为。</w:t>
      </w:r>
    </w:p>
    <w:p w14:paraId="3684617C">
      <w:pPr>
        <w:spacing w:line="400" w:lineRule="exact"/>
        <w:ind w:firstLine="480" w:firstLineChars="200"/>
        <w:rPr>
          <w:rFonts w:ascii="仿宋_GB2312" w:eastAsia="仿宋_GB2312" w:cs="宋体"/>
          <w:color w:val="000000" w:themeColor="text1"/>
          <w:kern w:val="0"/>
          <w:sz w:val="24"/>
          <w:szCs w:val="24"/>
          <w:highlight w:val="none"/>
          <w14:textFill>
            <w14:solidFill>
              <w14:schemeClr w14:val="tx1"/>
            </w14:solidFill>
          </w14:textFill>
        </w:rPr>
      </w:pPr>
      <w:r>
        <w:rPr>
          <w:rFonts w:ascii="仿宋_GB2312" w:eastAsia="仿宋_GB2312" w:cs="宋体"/>
          <w:color w:val="000000" w:themeColor="text1"/>
          <w:kern w:val="0"/>
          <w:sz w:val="24"/>
          <w:szCs w:val="24"/>
          <w:highlight w:val="none"/>
          <w14:textFill>
            <w14:solidFill>
              <w14:schemeClr w14:val="tx1"/>
            </w14:solidFill>
          </w14:textFill>
        </w:rPr>
        <w:t>3.5</w:t>
      </w:r>
      <w:r>
        <w:rPr>
          <w:rFonts w:hint="eastAsia" w:ascii="仿宋_GB2312" w:eastAsia="仿宋_GB2312" w:cs="宋体"/>
          <w:color w:val="000000" w:themeColor="text1"/>
          <w:kern w:val="0"/>
          <w:sz w:val="24"/>
          <w:szCs w:val="24"/>
          <w:highlight w:val="none"/>
          <w14:textFill>
            <w14:solidFill>
              <w14:schemeClr w14:val="tx1"/>
            </w14:solidFill>
          </w14:textFill>
        </w:rPr>
        <w:t>不得向甲方员工提供礼品、礼金、贵重物品或消费卡、会员卡、礼品券等虚拟电子礼品，严禁快递送礼。</w:t>
      </w:r>
    </w:p>
    <w:p w14:paraId="1997802C">
      <w:pPr>
        <w:spacing w:line="400" w:lineRule="exact"/>
        <w:ind w:firstLine="480" w:firstLineChars="200"/>
        <w:rPr>
          <w:rFonts w:ascii="仿宋_GB2312" w:eastAsia="仿宋_GB2312" w:cs="宋体"/>
          <w:color w:val="000000" w:themeColor="text1"/>
          <w:kern w:val="0"/>
          <w:sz w:val="24"/>
          <w:szCs w:val="24"/>
          <w:highlight w:val="none"/>
          <w14:textFill>
            <w14:solidFill>
              <w14:schemeClr w14:val="tx1"/>
            </w14:solidFill>
          </w14:textFill>
        </w:rPr>
      </w:pPr>
      <w:r>
        <w:rPr>
          <w:rFonts w:hint="eastAsia" w:ascii="仿宋_GB2312" w:eastAsia="仿宋_GB2312" w:cs="宋体"/>
          <w:color w:val="000000" w:themeColor="text1"/>
          <w:kern w:val="0"/>
          <w:sz w:val="24"/>
          <w:szCs w:val="24"/>
          <w:highlight w:val="none"/>
          <w14:textFill>
            <w14:solidFill>
              <w14:schemeClr w14:val="tx1"/>
            </w14:solidFill>
          </w14:textFill>
        </w:rPr>
        <w:t>3.</w:t>
      </w:r>
      <w:r>
        <w:rPr>
          <w:rFonts w:ascii="仿宋_GB2312" w:eastAsia="仿宋_GB2312" w:cs="宋体"/>
          <w:color w:val="000000" w:themeColor="text1"/>
          <w:kern w:val="0"/>
          <w:sz w:val="24"/>
          <w:szCs w:val="24"/>
          <w:highlight w:val="none"/>
          <w14:textFill>
            <w14:solidFill>
              <w14:schemeClr w14:val="tx1"/>
            </w14:solidFill>
          </w14:textFill>
        </w:rPr>
        <w:t>6</w:t>
      </w:r>
      <w:r>
        <w:rPr>
          <w:rFonts w:hint="eastAsia" w:ascii="仿宋_GB2312" w:eastAsia="仿宋_GB2312" w:cs="宋体"/>
          <w:color w:val="000000" w:themeColor="text1"/>
          <w:kern w:val="0"/>
          <w:sz w:val="24"/>
          <w:szCs w:val="24"/>
          <w:highlight w:val="none"/>
          <w14:textFill>
            <w14:solidFill>
              <w14:schemeClr w14:val="tx1"/>
            </w14:solidFill>
          </w14:textFill>
        </w:rPr>
        <w:t>不得以任何理由为甲方、相关单位或个人组织有可能影响公正执行公务的宴请、健身、娱乐等活动。</w:t>
      </w:r>
    </w:p>
    <w:p w14:paraId="7FEBD967">
      <w:pPr>
        <w:spacing w:line="400" w:lineRule="exact"/>
        <w:ind w:firstLine="480" w:firstLineChars="200"/>
        <w:rPr>
          <w:rFonts w:ascii="仿宋_GB2312" w:eastAsia="仿宋_GB2312" w:cs="宋体"/>
          <w:color w:val="000000" w:themeColor="text1"/>
          <w:kern w:val="0"/>
          <w:sz w:val="24"/>
          <w:szCs w:val="24"/>
          <w:highlight w:val="none"/>
          <w14:textFill>
            <w14:solidFill>
              <w14:schemeClr w14:val="tx1"/>
            </w14:solidFill>
          </w14:textFill>
        </w:rPr>
      </w:pPr>
      <w:r>
        <w:rPr>
          <w:rFonts w:ascii="仿宋_GB2312" w:eastAsia="仿宋_GB2312" w:cs="宋体"/>
          <w:color w:val="000000" w:themeColor="text1"/>
          <w:kern w:val="0"/>
          <w:sz w:val="24"/>
          <w:szCs w:val="24"/>
          <w:highlight w:val="none"/>
          <w14:textFill>
            <w14:solidFill>
              <w14:schemeClr w14:val="tx1"/>
            </w14:solidFill>
          </w14:textFill>
        </w:rPr>
        <w:t>3.7</w:t>
      </w:r>
      <w:r>
        <w:rPr>
          <w:rFonts w:hint="eastAsia" w:ascii="仿宋_GB2312" w:eastAsia="仿宋_GB2312" w:cs="宋体"/>
          <w:color w:val="000000" w:themeColor="text1"/>
          <w:kern w:val="0"/>
          <w:sz w:val="24"/>
          <w:szCs w:val="24"/>
          <w:highlight w:val="none"/>
          <w14:textFill>
            <w14:solidFill>
              <w14:schemeClr w14:val="tx1"/>
            </w14:solidFill>
          </w14:textFill>
        </w:rPr>
        <w:t>不得与甲方员工就合同条款中的利益条款进行私下协商或达成默契。</w:t>
      </w:r>
    </w:p>
    <w:p w14:paraId="0BD66E1F">
      <w:pPr>
        <w:spacing w:line="400" w:lineRule="exact"/>
        <w:ind w:firstLine="480" w:firstLineChars="200"/>
        <w:rPr>
          <w:rFonts w:ascii="仿宋_GB2312" w:eastAsia="仿宋_GB2312" w:cs="宋体"/>
          <w:color w:val="000000" w:themeColor="text1"/>
          <w:kern w:val="0"/>
          <w:sz w:val="24"/>
          <w:szCs w:val="24"/>
          <w:highlight w:val="none"/>
          <w14:textFill>
            <w14:solidFill>
              <w14:schemeClr w14:val="tx1"/>
            </w14:solidFill>
          </w14:textFill>
        </w:rPr>
      </w:pPr>
      <w:r>
        <w:rPr>
          <w:rFonts w:hint="eastAsia" w:ascii="仿宋_GB2312" w:eastAsia="仿宋_GB2312" w:cs="宋体"/>
          <w:color w:val="000000" w:themeColor="text1"/>
          <w:kern w:val="0"/>
          <w:sz w:val="24"/>
          <w:szCs w:val="24"/>
          <w:highlight w:val="none"/>
          <w14:textFill>
            <w14:solidFill>
              <w14:schemeClr w14:val="tx1"/>
            </w14:solidFill>
          </w14:textFill>
        </w:rPr>
        <w:t>3</w:t>
      </w:r>
      <w:r>
        <w:rPr>
          <w:rFonts w:ascii="仿宋_GB2312" w:eastAsia="仿宋_GB2312" w:cs="宋体"/>
          <w:color w:val="000000" w:themeColor="text1"/>
          <w:kern w:val="0"/>
          <w:sz w:val="24"/>
          <w:szCs w:val="24"/>
          <w:highlight w:val="none"/>
          <w14:textFill>
            <w14:solidFill>
              <w14:schemeClr w14:val="tx1"/>
            </w14:solidFill>
          </w14:textFill>
        </w:rPr>
        <w:t>.8</w:t>
      </w:r>
      <w:r>
        <w:rPr>
          <w:rFonts w:hint="eastAsia" w:ascii="仿宋_GB2312" w:eastAsia="仿宋_GB2312" w:cs="宋体"/>
          <w:color w:val="000000" w:themeColor="text1"/>
          <w:kern w:val="0"/>
          <w:sz w:val="24"/>
          <w:szCs w:val="24"/>
          <w:highlight w:val="none"/>
          <w14:textFill>
            <w14:solidFill>
              <w14:schemeClr w14:val="tx1"/>
            </w14:solidFill>
          </w14:textFill>
        </w:rPr>
        <w:t>不得安排甲方员工及其亲属从事合资或合股经营行为，不向甲方打探商业秘密或提供兼职报酬。</w:t>
      </w:r>
    </w:p>
    <w:p w14:paraId="63E6838E">
      <w:pPr>
        <w:spacing w:line="400" w:lineRule="exact"/>
        <w:ind w:firstLine="480" w:firstLineChars="200"/>
        <w:rPr>
          <w:rFonts w:ascii="仿宋_GB2312" w:eastAsia="仿宋_GB2312" w:cs="宋体"/>
          <w:color w:val="000000" w:themeColor="text1"/>
          <w:kern w:val="0"/>
          <w:sz w:val="24"/>
          <w:szCs w:val="24"/>
          <w:highlight w:val="none"/>
          <w14:textFill>
            <w14:solidFill>
              <w14:schemeClr w14:val="tx1"/>
            </w14:solidFill>
          </w14:textFill>
        </w:rPr>
      </w:pPr>
      <w:r>
        <w:rPr>
          <w:rFonts w:ascii="仿宋_GB2312" w:eastAsia="仿宋_GB2312" w:cs="宋体"/>
          <w:color w:val="000000" w:themeColor="text1"/>
          <w:kern w:val="0"/>
          <w:sz w:val="24"/>
          <w:szCs w:val="24"/>
          <w:highlight w:val="none"/>
          <w14:textFill>
            <w14:solidFill>
              <w14:schemeClr w14:val="tx1"/>
            </w14:solidFill>
          </w14:textFill>
        </w:rPr>
        <w:t>3.9</w:t>
      </w:r>
      <w:r>
        <w:rPr>
          <w:rFonts w:hint="eastAsia" w:ascii="仿宋_GB2312" w:eastAsia="仿宋_GB2312" w:cs="宋体"/>
          <w:color w:val="000000" w:themeColor="text1"/>
          <w:kern w:val="0"/>
          <w:sz w:val="24"/>
          <w:szCs w:val="24"/>
          <w:highlight w:val="none"/>
          <w14:textFill>
            <w14:solidFill>
              <w14:schemeClr w14:val="tx1"/>
            </w14:solidFill>
          </w14:textFill>
        </w:rPr>
        <w:t>不在甲方人员进行市场调研、商务洽谈等期间违规提供公务接待。</w:t>
      </w:r>
    </w:p>
    <w:p w14:paraId="467ED2D6">
      <w:pPr>
        <w:spacing w:line="400" w:lineRule="exact"/>
        <w:ind w:firstLine="480" w:firstLineChars="200"/>
        <w:rPr>
          <w:rFonts w:ascii="仿宋_GB2312" w:eastAsia="仿宋_GB2312" w:cs="宋体"/>
          <w:color w:val="000000" w:themeColor="text1"/>
          <w:kern w:val="0"/>
          <w:sz w:val="24"/>
          <w:szCs w:val="24"/>
          <w:highlight w:val="none"/>
          <w14:textFill>
            <w14:solidFill>
              <w14:schemeClr w14:val="tx1"/>
            </w14:solidFill>
          </w14:textFill>
        </w:rPr>
      </w:pPr>
      <w:r>
        <w:rPr>
          <w:rFonts w:ascii="仿宋_GB2312" w:eastAsia="仿宋_GB2312" w:cs="宋体"/>
          <w:color w:val="000000" w:themeColor="text1"/>
          <w:kern w:val="0"/>
          <w:sz w:val="24"/>
          <w:szCs w:val="24"/>
          <w:highlight w:val="none"/>
          <w14:textFill>
            <w14:solidFill>
              <w14:schemeClr w14:val="tx1"/>
            </w14:solidFill>
          </w14:textFill>
        </w:rPr>
        <w:t>3.10</w:t>
      </w:r>
      <w:r>
        <w:rPr>
          <w:rFonts w:hint="eastAsia" w:ascii="仿宋_GB2312" w:eastAsia="仿宋_GB2312" w:cs="宋体"/>
          <w:color w:val="000000" w:themeColor="text1"/>
          <w:kern w:val="0"/>
          <w:sz w:val="24"/>
          <w:szCs w:val="24"/>
          <w:highlight w:val="none"/>
          <w14:textFill>
            <w14:solidFill>
              <w14:schemeClr w14:val="tx1"/>
            </w14:solidFill>
          </w14:textFill>
        </w:rPr>
        <w:t>对甲方员工违反本协议的行为及时向甲方的上级监督部门报告。</w:t>
      </w:r>
    </w:p>
    <w:p w14:paraId="0E7ECAE4">
      <w:pPr>
        <w:widowControl/>
        <w:spacing w:line="400" w:lineRule="exact"/>
        <w:ind w:firstLine="480" w:firstLineChars="200"/>
        <w:rPr>
          <w:rFonts w:ascii="仿宋_GB2312" w:hAnsi="宋体" w:eastAsia="仿宋_GB2312" w:cs="宋体"/>
          <w:color w:val="000000" w:themeColor="text1"/>
          <w:kern w:val="0"/>
          <w:sz w:val="24"/>
          <w:szCs w:val="24"/>
          <w:highlight w:val="none"/>
          <w14:textFill>
            <w14:solidFill>
              <w14:schemeClr w14:val="tx1"/>
            </w14:solidFill>
          </w14:textFill>
        </w:rPr>
      </w:pPr>
      <w:bookmarkStart w:id="86" w:name="_Toc300671952"/>
      <w:r>
        <w:rPr>
          <w:rFonts w:hint="eastAsia" w:ascii="仿宋_GB2312" w:hAnsi="宋体" w:eastAsia="仿宋_GB2312" w:cs="宋体"/>
          <w:color w:val="000000" w:themeColor="text1"/>
          <w:kern w:val="0"/>
          <w:sz w:val="24"/>
          <w:szCs w:val="24"/>
          <w:highlight w:val="none"/>
          <w14:textFill>
            <w14:solidFill>
              <w14:schemeClr w14:val="tx1"/>
            </w14:solidFill>
          </w14:textFill>
        </w:rPr>
        <w:t>四、违约责任</w:t>
      </w:r>
      <w:bookmarkEnd w:id="86"/>
    </w:p>
    <w:p w14:paraId="55FFC9B1">
      <w:pPr>
        <w:widowControl/>
        <w:spacing w:line="400" w:lineRule="exact"/>
        <w:ind w:firstLine="480" w:firstLineChars="200"/>
        <w:rPr>
          <w:rFonts w:ascii="仿宋_GB2312" w:hAnsi="宋体" w:eastAsia="仿宋_GB2312" w:cs="宋体"/>
          <w:color w:val="000000" w:themeColor="text1"/>
          <w:kern w:val="0"/>
          <w:sz w:val="24"/>
          <w:szCs w:val="24"/>
          <w:highlight w:val="none"/>
          <w14:textFill>
            <w14:solidFill>
              <w14:schemeClr w14:val="tx1"/>
            </w14:solidFill>
          </w14:textFill>
        </w:rPr>
      </w:pPr>
      <w:r>
        <w:rPr>
          <w:rFonts w:hint="eastAsia" w:ascii="仿宋_GB2312" w:hAnsi="宋体" w:eastAsia="仿宋_GB2312" w:cs="宋体"/>
          <w:color w:val="000000" w:themeColor="text1"/>
          <w:kern w:val="0"/>
          <w:sz w:val="24"/>
          <w:szCs w:val="24"/>
          <w:highlight w:val="none"/>
          <w14:textFill>
            <w14:solidFill>
              <w14:schemeClr w14:val="tx1"/>
            </w14:solidFill>
          </w14:textFill>
        </w:rPr>
        <w:t>4.1甲方工作人员有违反本责任书第一、二条责任行为的，依据有关法律及甲方《员工守则》，提交甲方纪检部门进行处理。</w:t>
      </w:r>
    </w:p>
    <w:p w14:paraId="302DAB8E">
      <w:pPr>
        <w:widowControl/>
        <w:spacing w:line="400" w:lineRule="exact"/>
        <w:ind w:firstLine="480" w:firstLineChars="200"/>
        <w:rPr>
          <w:rFonts w:ascii="仿宋_GB2312" w:hAnsi="宋体" w:eastAsia="仿宋_GB2312" w:cs="宋体"/>
          <w:color w:val="000000" w:themeColor="text1"/>
          <w:kern w:val="0"/>
          <w:sz w:val="24"/>
          <w:szCs w:val="24"/>
          <w:highlight w:val="none"/>
          <w14:textFill>
            <w14:solidFill>
              <w14:schemeClr w14:val="tx1"/>
            </w14:solidFill>
          </w14:textFill>
        </w:rPr>
      </w:pPr>
      <w:r>
        <w:rPr>
          <w:rFonts w:hint="eastAsia" w:ascii="仿宋_GB2312" w:hAnsi="宋体" w:eastAsia="仿宋_GB2312" w:cs="宋体"/>
          <w:color w:val="000000" w:themeColor="text1"/>
          <w:kern w:val="0"/>
          <w:sz w:val="24"/>
          <w:szCs w:val="24"/>
          <w:highlight w:val="none"/>
          <w14:textFill>
            <w14:solidFill>
              <w14:schemeClr w14:val="tx1"/>
            </w14:solidFill>
          </w14:textFill>
        </w:rPr>
        <w:t>4.2乙方工作人员有违反本责任书第一、三条责任行为的，依据有关法律法规处理；向甲方行贿或给甲方单位造成经济损失的，按照受贿金额或损失金额的5-10倍进行处罚</w:t>
      </w:r>
      <w:r>
        <w:rPr>
          <w:rFonts w:hint="eastAsia" w:ascii="仿宋_GB2312" w:hAnsi="宋体" w:eastAsia="仿宋_GB2312"/>
          <w:color w:val="000000" w:themeColor="text1"/>
          <w:sz w:val="24"/>
          <w:szCs w:val="24"/>
          <w:highlight w:val="none"/>
          <w14:textFill>
            <w14:solidFill>
              <w14:schemeClr w14:val="tx1"/>
            </w14:solidFill>
          </w14:textFill>
        </w:rPr>
        <w:t>，立即清除出场，终止合同执行，给甲方造成经济损失的应予以赔偿，同时纳入供应商黑名单；如乙方和甲方的员工勾结虚增结算款，则按照虚增款项的5倍扣减乙方应结算的款项；如发现乙方接受甲方人员要求安排甲方人员亲友在乙方工作，违者除令被安插人员在两天内退出外，并对责任人按每人每次1000元给予</w:t>
      </w:r>
      <w:r>
        <w:rPr>
          <w:rFonts w:hint="eastAsia" w:ascii="仿宋_GB2312" w:hAnsi="宋体" w:eastAsia="仿宋_GB2312" w:cs="Times New Roman"/>
          <w:color w:val="000000" w:themeColor="text1"/>
          <w:sz w:val="24"/>
          <w:szCs w:val="24"/>
          <w:highlight w:val="none"/>
          <w14:textFill>
            <w14:solidFill>
              <w14:schemeClr w14:val="tx1"/>
            </w14:solidFill>
          </w14:textFill>
        </w:rPr>
        <w:t>罚款。</w:t>
      </w:r>
    </w:p>
    <w:p w14:paraId="2D9EBB7C">
      <w:pPr>
        <w:widowControl/>
        <w:spacing w:line="400" w:lineRule="exact"/>
        <w:ind w:firstLine="480" w:firstLineChars="200"/>
        <w:rPr>
          <w:rFonts w:ascii="仿宋_GB2312" w:hAnsi="宋体" w:eastAsia="仿宋_GB2312" w:cs="宋体"/>
          <w:color w:val="000000" w:themeColor="text1"/>
          <w:kern w:val="0"/>
          <w:sz w:val="24"/>
          <w:szCs w:val="24"/>
          <w:highlight w:val="none"/>
          <w14:textFill>
            <w14:solidFill>
              <w14:schemeClr w14:val="tx1"/>
            </w14:solidFill>
          </w14:textFill>
        </w:rPr>
      </w:pPr>
      <w:r>
        <w:rPr>
          <w:rFonts w:hint="eastAsia" w:ascii="仿宋_GB2312" w:hAnsi="宋体" w:eastAsia="仿宋_GB2312" w:cs="宋体"/>
          <w:color w:val="000000" w:themeColor="text1"/>
          <w:kern w:val="0"/>
          <w:sz w:val="24"/>
          <w:szCs w:val="24"/>
          <w:highlight w:val="none"/>
          <w14:textFill>
            <w14:solidFill>
              <w14:schemeClr w14:val="tx1"/>
            </w14:solidFill>
          </w14:textFill>
        </w:rPr>
        <w:t>4.3甲方工作人员不得接受可能影响公正执行公务的礼金（包括各种有价证券）、礼品馈赠。因各种原因未能拒收的，一律上交所属部门并登记。</w:t>
      </w:r>
    </w:p>
    <w:p w14:paraId="501773FD">
      <w:pPr>
        <w:spacing w:line="400" w:lineRule="exact"/>
        <w:ind w:firstLine="480" w:firstLineChars="200"/>
        <w:rPr>
          <w:rFonts w:ascii="仿宋_GB2312" w:hAnsi="宋体" w:eastAsia="仿宋_GB2312"/>
          <w:color w:val="000000" w:themeColor="text1"/>
          <w:sz w:val="24"/>
          <w:szCs w:val="24"/>
          <w:highlight w:val="none"/>
          <w14:textFill>
            <w14:solidFill>
              <w14:schemeClr w14:val="tx1"/>
            </w14:solidFill>
          </w14:textFill>
        </w:rPr>
      </w:pPr>
      <w:r>
        <w:rPr>
          <w:rFonts w:hint="eastAsia" w:ascii="仿宋_GB2312" w:hAnsi="宋体" w:eastAsia="仿宋_GB2312"/>
          <w:color w:val="000000" w:themeColor="text1"/>
          <w:sz w:val="24"/>
          <w:szCs w:val="24"/>
          <w:highlight w:val="none"/>
          <w14:textFill>
            <w14:solidFill>
              <w14:schemeClr w14:val="tx1"/>
            </w14:solidFill>
          </w14:textFill>
        </w:rPr>
        <w:t>4.4</w:t>
      </w:r>
      <w:r>
        <w:rPr>
          <w:rFonts w:hint="eastAsia" w:ascii="仿宋_GB2312" w:hAnsi="宋体" w:eastAsia="仿宋_GB2312" w:cs="宋体"/>
          <w:color w:val="000000" w:themeColor="text1"/>
          <w:kern w:val="0"/>
          <w:sz w:val="24"/>
          <w:szCs w:val="24"/>
          <w:highlight w:val="none"/>
          <w14:textFill>
            <w14:solidFill>
              <w14:schemeClr w14:val="tx1"/>
            </w14:solidFill>
          </w14:textFill>
        </w:rPr>
        <w:t>甲乙双方必须认真履行本协议，遵纪守法，相互监督，密切配合，共同搞好廉政建设。双方</w:t>
      </w:r>
      <w:r>
        <w:rPr>
          <w:rFonts w:hint="eastAsia" w:ascii="仿宋_GB2312" w:hAnsi="宋体" w:eastAsia="仿宋_GB2312"/>
          <w:color w:val="000000" w:themeColor="text1"/>
          <w:sz w:val="24"/>
          <w:szCs w:val="24"/>
          <w:highlight w:val="none"/>
          <w14:textFill>
            <w14:solidFill>
              <w14:schemeClr w14:val="tx1"/>
            </w14:solidFill>
          </w14:textFill>
        </w:rPr>
        <w:t>认可甲方建立不诚信合作方黑名单制度，如乙方发生向甲方员工的行贿行为、乙方和甲方的员工勾结虚增结算款项的行为，则该乙方进入甲方不诚信合作方黑名单，</w:t>
      </w:r>
      <w:r>
        <w:rPr>
          <w:rFonts w:hint="eastAsia" w:ascii="仿宋_GB2312" w:hAnsi="宋体" w:eastAsia="仿宋_GB2312" w:cs="宋体"/>
          <w:color w:val="000000" w:themeColor="text1"/>
          <w:kern w:val="0"/>
          <w:sz w:val="24"/>
          <w:szCs w:val="24"/>
          <w:highlight w:val="none"/>
          <w14:textFill>
            <w14:solidFill>
              <w14:schemeClr w14:val="tx1"/>
            </w14:solidFill>
          </w14:textFill>
        </w:rPr>
        <w:t>触犯刑律的，移交司法机关处理。</w:t>
      </w:r>
    </w:p>
    <w:p w14:paraId="367916A4">
      <w:pPr>
        <w:widowControl/>
        <w:spacing w:line="400" w:lineRule="exact"/>
        <w:ind w:firstLine="480" w:firstLineChars="200"/>
        <w:rPr>
          <w:rFonts w:hint="eastAsia" w:ascii="仿宋_GB2312" w:hAnsi="宋体" w:eastAsia="仿宋_GB2312" w:cs="宋体"/>
          <w:color w:val="000000" w:themeColor="text1"/>
          <w:kern w:val="0"/>
          <w:sz w:val="24"/>
          <w:szCs w:val="24"/>
          <w:highlight w:val="none"/>
          <w14:textFill>
            <w14:solidFill>
              <w14:schemeClr w14:val="tx1"/>
            </w14:solidFill>
          </w14:textFill>
        </w:rPr>
      </w:pPr>
      <w:r>
        <w:rPr>
          <w:rFonts w:hint="eastAsia" w:ascii="仿宋_GB2312" w:hAnsi="宋体" w:eastAsia="仿宋_GB2312" w:cs="宋体"/>
          <w:color w:val="000000" w:themeColor="text1"/>
          <w:kern w:val="0"/>
          <w:sz w:val="24"/>
          <w:szCs w:val="24"/>
          <w:highlight w:val="none"/>
          <w14:textFill>
            <w14:solidFill>
              <w14:schemeClr w14:val="tx1"/>
            </w14:solidFill>
          </w14:textFill>
        </w:rPr>
        <w:t>4.5本责任书作为主合同的组成部分，与本合同具有同等法律效力。生效条件与主合同相同。</w:t>
      </w:r>
    </w:p>
    <w:p w14:paraId="7DB55BF6">
      <w:pPr>
        <w:widowControl/>
        <w:spacing w:line="400" w:lineRule="exact"/>
        <w:ind w:firstLine="480" w:firstLineChars="200"/>
        <w:rPr>
          <w:rFonts w:hint="eastAsia" w:ascii="仿宋_GB2312" w:hAnsi="宋体" w:eastAsia="仿宋_GB2312" w:cs="宋体"/>
          <w:color w:val="000000" w:themeColor="text1"/>
          <w:kern w:val="0"/>
          <w:sz w:val="24"/>
          <w:szCs w:val="24"/>
          <w:highlight w:val="none"/>
          <w14:textFill>
            <w14:solidFill>
              <w14:schemeClr w14:val="tx1"/>
            </w14:solidFill>
          </w14:textFill>
        </w:rPr>
      </w:pPr>
      <w:r>
        <w:rPr>
          <w:rFonts w:hint="eastAsia" w:ascii="仿宋_GB2312" w:hAnsi="宋体" w:eastAsia="仿宋_GB2312" w:cs="宋体"/>
          <w:color w:val="000000" w:themeColor="text1"/>
          <w:kern w:val="0"/>
          <w:sz w:val="24"/>
          <w:szCs w:val="24"/>
          <w:highlight w:val="none"/>
          <w14:textFill>
            <w14:solidFill>
              <w14:schemeClr w14:val="tx1"/>
            </w14:solidFill>
          </w14:textFill>
        </w:rPr>
        <w:t>五、监督举报渠道</w:t>
      </w:r>
    </w:p>
    <w:p w14:paraId="68229878">
      <w:pPr>
        <w:widowControl/>
        <w:spacing w:line="400" w:lineRule="exact"/>
        <w:ind w:firstLine="480" w:firstLineChars="200"/>
        <w:rPr>
          <w:rFonts w:hint="eastAsia" w:ascii="仿宋_GB2312" w:hAnsi="宋体" w:eastAsia="仿宋_GB2312" w:cs="宋体"/>
          <w:color w:val="000000" w:themeColor="text1"/>
          <w:kern w:val="0"/>
          <w:sz w:val="24"/>
          <w:szCs w:val="24"/>
          <w:highlight w:val="none"/>
          <w14:textFill>
            <w14:solidFill>
              <w14:schemeClr w14:val="tx1"/>
            </w14:solidFill>
          </w14:textFill>
        </w:rPr>
      </w:pPr>
      <w:r>
        <w:rPr>
          <w:rFonts w:hint="eastAsia" w:ascii="仿宋_GB2312" w:hAnsi="宋体" w:eastAsia="仿宋_GB2312" w:cs="宋体"/>
          <w:color w:val="000000" w:themeColor="text1"/>
          <w:kern w:val="0"/>
          <w:sz w:val="24"/>
          <w:szCs w:val="24"/>
          <w:highlight w:val="none"/>
          <w14:textFill>
            <w14:solidFill>
              <w14:schemeClr w14:val="tx1"/>
            </w14:solidFill>
          </w14:textFill>
        </w:rPr>
        <w:t>5.1信访办公室</w:t>
      </w:r>
    </w:p>
    <w:p w14:paraId="6DEB5C96">
      <w:pPr>
        <w:widowControl/>
        <w:spacing w:line="400" w:lineRule="exact"/>
        <w:ind w:firstLine="480" w:firstLineChars="200"/>
        <w:rPr>
          <w:rFonts w:hint="eastAsia" w:ascii="仿宋_GB2312" w:hAnsi="宋体" w:eastAsia="仿宋_GB2312" w:cs="宋体"/>
          <w:color w:val="000000" w:themeColor="text1"/>
          <w:kern w:val="0"/>
          <w:sz w:val="24"/>
          <w:szCs w:val="24"/>
          <w:highlight w:val="none"/>
          <w14:textFill>
            <w14:solidFill>
              <w14:schemeClr w14:val="tx1"/>
            </w14:solidFill>
          </w14:textFill>
        </w:rPr>
      </w:pPr>
      <w:r>
        <w:rPr>
          <w:rFonts w:hint="eastAsia" w:ascii="仿宋_GB2312" w:hAnsi="宋体" w:eastAsia="仿宋_GB2312" w:cs="宋体"/>
          <w:color w:val="000000" w:themeColor="text1"/>
          <w:kern w:val="0"/>
          <w:sz w:val="24"/>
          <w:szCs w:val="24"/>
          <w:highlight w:val="none"/>
          <w14:textFill>
            <w14:solidFill>
              <w14:schemeClr w14:val="tx1"/>
            </w14:solidFill>
          </w14:textFill>
        </w:rPr>
        <w:t>来信地址：石家庄市建设南大街38号中建路桥集团有限公司信访办公室（收）</w:t>
      </w:r>
    </w:p>
    <w:p w14:paraId="651C8BAE">
      <w:pPr>
        <w:widowControl/>
        <w:spacing w:line="400" w:lineRule="exact"/>
        <w:ind w:firstLine="480" w:firstLineChars="200"/>
        <w:rPr>
          <w:rFonts w:hint="eastAsia" w:ascii="仿宋_GB2312" w:hAnsi="宋体" w:eastAsia="仿宋_GB2312" w:cs="宋体"/>
          <w:color w:val="000000" w:themeColor="text1"/>
          <w:kern w:val="0"/>
          <w:sz w:val="24"/>
          <w:szCs w:val="24"/>
          <w:highlight w:val="none"/>
          <w14:textFill>
            <w14:solidFill>
              <w14:schemeClr w14:val="tx1"/>
            </w14:solidFill>
          </w14:textFill>
        </w:rPr>
      </w:pPr>
      <w:r>
        <w:rPr>
          <w:rFonts w:hint="eastAsia" w:ascii="仿宋_GB2312" w:hAnsi="宋体" w:eastAsia="仿宋_GB2312" w:cs="宋体"/>
          <w:color w:val="000000" w:themeColor="text1"/>
          <w:kern w:val="0"/>
          <w:sz w:val="24"/>
          <w:szCs w:val="24"/>
          <w:highlight w:val="none"/>
          <w14:textFill>
            <w14:solidFill>
              <w14:schemeClr w14:val="tx1"/>
            </w14:solidFill>
          </w14:textFill>
        </w:rPr>
        <w:t>邮编：050011</w:t>
      </w:r>
    </w:p>
    <w:p w14:paraId="156F4C67">
      <w:pPr>
        <w:widowControl/>
        <w:spacing w:line="400" w:lineRule="exact"/>
        <w:ind w:firstLine="480" w:firstLineChars="200"/>
        <w:rPr>
          <w:rFonts w:hint="eastAsia" w:ascii="仿宋_GB2312" w:hAnsi="宋体" w:eastAsia="仿宋_GB2312" w:cs="宋体"/>
          <w:color w:val="000000" w:themeColor="text1"/>
          <w:kern w:val="0"/>
          <w:sz w:val="24"/>
          <w:szCs w:val="24"/>
          <w:highlight w:val="none"/>
          <w14:textFill>
            <w14:solidFill>
              <w14:schemeClr w14:val="tx1"/>
            </w14:solidFill>
          </w14:textFill>
        </w:rPr>
      </w:pPr>
      <w:r>
        <w:rPr>
          <w:rFonts w:hint="eastAsia" w:ascii="仿宋_GB2312" w:hAnsi="宋体" w:eastAsia="仿宋_GB2312" w:cs="宋体"/>
          <w:color w:val="000000" w:themeColor="text1"/>
          <w:kern w:val="0"/>
          <w:sz w:val="24"/>
          <w:szCs w:val="24"/>
          <w:highlight w:val="none"/>
          <w14:textFill>
            <w14:solidFill>
              <w14:schemeClr w14:val="tx1"/>
            </w14:solidFill>
          </w14:textFill>
        </w:rPr>
        <w:t>电话：0311-66538159</w:t>
      </w:r>
    </w:p>
    <w:p w14:paraId="79F90D21">
      <w:pPr>
        <w:widowControl/>
        <w:spacing w:line="400" w:lineRule="exact"/>
        <w:ind w:firstLine="480" w:firstLineChars="200"/>
        <w:rPr>
          <w:rFonts w:hint="eastAsia" w:ascii="仿宋_GB2312" w:hAnsi="宋体" w:eastAsia="仿宋_GB2312" w:cs="宋体"/>
          <w:color w:val="000000" w:themeColor="text1"/>
          <w:kern w:val="0"/>
          <w:sz w:val="24"/>
          <w:szCs w:val="24"/>
          <w:highlight w:val="none"/>
          <w14:textFill>
            <w14:solidFill>
              <w14:schemeClr w14:val="tx1"/>
            </w14:solidFill>
          </w14:textFill>
        </w:rPr>
      </w:pPr>
      <w:r>
        <w:rPr>
          <w:rFonts w:hint="eastAsia" w:ascii="仿宋_GB2312" w:hAnsi="宋体" w:eastAsia="仿宋_GB2312" w:cs="宋体"/>
          <w:color w:val="000000" w:themeColor="text1"/>
          <w:kern w:val="0"/>
          <w:sz w:val="24"/>
          <w:szCs w:val="24"/>
          <w:highlight w:val="none"/>
          <w14:textFill>
            <w14:solidFill>
              <w14:schemeClr w14:val="tx1"/>
            </w14:solidFill>
          </w14:textFill>
        </w:rPr>
        <w:t>电子邮箱：sinorbbg@cscec.com</w:t>
      </w:r>
    </w:p>
    <w:p w14:paraId="3372FB7D">
      <w:pPr>
        <w:widowControl/>
        <w:spacing w:line="400" w:lineRule="exact"/>
        <w:ind w:firstLine="480" w:firstLineChars="200"/>
        <w:rPr>
          <w:rFonts w:hint="eastAsia" w:ascii="仿宋_GB2312" w:hAnsi="宋体" w:eastAsia="仿宋_GB2312" w:cs="宋体"/>
          <w:color w:val="000000" w:themeColor="text1"/>
          <w:kern w:val="0"/>
          <w:sz w:val="24"/>
          <w:szCs w:val="24"/>
          <w:highlight w:val="none"/>
          <w14:textFill>
            <w14:solidFill>
              <w14:schemeClr w14:val="tx1"/>
            </w14:solidFill>
          </w14:textFill>
        </w:rPr>
      </w:pPr>
      <w:r>
        <w:rPr>
          <w:rFonts w:hint="eastAsia" w:ascii="仿宋_GB2312" w:hAnsi="宋体" w:eastAsia="仿宋_GB2312" w:cs="宋体"/>
          <w:color w:val="000000" w:themeColor="text1"/>
          <w:kern w:val="0"/>
          <w:sz w:val="24"/>
          <w:szCs w:val="24"/>
          <w:highlight w:val="none"/>
          <w14:textFill>
            <w14:solidFill>
              <w14:schemeClr w14:val="tx1"/>
            </w14:solidFill>
          </w14:textFill>
        </w:rPr>
        <w:t>5.2纪检监督工作部</w:t>
      </w:r>
    </w:p>
    <w:p w14:paraId="48712F79">
      <w:pPr>
        <w:widowControl/>
        <w:spacing w:line="400" w:lineRule="exact"/>
        <w:ind w:firstLine="480" w:firstLineChars="200"/>
        <w:rPr>
          <w:rFonts w:hint="eastAsia" w:ascii="仿宋_GB2312" w:hAnsi="宋体" w:eastAsia="仿宋_GB2312" w:cs="宋体"/>
          <w:color w:val="000000" w:themeColor="text1"/>
          <w:kern w:val="0"/>
          <w:sz w:val="24"/>
          <w:szCs w:val="24"/>
          <w:highlight w:val="none"/>
          <w14:textFill>
            <w14:solidFill>
              <w14:schemeClr w14:val="tx1"/>
            </w14:solidFill>
          </w14:textFill>
        </w:rPr>
      </w:pPr>
      <w:r>
        <w:rPr>
          <w:rFonts w:hint="eastAsia" w:ascii="仿宋_GB2312" w:hAnsi="宋体" w:eastAsia="仿宋_GB2312" w:cs="宋体"/>
          <w:color w:val="000000" w:themeColor="text1"/>
          <w:kern w:val="0"/>
          <w:sz w:val="24"/>
          <w:szCs w:val="24"/>
          <w:highlight w:val="none"/>
          <w14:textFill>
            <w14:solidFill>
              <w14:schemeClr w14:val="tx1"/>
            </w14:solidFill>
          </w14:textFill>
        </w:rPr>
        <w:t>来信地址：石家庄市建设南大街38号中建路桥集团有限公司纪检监督工作部（收）</w:t>
      </w:r>
    </w:p>
    <w:p w14:paraId="21774485">
      <w:pPr>
        <w:widowControl/>
        <w:spacing w:line="400" w:lineRule="exact"/>
        <w:ind w:firstLine="480" w:firstLineChars="200"/>
        <w:rPr>
          <w:rFonts w:hint="eastAsia" w:ascii="仿宋_GB2312" w:hAnsi="宋体" w:eastAsia="仿宋_GB2312" w:cs="宋体"/>
          <w:color w:val="000000" w:themeColor="text1"/>
          <w:kern w:val="0"/>
          <w:sz w:val="24"/>
          <w:szCs w:val="24"/>
          <w:highlight w:val="none"/>
          <w14:textFill>
            <w14:solidFill>
              <w14:schemeClr w14:val="tx1"/>
            </w14:solidFill>
          </w14:textFill>
        </w:rPr>
      </w:pPr>
      <w:r>
        <w:rPr>
          <w:rFonts w:hint="eastAsia" w:ascii="仿宋_GB2312" w:hAnsi="宋体" w:eastAsia="仿宋_GB2312" w:cs="宋体"/>
          <w:color w:val="000000" w:themeColor="text1"/>
          <w:kern w:val="0"/>
          <w:sz w:val="24"/>
          <w:szCs w:val="24"/>
          <w:highlight w:val="none"/>
          <w14:textFill>
            <w14:solidFill>
              <w14:schemeClr w14:val="tx1"/>
            </w14:solidFill>
          </w14:textFill>
        </w:rPr>
        <w:t>邮编：050011</w:t>
      </w:r>
    </w:p>
    <w:p w14:paraId="006CAAF7">
      <w:pPr>
        <w:widowControl/>
        <w:spacing w:line="400" w:lineRule="exact"/>
        <w:ind w:firstLine="480" w:firstLineChars="200"/>
        <w:rPr>
          <w:rFonts w:hint="eastAsia" w:ascii="仿宋_GB2312" w:hAnsi="宋体" w:eastAsia="仿宋_GB2312" w:cs="宋体"/>
          <w:color w:val="000000" w:themeColor="text1"/>
          <w:kern w:val="0"/>
          <w:sz w:val="24"/>
          <w:szCs w:val="24"/>
          <w:highlight w:val="none"/>
          <w14:textFill>
            <w14:solidFill>
              <w14:schemeClr w14:val="tx1"/>
            </w14:solidFill>
          </w14:textFill>
        </w:rPr>
      </w:pPr>
      <w:r>
        <w:rPr>
          <w:rFonts w:hint="eastAsia" w:ascii="仿宋_GB2312" w:hAnsi="宋体" w:eastAsia="仿宋_GB2312" w:cs="宋体"/>
          <w:color w:val="000000" w:themeColor="text1"/>
          <w:kern w:val="0"/>
          <w:sz w:val="24"/>
          <w:szCs w:val="24"/>
          <w:highlight w:val="none"/>
          <w14:textFill>
            <w14:solidFill>
              <w14:schemeClr w14:val="tx1"/>
            </w14:solidFill>
          </w14:textFill>
        </w:rPr>
        <w:t>电话：0311-66538173</w:t>
      </w:r>
    </w:p>
    <w:p w14:paraId="417A90BF">
      <w:pPr>
        <w:widowControl/>
        <w:spacing w:line="400" w:lineRule="exact"/>
        <w:ind w:firstLine="480" w:firstLineChars="200"/>
        <w:rPr>
          <w:rFonts w:hint="eastAsia" w:ascii="仿宋_GB2312" w:hAnsi="宋体" w:eastAsia="仿宋_GB2312" w:cs="宋体"/>
          <w:color w:val="000000" w:themeColor="text1"/>
          <w:kern w:val="0"/>
          <w:sz w:val="24"/>
          <w:szCs w:val="24"/>
          <w:highlight w:val="none"/>
          <w14:textFill>
            <w14:solidFill>
              <w14:schemeClr w14:val="tx1"/>
            </w14:solidFill>
          </w14:textFill>
        </w:rPr>
      </w:pPr>
      <w:r>
        <w:rPr>
          <w:rFonts w:hint="eastAsia" w:ascii="仿宋_GB2312" w:hAnsi="宋体" w:eastAsia="仿宋_GB2312" w:cs="宋体"/>
          <w:color w:val="000000" w:themeColor="text1"/>
          <w:kern w:val="0"/>
          <w:sz w:val="24"/>
          <w:szCs w:val="24"/>
          <w:highlight w:val="none"/>
          <w14:textFill>
            <w14:solidFill>
              <w14:schemeClr w14:val="tx1"/>
            </w14:solidFill>
          </w14:textFill>
        </w:rPr>
        <w:t>电子邮箱：sinorbjc@cscec.com</w:t>
      </w:r>
    </w:p>
    <w:p w14:paraId="7072F1C9">
      <w:pPr>
        <w:widowControl/>
        <w:spacing w:line="400" w:lineRule="exact"/>
        <w:ind w:firstLine="480" w:firstLineChars="200"/>
        <w:rPr>
          <w:rFonts w:ascii="仿宋_GB2312" w:hAnsi="宋体" w:eastAsia="仿宋_GB2312" w:cs="宋体"/>
          <w:color w:val="000000" w:themeColor="text1"/>
          <w:kern w:val="0"/>
          <w:sz w:val="24"/>
          <w:szCs w:val="24"/>
          <w:highlight w:val="none"/>
          <w14:textFill>
            <w14:solidFill>
              <w14:schemeClr w14:val="tx1"/>
            </w14:solidFill>
          </w14:textFill>
        </w:rPr>
      </w:pPr>
      <w:r>
        <w:rPr>
          <w:rFonts w:hint="eastAsia" w:ascii="仿宋_GB2312" w:hAnsi="宋体" w:eastAsia="仿宋_GB2312" w:cs="宋体"/>
          <w:color w:val="000000" w:themeColor="text1"/>
          <w:kern w:val="0"/>
          <w:sz w:val="24"/>
          <w:szCs w:val="24"/>
          <w:highlight w:val="none"/>
          <w:lang w:val="en-US" w:eastAsia="zh-CN"/>
          <w14:textFill>
            <w14:solidFill>
              <w14:schemeClr w14:val="tx1"/>
            </w14:solidFill>
          </w14:textFill>
        </w:rPr>
        <w:t>六</w:t>
      </w:r>
      <w:r>
        <w:rPr>
          <w:rFonts w:hint="eastAsia" w:ascii="仿宋_GB2312" w:hAnsi="宋体" w:eastAsia="仿宋_GB2312" w:cs="宋体"/>
          <w:color w:val="000000" w:themeColor="text1"/>
          <w:kern w:val="0"/>
          <w:sz w:val="24"/>
          <w:szCs w:val="24"/>
          <w:highlight w:val="none"/>
          <w14:textFill>
            <w14:solidFill>
              <w14:schemeClr w14:val="tx1"/>
            </w14:solidFill>
          </w14:textFill>
        </w:rPr>
        <w:t>、责任书有效期</w:t>
      </w:r>
    </w:p>
    <w:p w14:paraId="79CD07B7">
      <w:pPr>
        <w:widowControl/>
        <w:spacing w:line="400" w:lineRule="exact"/>
        <w:ind w:firstLine="480" w:firstLineChars="200"/>
        <w:rPr>
          <w:rFonts w:ascii="仿宋_GB2312" w:hAnsi="仿宋_GB2312" w:eastAsia="仿宋_GB2312" w:cs="仿宋_GB2312"/>
          <w:bCs/>
          <w:color w:val="000000" w:themeColor="text1"/>
          <w:sz w:val="24"/>
          <w:szCs w:val="24"/>
          <w:highlight w:val="none"/>
          <w14:textFill>
            <w14:solidFill>
              <w14:schemeClr w14:val="tx1"/>
            </w14:solidFill>
          </w14:textFill>
        </w:rPr>
      </w:pPr>
      <w:r>
        <w:rPr>
          <w:rFonts w:hint="eastAsia" w:ascii="仿宋_GB2312" w:hAnsi="宋体" w:eastAsia="仿宋_GB2312" w:cs="宋体"/>
          <w:color w:val="000000" w:themeColor="text1"/>
          <w:kern w:val="0"/>
          <w:sz w:val="24"/>
          <w:szCs w:val="24"/>
          <w:highlight w:val="none"/>
          <w14:textFill>
            <w14:solidFill>
              <w14:schemeClr w14:val="tx1"/>
            </w14:solidFill>
          </w14:textFill>
        </w:rPr>
        <w:t>本责任书的有效期为双方签署之日起至该工程项目竣工验收合格时止。</w:t>
      </w:r>
    </w:p>
    <w:p w14:paraId="02E12388">
      <w:pPr>
        <w:pStyle w:val="12"/>
        <w:spacing w:line="400" w:lineRule="exact"/>
        <w:ind w:firstLine="480" w:firstLineChars="200"/>
        <w:rPr>
          <w:rFonts w:hint="eastAsia" w:ascii="仿宋_GB2312" w:hAnsi="仿宋_GB2312" w:eastAsia="仿宋_GB2312" w:cs="仿宋_GB2312"/>
          <w:color w:val="000000" w:themeColor="text1"/>
          <w:sz w:val="24"/>
          <w:szCs w:val="24"/>
          <w:highlight w:val="none"/>
          <w14:textFill>
            <w14:solidFill>
              <w14:schemeClr w14:val="tx1"/>
            </w14:solidFill>
          </w14:textFill>
        </w:rPr>
      </w:pPr>
    </w:p>
    <w:p w14:paraId="238D7658">
      <w:pPr>
        <w:pStyle w:val="12"/>
        <w:spacing w:line="400" w:lineRule="exact"/>
        <w:ind w:firstLine="480" w:firstLineChars="200"/>
        <w:rPr>
          <w:rFonts w:hint="eastAsia" w:ascii="仿宋_GB2312" w:hAnsi="仿宋_GB2312" w:eastAsia="仿宋_GB2312" w:cs="仿宋_GB2312"/>
          <w:color w:val="000000" w:themeColor="text1"/>
          <w:sz w:val="24"/>
          <w:szCs w:val="24"/>
          <w:highlight w:val="none"/>
          <w14:textFill>
            <w14:solidFill>
              <w14:schemeClr w14:val="tx1"/>
            </w14:solidFill>
          </w14:textFill>
        </w:rPr>
      </w:pPr>
    </w:p>
    <w:p w14:paraId="5BB5FA55">
      <w:pPr>
        <w:pStyle w:val="12"/>
        <w:spacing w:line="400" w:lineRule="exact"/>
        <w:ind w:firstLine="480" w:firstLineChars="200"/>
        <w:rPr>
          <w:rFonts w:ascii="仿宋_GB2312" w:hAnsi="仿宋_GB2312" w:eastAsia="仿宋_GB2312" w:cs="仿宋_GB2312"/>
          <w:bCs/>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 甲方（盖章）：                        乙方（公章）：</w:t>
      </w:r>
    </w:p>
    <w:p w14:paraId="52D60A99">
      <w:pPr>
        <w:autoSpaceDE w:val="0"/>
        <w:autoSpaceDN w:val="0"/>
        <w:adjustRightInd w:val="0"/>
        <w:spacing w:line="400" w:lineRule="atLeast"/>
        <w:ind w:firstLine="720" w:firstLineChars="300"/>
        <w:rPr>
          <w:rFonts w:ascii="仿宋_GB2312" w:hAnsi="仿宋_GB2312" w:eastAsia="仿宋_GB2312" w:cs="仿宋_GB2312"/>
          <w:color w:val="000000" w:themeColor="text1"/>
          <w:kern w:val="0"/>
          <w:sz w:val="24"/>
          <w:szCs w:val="24"/>
          <w:highlight w:val="none"/>
          <w14:textFill>
            <w14:solidFill>
              <w14:schemeClr w14:val="tx1"/>
            </w14:solidFill>
          </w14:textFill>
        </w:rPr>
      </w:pPr>
      <w:r>
        <w:rPr>
          <w:rFonts w:hint="eastAsia" w:ascii="仿宋_GB2312" w:hAnsi="仿宋_GB2312" w:eastAsia="仿宋_GB2312" w:cs="仿宋_GB2312"/>
          <w:color w:val="000000" w:themeColor="text1"/>
          <w:kern w:val="0"/>
          <w:sz w:val="24"/>
          <w:szCs w:val="24"/>
          <w:highlight w:val="none"/>
          <w14:textFill>
            <w14:solidFill>
              <w14:schemeClr w14:val="tx1"/>
            </w14:solidFill>
          </w14:textFill>
        </w:rPr>
        <w:t>法定代表人：                           法定代表人：</w:t>
      </w:r>
    </w:p>
    <w:p w14:paraId="29F6BED7">
      <w:pPr>
        <w:autoSpaceDE w:val="0"/>
        <w:autoSpaceDN w:val="0"/>
        <w:adjustRightInd w:val="0"/>
        <w:spacing w:line="400" w:lineRule="atLeast"/>
        <w:ind w:firstLine="480" w:firstLineChars="200"/>
        <w:rPr>
          <w:rFonts w:ascii="仿宋_GB2312" w:hAnsi="仿宋_GB2312" w:eastAsia="仿宋_GB2312" w:cs="仿宋_GB2312"/>
          <w:color w:val="000000" w:themeColor="text1"/>
          <w:kern w:val="0"/>
          <w:sz w:val="24"/>
          <w:szCs w:val="24"/>
          <w:highlight w:val="none"/>
          <w14:textFill>
            <w14:solidFill>
              <w14:schemeClr w14:val="tx1"/>
            </w14:solidFill>
          </w14:textFill>
        </w:rPr>
      </w:pPr>
      <w:r>
        <w:rPr>
          <w:rFonts w:hint="eastAsia" w:ascii="仿宋_GB2312" w:hAnsi="仿宋_GB2312" w:eastAsia="仿宋_GB2312" w:cs="仿宋_GB2312"/>
          <w:color w:val="000000" w:themeColor="text1"/>
          <w:kern w:val="0"/>
          <w:sz w:val="24"/>
          <w:szCs w:val="24"/>
          <w:highlight w:val="none"/>
          <w14:textFill>
            <w14:solidFill>
              <w14:schemeClr w14:val="tx1"/>
            </w14:solidFill>
          </w14:textFill>
        </w:rPr>
        <w:t xml:space="preserve">   </w:t>
      </w:r>
      <w:r>
        <w:rPr>
          <w:rFonts w:hint="eastAsia" w:ascii="仿宋_GB2312" w:hAnsi="仿宋_GB2312" w:eastAsia="仿宋_GB2312" w:cs="仿宋_GB2312"/>
          <w:color w:val="000000" w:themeColor="text1"/>
          <w:kern w:val="0"/>
          <w:sz w:val="24"/>
          <w:szCs w:val="24"/>
          <w:highlight w:val="non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kern w:val="0"/>
          <w:sz w:val="24"/>
          <w:szCs w:val="24"/>
          <w:highlight w:val="none"/>
          <w14:textFill>
            <w14:solidFill>
              <w14:schemeClr w14:val="tx1"/>
            </w14:solidFill>
          </w14:textFill>
        </w:rPr>
        <w:t xml:space="preserve"> 或                                   </w:t>
      </w:r>
      <w:r>
        <w:rPr>
          <w:rFonts w:hint="eastAsia" w:ascii="仿宋_GB2312" w:hAnsi="仿宋_GB2312" w:eastAsia="仿宋_GB2312" w:cs="仿宋_GB2312"/>
          <w:color w:val="000000" w:themeColor="text1"/>
          <w:kern w:val="0"/>
          <w:sz w:val="24"/>
          <w:szCs w:val="24"/>
          <w:highlight w:val="non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kern w:val="0"/>
          <w:sz w:val="24"/>
          <w:szCs w:val="24"/>
          <w:highlight w:val="none"/>
          <w14:textFill>
            <w14:solidFill>
              <w14:schemeClr w14:val="tx1"/>
            </w14:solidFill>
          </w14:textFill>
        </w:rPr>
        <w:t xml:space="preserve"> 或</w:t>
      </w:r>
    </w:p>
    <w:p w14:paraId="60CC9CAA">
      <w:pPr>
        <w:autoSpaceDE w:val="0"/>
        <w:autoSpaceDN w:val="0"/>
        <w:adjustRightInd w:val="0"/>
        <w:spacing w:line="400" w:lineRule="atLeast"/>
        <w:ind w:firstLine="960" w:firstLineChars="400"/>
        <w:rPr>
          <w:rFonts w:ascii="仿宋_GB2312" w:hAnsi="仿宋_GB2312" w:eastAsia="仿宋_GB2312" w:cs="仿宋_GB2312"/>
          <w:color w:val="000000" w:themeColor="text1"/>
          <w:kern w:val="0"/>
          <w:sz w:val="24"/>
          <w:szCs w:val="24"/>
          <w:highlight w:val="none"/>
          <w14:textFill>
            <w14:solidFill>
              <w14:schemeClr w14:val="tx1"/>
            </w14:solidFill>
          </w14:textFill>
        </w:rPr>
      </w:pPr>
      <w:r>
        <w:rPr>
          <w:rFonts w:hint="eastAsia" w:ascii="仿宋_GB2312" w:hAnsi="仿宋_GB2312" w:eastAsia="仿宋_GB2312" w:cs="仿宋_GB2312"/>
          <w:color w:val="000000" w:themeColor="text1"/>
          <w:kern w:val="0"/>
          <w:sz w:val="24"/>
          <w:szCs w:val="24"/>
          <w:highlight w:val="none"/>
          <w:lang w:val="en-US" w:eastAsia="zh-CN"/>
          <w14:textFill>
            <w14:solidFill>
              <w14:schemeClr w14:val="tx1"/>
            </w14:solidFill>
          </w14:textFill>
        </w:rPr>
        <w:t>被委托</w:t>
      </w:r>
      <w:r>
        <w:rPr>
          <w:rFonts w:hint="eastAsia" w:ascii="仿宋_GB2312" w:hAnsi="仿宋_GB2312" w:eastAsia="仿宋_GB2312" w:cs="仿宋_GB2312"/>
          <w:color w:val="000000" w:themeColor="text1"/>
          <w:kern w:val="0"/>
          <w:sz w:val="24"/>
          <w:szCs w:val="24"/>
          <w:highlight w:val="none"/>
          <w14:textFill>
            <w14:solidFill>
              <w14:schemeClr w14:val="tx1"/>
            </w14:solidFill>
          </w14:textFill>
        </w:rPr>
        <w:t xml:space="preserve">人：                           </w:t>
      </w:r>
      <w:r>
        <w:rPr>
          <w:rFonts w:hint="eastAsia" w:ascii="仿宋_GB2312" w:hAnsi="仿宋_GB2312" w:eastAsia="仿宋_GB2312" w:cs="仿宋_GB2312"/>
          <w:color w:val="000000" w:themeColor="text1"/>
          <w:kern w:val="0"/>
          <w:sz w:val="24"/>
          <w:szCs w:val="24"/>
          <w:highlight w:val="none"/>
          <w:lang w:val="en-US" w:eastAsia="zh-CN"/>
          <w14:textFill>
            <w14:solidFill>
              <w14:schemeClr w14:val="tx1"/>
            </w14:solidFill>
          </w14:textFill>
        </w:rPr>
        <w:t>被</w:t>
      </w:r>
      <w:r>
        <w:rPr>
          <w:rFonts w:hint="eastAsia" w:ascii="仿宋_GB2312" w:hAnsi="仿宋_GB2312" w:eastAsia="仿宋_GB2312" w:cs="仿宋_GB2312"/>
          <w:color w:val="000000" w:themeColor="text1"/>
          <w:kern w:val="0"/>
          <w:sz w:val="24"/>
          <w:szCs w:val="24"/>
          <w:highlight w:val="none"/>
          <w14:textFill>
            <w14:solidFill>
              <w14:schemeClr w14:val="tx1"/>
            </w14:solidFill>
          </w14:textFill>
        </w:rPr>
        <w:t>委托人：</w:t>
      </w:r>
    </w:p>
    <w:p w14:paraId="4A35B870">
      <w:pPr>
        <w:spacing w:line="400" w:lineRule="exact"/>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  </w:t>
      </w:r>
      <w:r>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年  月  日    </w:t>
      </w:r>
      <w:r>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  年  月  日 </w:t>
      </w:r>
    </w:p>
    <w:p w14:paraId="1EABFBF1">
      <w:pPr>
        <w:spacing w:line="400" w:lineRule="exact"/>
        <w:ind w:firstLine="5040" w:firstLineChars="2100"/>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 </w:t>
      </w:r>
    </w:p>
    <w:p w14:paraId="56DB7284">
      <w:pPr>
        <w:rPr>
          <w:rFonts w:ascii="仿宋_GB2312" w:hAnsi="宋体" w:eastAsia="仿宋_GB2312"/>
          <w:color w:val="000000" w:themeColor="text1"/>
          <w:sz w:val="24"/>
          <w:highlight w:val="none"/>
          <w14:textFill>
            <w14:solidFill>
              <w14:schemeClr w14:val="tx1"/>
            </w14:solidFill>
          </w14:textFill>
        </w:rPr>
      </w:pPr>
      <w:r>
        <w:rPr>
          <w:rFonts w:ascii="仿宋_GB2312" w:hAnsi="宋体" w:eastAsia="仿宋_GB2312"/>
          <w:color w:val="000000" w:themeColor="text1"/>
          <w:sz w:val="24"/>
          <w:highlight w:val="none"/>
          <w14:textFill>
            <w14:solidFill>
              <w14:schemeClr w14:val="tx1"/>
            </w14:solidFill>
          </w14:textFill>
        </w:rPr>
        <w:br w:type="page"/>
      </w:r>
    </w:p>
    <w:p w14:paraId="6725C40D">
      <w:pPr>
        <w:pStyle w:val="12"/>
        <w:jc w:val="center"/>
        <w:outlineLvl w:val="0"/>
        <w:rPr>
          <w:rFonts w:ascii="仿宋" w:hAnsi="仿宋" w:eastAsia="仿宋" w:cs="仿宋"/>
          <w:b/>
          <w:bCs/>
          <w:color w:val="000000" w:themeColor="text1"/>
          <w:sz w:val="32"/>
          <w:szCs w:val="32"/>
          <w:highlight w:val="none"/>
          <w14:textFill>
            <w14:solidFill>
              <w14:schemeClr w14:val="tx1"/>
            </w14:solidFill>
          </w14:textFill>
        </w:rPr>
      </w:pPr>
      <w:bookmarkStart w:id="87" w:name="_Toc1869"/>
      <w:bookmarkStart w:id="88" w:name="_Toc18674"/>
      <w:bookmarkStart w:id="89" w:name="_Hlk127794870"/>
      <w:bookmarkStart w:id="90" w:name="_Toc1495"/>
      <w:r>
        <w:rPr>
          <w:rFonts w:hint="eastAsia" w:ascii="黑体" w:hAnsi="黑体" w:eastAsia="黑体" w:cs="黑体"/>
          <w:b/>
          <w:bCs/>
          <w:color w:val="000000" w:themeColor="text1"/>
          <w:sz w:val="32"/>
          <w:szCs w:val="32"/>
          <w:highlight w:val="none"/>
          <w14:textFill>
            <w14:solidFill>
              <w14:schemeClr w14:val="tx1"/>
            </w14:solidFill>
          </w14:textFill>
        </w:rPr>
        <w:t>第二部分 通用条款</w:t>
      </w:r>
      <w:bookmarkEnd w:id="87"/>
      <w:bookmarkEnd w:id="88"/>
      <w:bookmarkEnd w:id="89"/>
    </w:p>
    <w:p w14:paraId="7919CF64">
      <w:pPr>
        <w:pStyle w:val="12"/>
        <w:numPr>
          <w:ilvl w:val="0"/>
          <w:numId w:val="8"/>
        </w:numPr>
        <w:spacing w:before="120" w:beforeLines="50" w:after="120" w:afterLines="50" w:line="400" w:lineRule="atLeast"/>
        <w:ind w:firstLine="482"/>
        <w:outlineLvl w:val="0"/>
        <w:rPr>
          <w:rFonts w:ascii="仿宋_GB2312" w:hAnsi="仿宋_GB2312" w:eastAsia="仿宋_GB2312" w:cs="仿宋_GB2312"/>
          <w:b/>
          <w:bCs/>
          <w:color w:val="000000" w:themeColor="text1"/>
          <w:highlight w:val="none"/>
          <w14:textFill>
            <w14:solidFill>
              <w14:schemeClr w14:val="tx1"/>
            </w14:solidFill>
          </w14:textFill>
        </w:rPr>
      </w:pPr>
      <w:bookmarkStart w:id="91" w:name="_Toc11168"/>
      <w:bookmarkStart w:id="92" w:name="_Toc3066"/>
      <w:r>
        <w:rPr>
          <w:rFonts w:hint="eastAsia" w:ascii="仿宋_GB2312" w:hAnsi="仿宋_GB2312" w:eastAsia="仿宋_GB2312" w:cs="仿宋_GB2312"/>
          <w:b/>
          <w:bCs/>
          <w:color w:val="000000" w:themeColor="text1"/>
          <w:highlight w:val="none"/>
          <w14:textFill>
            <w14:solidFill>
              <w14:schemeClr w14:val="tx1"/>
            </w14:solidFill>
          </w14:textFill>
        </w:rPr>
        <w:t>货物合同附随义务</w:t>
      </w:r>
      <w:bookmarkEnd w:id="90"/>
      <w:bookmarkEnd w:id="91"/>
      <w:bookmarkEnd w:id="92"/>
    </w:p>
    <w:p w14:paraId="22BE5DF0">
      <w:pPr>
        <w:pStyle w:val="12"/>
        <w:spacing w:line="400" w:lineRule="atLeast"/>
        <w:ind w:firstLine="482" w:firstLineChars="200"/>
        <w:jc w:val="both"/>
        <w:rPr>
          <w:rFonts w:ascii="仿宋_GB2312" w:hAnsi="仿宋_GB2312" w:eastAsia="仿宋_GB2312" w:cs="仿宋_GB2312"/>
          <w:b/>
          <w:bCs/>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1.乙方义务</w:t>
      </w:r>
    </w:p>
    <w:p w14:paraId="2DC07B3B">
      <w:pPr>
        <w:pStyle w:val="12"/>
        <w:spacing w:line="400" w:lineRule="atLeast"/>
        <w:ind w:firstLine="482" w:firstLineChars="200"/>
        <w:jc w:val="both"/>
        <w:rPr>
          <w:rFonts w:ascii="仿宋_GB2312" w:hAnsi="仿宋_GB2312" w:eastAsia="仿宋_GB2312" w:cs="仿宋_GB2312"/>
          <w:b/>
          <w:bCs/>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1.1乙方合规义务</w:t>
      </w:r>
    </w:p>
    <w:p w14:paraId="76EDB5C5">
      <w:pPr>
        <w:pStyle w:val="12"/>
        <w:spacing w:line="400" w:lineRule="atLeast"/>
        <w:ind w:firstLine="482" w:firstLineChars="200"/>
        <w:jc w:val="both"/>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1.1.1合规开展行业竞争：</w:t>
      </w:r>
      <w:r>
        <w:rPr>
          <w:rFonts w:hint="eastAsia" w:ascii="仿宋_GB2312" w:hAnsi="仿宋_GB2312" w:eastAsia="仿宋_GB2312" w:cs="仿宋_GB2312"/>
          <w:color w:val="000000" w:themeColor="text1"/>
          <w:highlight w:val="none"/>
          <w14:textFill>
            <w14:solidFill>
              <w14:schemeClr w14:val="tx1"/>
            </w14:solidFill>
          </w14:textFill>
        </w:rPr>
        <w:t>积极防范和制止垄断行为，不实施任何市场排除、限制竞争行为；不组织经营者集中等违法垄断行为，不实施不正当竞争行为和不正当价格行为，不从事商誉诋毁等违法违规竞争行为。</w:t>
      </w:r>
    </w:p>
    <w:p w14:paraId="615E8F33">
      <w:pPr>
        <w:pStyle w:val="12"/>
        <w:spacing w:line="400" w:lineRule="atLeast"/>
        <w:ind w:firstLine="482" w:firstLineChars="200"/>
        <w:jc w:val="both"/>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1.1.2合规保障服务生产：</w:t>
      </w:r>
      <w:r>
        <w:rPr>
          <w:rFonts w:hint="eastAsia" w:ascii="仿宋_GB2312" w:hAnsi="仿宋_GB2312" w:eastAsia="仿宋_GB2312" w:cs="仿宋_GB2312"/>
          <w:color w:val="000000" w:themeColor="text1"/>
          <w:highlight w:val="none"/>
          <w14:textFill>
            <w14:solidFill>
              <w14:schemeClr w14:val="tx1"/>
            </w14:solidFill>
          </w14:textFill>
        </w:rPr>
        <w:t>恪守契约精神，严格按照合同约定时间和地点完成货物交付，全力保障项目物资设备供应需求。</w:t>
      </w:r>
    </w:p>
    <w:p w14:paraId="6656A45C">
      <w:pPr>
        <w:pStyle w:val="12"/>
        <w:spacing w:line="400" w:lineRule="atLeast"/>
        <w:ind w:firstLine="482" w:firstLineChars="200"/>
        <w:jc w:val="both"/>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1.1.3合规履行安全管控职责：</w:t>
      </w:r>
      <w:r>
        <w:rPr>
          <w:rFonts w:hint="eastAsia" w:ascii="仿宋_GB2312" w:hAnsi="仿宋_GB2312" w:eastAsia="仿宋_GB2312" w:cs="仿宋_GB2312"/>
          <w:color w:val="000000" w:themeColor="text1"/>
          <w:highlight w:val="none"/>
          <w14:textFill>
            <w14:solidFill>
              <w14:schemeClr w14:val="tx1"/>
            </w14:solidFill>
          </w14:textFill>
        </w:rPr>
        <w:t>自觉遵守甲方施工现场有关安全文明施工、环境和职业健康安全方面的要求，绝不出现违反安全法律和其他安全生产规章制度的行为，具体要求详见合同附件三。</w:t>
      </w:r>
    </w:p>
    <w:p w14:paraId="1107FDC5">
      <w:pPr>
        <w:pStyle w:val="12"/>
        <w:spacing w:line="400" w:lineRule="atLeast"/>
        <w:ind w:firstLine="482" w:firstLineChars="200"/>
        <w:jc w:val="both"/>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1.1.4合规履行质量管控职责：</w:t>
      </w:r>
      <w:r>
        <w:rPr>
          <w:rFonts w:hint="eastAsia" w:ascii="仿宋_GB2312" w:hAnsi="仿宋_GB2312" w:eastAsia="仿宋_GB2312" w:cs="仿宋_GB2312"/>
          <w:color w:val="000000" w:themeColor="text1"/>
          <w:highlight w:val="none"/>
          <w14:textFill>
            <w14:solidFill>
              <w14:schemeClr w14:val="tx1"/>
            </w14:solidFill>
          </w14:textFill>
        </w:rPr>
        <w:t>绝不供应质量不合格货物，加强自身各环节质量管理，绝不出现任何质量或数量瑕疵，严控假冒伪劣货物流通，严格按本合同约定质量标准和数量要求履约生产。</w:t>
      </w:r>
    </w:p>
    <w:p w14:paraId="09CB2BEE">
      <w:pPr>
        <w:pStyle w:val="12"/>
        <w:spacing w:line="400" w:lineRule="atLeast"/>
        <w:ind w:firstLine="482" w:firstLineChars="200"/>
        <w:jc w:val="both"/>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1.1.5合规依法纳税职责：</w:t>
      </w:r>
      <w:r>
        <w:rPr>
          <w:rFonts w:hint="eastAsia" w:ascii="仿宋_GB2312" w:hAnsi="仿宋_GB2312" w:eastAsia="仿宋_GB2312" w:cs="仿宋_GB2312"/>
          <w:color w:val="000000" w:themeColor="text1"/>
          <w:highlight w:val="none"/>
          <w14:textFill>
            <w14:solidFill>
              <w14:schemeClr w14:val="tx1"/>
            </w14:solidFill>
          </w14:textFill>
        </w:rPr>
        <w:t>严格按照国家税法规定，履行合法合规纳税义务，绝不虚开或伪造增值税专用发票。</w:t>
      </w:r>
    </w:p>
    <w:p w14:paraId="3A33BFCD">
      <w:pPr>
        <w:pStyle w:val="12"/>
        <w:spacing w:line="400" w:lineRule="atLeast"/>
        <w:ind w:firstLine="482" w:firstLineChars="200"/>
        <w:jc w:val="both"/>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1.1.6合规拥有货物所有权：</w:t>
      </w:r>
      <w:r>
        <w:rPr>
          <w:rFonts w:hint="eastAsia" w:ascii="仿宋_GB2312" w:hAnsi="仿宋_GB2312" w:eastAsia="仿宋_GB2312" w:cs="仿宋_GB2312"/>
          <w:color w:val="000000" w:themeColor="text1"/>
          <w:highlight w:val="none"/>
          <w14:textFill>
            <w14:solidFill>
              <w14:schemeClr w14:val="tx1"/>
            </w14:solidFill>
          </w14:textFill>
        </w:rPr>
        <w:t>保证对货物具有所有权或受委托代理销售权，并向甲方出具相关凭证。保证交付的货物不附有任何担保权、留置权或设定其他权利负担。</w:t>
      </w:r>
    </w:p>
    <w:p w14:paraId="0015A497">
      <w:pPr>
        <w:pStyle w:val="12"/>
        <w:spacing w:line="400" w:lineRule="atLeast"/>
        <w:ind w:firstLine="482" w:firstLineChars="200"/>
        <w:jc w:val="both"/>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1.1.7合规拥有</w:t>
      </w:r>
      <w:r>
        <w:rPr>
          <w:rFonts w:ascii="仿宋_GB2312" w:hAnsi="仿宋_GB2312" w:eastAsia="仿宋_GB2312" w:cs="仿宋_GB2312"/>
          <w:b/>
          <w:bCs/>
          <w:color w:val="000000" w:themeColor="text1"/>
          <w:highlight w:val="none"/>
          <w14:textFill>
            <w14:solidFill>
              <w14:schemeClr w14:val="tx1"/>
            </w14:solidFill>
          </w14:textFill>
        </w:rPr>
        <w:t>货物知识产权：</w:t>
      </w:r>
      <w:r>
        <w:rPr>
          <w:rFonts w:ascii="仿宋_GB2312" w:hAnsi="仿宋_GB2312" w:eastAsia="仿宋_GB2312" w:cs="仿宋_GB2312"/>
          <w:color w:val="000000" w:themeColor="text1"/>
          <w:highlight w:val="none"/>
          <w14:textFill>
            <w14:solidFill>
              <w14:schemeClr w14:val="tx1"/>
            </w14:solidFill>
          </w14:textFill>
        </w:rPr>
        <w:t>保障甲方在工程所在地使用其货物、服务及其任何部分不受到第三方关于侵犯专利权、商标权、工业设计权或其他知识产权的指控。任何第三方如果提起侵权诉讼，乙方负责与第三方交涉并承担由此而引起的一切法律责任和费用及赔偿甲方的一切损失。</w:t>
      </w:r>
    </w:p>
    <w:p w14:paraId="3CEDFEE9">
      <w:pPr>
        <w:pStyle w:val="12"/>
        <w:spacing w:line="400" w:lineRule="atLeast"/>
        <w:ind w:firstLine="482" w:firstLineChars="200"/>
        <w:jc w:val="both"/>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1.1.8合规开展廉洁共建职责：</w:t>
      </w:r>
      <w:r>
        <w:rPr>
          <w:rFonts w:hint="eastAsia" w:ascii="仿宋_GB2312" w:hAnsi="仿宋_GB2312" w:eastAsia="仿宋_GB2312" w:cs="仿宋_GB2312"/>
          <w:color w:val="000000" w:themeColor="text1"/>
          <w:highlight w:val="none"/>
          <w14:textFill>
            <w14:solidFill>
              <w14:schemeClr w14:val="tx1"/>
            </w14:solidFill>
          </w14:textFill>
        </w:rPr>
        <w:t xml:space="preserve">绝不从事任何形式的商业贿赂、利益输送及其他不正当交易；绝不以任何理由为甲方、相关单位或个人组织有可能影响公正执行公务的宴请、娱乐等活动，具体要求详见合同附件四。 </w:t>
      </w:r>
    </w:p>
    <w:p w14:paraId="1DDD6368">
      <w:pPr>
        <w:pStyle w:val="12"/>
        <w:spacing w:line="400" w:lineRule="atLeast"/>
        <w:ind w:firstLine="482" w:firstLineChars="200"/>
        <w:jc w:val="both"/>
        <w:rPr>
          <w:rFonts w:ascii="仿宋_GB2312" w:hAnsi="仿宋_GB2312" w:eastAsia="仿宋_GB2312" w:cs="仿宋_GB2312"/>
          <w:b/>
          <w:bCs/>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1.2乙方其他义务</w:t>
      </w:r>
    </w:p>
    <w:p w14:paraId="3DBAC1D8">
      <w:pPr>
        <w:pStyle w:val="12"/>
        <w:spacing w:line="400" w:lineRule="atLeast"/>
        <w:ind w:firstLine="482" w:firstLineChars="200"/>
        <w:jc w:val="both"/>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1.2.1增值服务：</w:t>
      </w:r>
      <w:r>
        <w:rPr>
          <w:rFonts w:hint="eastAsia" w:ascii="仿宋_GB2312" w:hAnsi="仿宋_GB2312" w:eastAsia="仿宋_GB2312" w:cs="仿宋_GB2312"/>
          <w:color w:val="000000" w:themeColor="text1"/>
          <w:highlight w:val="none"/>
          <w14:textFill>
            <w14:solidFill>
              <w14:schemeClr w14:val="tx1"/>
            </w14:solidFill>
          </w14:textFill>
        </w:rPr>
        <w:t>乙方应提供与货物配套的增值服务；包括但不限于技术支持、深化设计、现场培训及货物安装指导等工作，相应费用已在综合单价考虑。</w:t>
      </w:r>
    </w:p>
    <w:p w14:paraId="34AC8898">
      <w:pPr>
        <w:pStyle w:val="12"/>
        <w:spacing w:line="400" w:lineRule="atLeast"/>
        <w:ind w:firstLine="482" w:firstLineChars="200"/>
        <w:jc w:val="both"/>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1.2.2货物退货与置换：</w:t>
      </w:r>
      <w:r>
        <w:rPr>
          <w:rFonts w:hint="eastAsia" w:ascii="仿宋_GB2312" w:hAnsi="仿宋_GB2312" w:eastAsia="仿宋_GB2312" w:cs="仿宋_GB2312"/>
          <w:color w:val="000000" w:themeColor="text1"/>
          <w:highlight w:val="none"/>
          <w14:textFill>
            <w14:solidFill>
              <w14:schemeClr w14:val="tx1"/>
            </w14:solidFill>
          </w14:textFill>
        </w:rPr>
        <w:t>乙方供应的货物，根据不同情况甲方可选择直接向乙方退货或向乙方置换，乙方同意按甲方选择的方式办理：</w:t>
      </w:r>
    </w:p>
    <w:p w14:paraId="53E5DD8C">
      <w:pPr>
        <w:pStyle w:val="12"/>
        <w:spacing w:line="400" w:lineRule="atLeast"/>
        <w:ind w:firstLine="480" w:firstLineChars="200"/>
        <w:jc w:val="both"/>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（1）对于未使用且不影响二次销售的材料，若甲方选择退货，则双方按甲方退货后实际收到合格货物数量办理结算。</w:t>
      </w:r>
    </w:p>
    <w:p w14:paraId="01C65612">
      <w:pPr>
        <w:pStyle w:val="12"/>
        <w:spacing w:line="400" w:lineRule="atLeast"/>
        <w:ind w:firstLine="480" w:firstLineChars="200"/>
        <w:jc w:val="both"/>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（2）对于已使用的材料，若甲方选择置换，则双方协商估算原材料残值并置换等价值新材料。</w:t>
      </w:r>
    </w:p>
    <w:p w14:paraId="1A4BA0A4">
      <w:pPr>
        <w:pStyle w:val="12"/>
        <w:spacing w:line="400" w:lineRule="atLeast"/>
        <w:ind w:firstLine="480" w:firstLineChars="200"/>
        <w:jc w:val="both"/>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（3）甲方原因产生的退货或者置换产生的运输费用由</w:t>
      </w:r>
      <w:r>
        <w:rPr>
          <w:rFonts w:hint="eastAsia" w:ascii="仿宋_GB2312" w:hAnsi="仿宋_GB2312" w:eastAsia="仿宋_GB2312" w:cs="仿宋_GB2312"/>
          <w:color w:val="000000" w:themeColor="text1"/>
          <w:highlight w:val="none"/>
          <w:u w:val="single"/>
          <w14:textFill>
            <w14:solidFill>
              <w14:schemeClr w14:val="tx1"/>
            </w14:solidFill>
          </w14:textFill>
        </w:rPr>
        <w:t xml:space="preserve"> 甲方 </w:t>
      </w:r>
      <w:r>
        <w:rPr>
          <w:rFonts w:hint="eastAsia" w:ascii="仿宋_GB2312" w:hAnsi="仿宋_GB2312" w:eastAsia="仿宋_GB2312" w:cs="仿宋_GB2312"/>
          <w:color w:val="000000" w:themeColor="text1"/>
          <w:highlight w:val="none"/>
          <w14:textFill>
            <w14:solidFill>
              <w14:schemeClr w14:val="tx1"/>
            </w14:solidFill>
          </w14:textFill>
        </w:rPr>
        <w:t>承担，装卸费用由</w:t>
      </w:r>
      <w:r>
        <w:rPr>
          <w:rFonts w:hint="eastAsia" w:ascii="仿宋_GB2312" w:hAnsi="仿宋_GB2312" w:eastAsia="仿宋_GB2312" w:cs="仿宋_GB2312"/>
          <w:color w:val="000000" w:themeColor="text1"/>
          <w:highlight w:val="none"/>
          <w:u w:val="single"/>
          <w14:textFill>
            <w14:solidFill>
              <w14:schemeClr w14:val="tx1"/>
            </w14:solidFill>
          </w14:textFill>
        </w:rPr>
        <w:t xml:space="preserve"> 甲方 </w:t>
      </w:r>
      <w:r>
        <w:rPr>
          <w:rFonts w:hint="eastAsia" w:ascii="仿宋_GB2312" w:hAnsi="仿宋_GB2312" w:eastAsia="仿宋_GB2312" w:cs="仿宋_GB2312"/>
          <w:color w:val="000000" w:themeColor="text1"/>
          <w:highlight w:val="none"/>
          <w14:textFill>
            <w14:solidFill>
              <w14:schemeClr w14:val="tx1"/>
            </w14:solidFill>
          </w14:textFill>
        </w:rPr>
        <w:t>承担。</w:t>
      </w:r>
    </w:p>
    <w:p w14:paraId="0EEB862C">
      <w:pPr>
        <w:pStyle w:val="12"/>
        <w:spacing w:line="400" w:lineRule="atLeast"/>
        <w:ind w:firstLine="482" w:firstLineChars="200"/>
        <w:rPr>
          <w:rFonts w:ascii="仿宋_GB2312" w:hAnsi="仿宋_GB2312" w:eastAsia="仿宋_GB2312" w:cs="仿宋_GB2312"/>
          <w:b/>
          <w:bCs/>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2.甲方义务</w:t>
      </w:r>
    </w:p>
    <w:p w14:paraId="085EEE3F">
      <w:pPr>
        <w:pStyle w:val="12"/>
        <w:spacing w:line="400" w:lineRule="atLeast"/>
        <w:ind w:firstLine="482"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2.1材料需用计划：</w:t>
      </w:r>
      <w:r>
        <w:rPr>
          <w:rFonts w:hint="eastAsia" w:ascii="仿宋_GB2312" w:hAnsi="仿宋_GB2312" w:eastAsia="仿宋_GB2312" w:cs="仿宋_GB2312"/>
          <w:color w:val="000000" w:themeColor="text1"/>
          <w:highlight w:val="none"/>
          <w14:textFill>
            <w14:solidFill>
              <w14:schemeClr w14:val="tx1"/>
            </w14:solidFill>
          </w14:textFill>
        </w:rPr>
        <w:t>甲方合理制定材料总需用计划及日常需用计划，并按照合同约定提前通知乙方，给予乙方充足备货期。</w:t>
      </w:r>
    </w:p>
    <w:p w14:paraId="4645F5C0">
      <w:pPr>
        <w:pStyle w:val="12"/>
        <w:spacing w:line="400" w:lineRule="atLeast"/>
        <w:ind w:firstLine="482"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2.2配合材料卸货：</w:t>
      </w:r>
      <w:r>
        <w:rPr>
          <w:rFonts w:hint="eastAsia" w:ascii="仿宋_GB2312" w:hAnsi="仿宋_GB2312" w:eastAsia="仿宋_GB2312" w:cs="仿宋_GB2312"/>
          <w:color w:val="000000" w:themeColor="text1"/>
          <w:highlight w:val="none"/>
          <w14:textFill>
            <w14:solidFill>
              <w14:schemeClr w14:val="tx1"/>
            </w14:solidFill>
          </w14:textFill>
        </w:rPr>
        <w:t>乙方在材料运抵交货前2天通知甲方，甲方应在验收合格后，提供堆放场地或堆放仓库，</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配合乙方材料卸货</w:t>
      </w:r>
      <w:r>
        <w:rPr>
          <w:rFonts w:hint="eastAsia" w:ascii="仿宋_GB2312" w:hAnsi="仿宋_GB2312" w:eastAsia="仿宋_GB2312" w:cs="仿宋_GB2312"/>
          <w:color w:val="000000" w:themeColor="text1"/>
          <w:highlight w:val="none"/>
          <w14:textFill>
            <w14:solidFill>
              <w14:schemeClr w14:val="tx1"/>
            </w14:solidFill>
          </w14:textFill>
        </w:rPr>
        <w:t>。</w:t>
      </w:r>
    </w:p>
    <w:p w14:paraId="1AD9E98C">
      <w:pPr>
        <w:pStyle w:val="12"/>
        <w:numPr>
          <w:ilvl w:val="0"/>
          <w:numId w:val="8"/>
        </w:numPr>
        <w:spacing w:before="120" w:beforeLines="50" w:after="120" w:afterLines="50" w:line="400" w:lineRule="atLeast"/>
        <w:ind w:firstLine="482" w:firstLineChars="200"/>
        <w:outlineLvl w:val="0"/>
        <w:rPr>
          <w:rFonts w:ascii="仿宋_GB2312" w:hAnsi="仿宋_GB2312" w:eastAsia="仿宋_GB2312" w:cs="仿宋_GB2312"/>
          <w:b/>
          <w:bCs/>
          <w:color w:val="000000" w:themeColor="text1"/>
          <w:highlight w:val="none"/>
          <w14:textFill>
            <w14:solidFill>
              <w14:schemeClr w14:val="tx1"/>
            </w14:solidFill>
          </w14:textFill>
        </w:rPr>
      </w:pPr>
      <w:bookmarkStart w:id="93" w:name="_Toc965"/>
      <w:bookmarkStart w:id="94" w:name="_Toc13486"/>
      <w:bookmarkStart w:id="95" w:name="_Toc1717"/>
      <w:r>
        <w:rPr>
          <w:rFonts w:hint="eastAsia" w:ascii="仿宋_GB2312" w:hAnsi="仿宋_GB2312" w:eastAsia="仿宋_GB2312" w:cs="仿宋_GB2312"/>
          <w:b/>
          <w:bCs/>
          <w:color w:val="000000" w:themeColor="text1"/>
          <w:highlight w:val="none"/>
          <w14:textFill>
            <w14:solidFill>
              <w14:schemeClr w14:val="tx1"/>
            </w14:solidFill>
          </w14:textFill>
        </w:rPr>
        <w:t>货物违约责任</w:t>
      </w:r>
      <w:bookmarkEnd w:id="93"/>
      <w:bookmarkEnd w:id="94"/>
      <w:bookmarkEnd w:id="95"/>
    </w:p>
    <w:p w14:paraId="2DB8285B">
      <w:pPr>
        <w:pStyle w:val="12"/>
        <w:numPr>
          <w:ilvl w:val="0"/>
          <w:numId w:val="9"/>
        </w:numPr>
        <w:spacing w:line="400" w:lineRule="atLeast"/>
        <w:ind w:firstLine="482" w:firstLineChars="200"/>
        <w:rPr>
          <w:rFonts w:ascii="仿宋_GB2312" w:hAnsi="仿宋_GB2312" w:eastAsia="仿宋_GB2312" w:cs="仿宋_GB2312"/>
          <w:b/>
          <w:bCs/>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未按计划时间供应：</w:t>
      </w:r>
    </w:p>
    <w:p w14:paraId="5D58E301">
      <w:pPr>
        <w:pStyle w:val="12"/>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乙方未能按本合同第三条款中书面计划的要求供应材料，若因非甲方原因致使延期供货的次数超过</w:t>
      </w:r>
      <w:r>
        <w:rPr>
          <w:rFonts w:hint="eastAsia" w:ascii="仿宋_GB2312" w:hAnsi="仿宋_GB2312" w:eastAsia="仿宋_GB2312" w:cs="仿宋_GB2312"/>
          <w:color w:val="000000" w:themeColor="text1"/>
          <w:highlight w:val="none"/>
          <w:u w:val="single"/>
          <w14:textFill>
            <w14:solidFill>
              <w14:schemeClr w14:val="tx1"/>
            </w14:solidFill>
          </w14:textFill>
        </w:rPr>
        <w:t xml:space="preserve"> 2 次</w:t>
      </w:r>
      <w:r>
        <w:rPr>
          <w:rFonts w:hint="eastAsia" w:ascii="仿宋_GB2312" w:hAnsi="仿宋_GB2312" w:eastAsia="仿宋_GB2312" w:cs="仿宋_GB2312"/>
          <w:color w:val="000000" w:themeColor="text1"/>
          <w:highlight w:val="none"/>
          <w14:textFill>
            <w14:solidFill>
              <w14:schemeClr w14:val="tx1"/>
            </w14:solidFill>
          </w14:textFill>
        </w:rPr>
        <w:t>，乙方须向甲方支付违约金，</w:t>
      </w:r>
      <w:r>
        <w:rPr>
          <w:rFonts w:hint="eastAsia" w:ascii="仿宋_GB2312" w:hAnsi="仿宋_GB2312" w:eastAsia="仿宋_GB2312" w:cs="仿宋_GB2312"/>
          <w:b/>
          <w:bCs/>
          <w:color w:val="000000" w:themeColor="text1"/>
          <w:highlight w:val="none"/>
          <w14:textFill>
            <w14:solidFill>
              <w14:schemeClr w14:val="tx1"/>
            </w14:solidFill>
          </w14:textFill>
        </w:rPr>
        <w:t>违约金按照5000元每次计，且除违约金外乙方必须承担甲方项目实际工期损失及经济损失。</w:t>
      </w:r>
      <w:r>
        <w:rPr>
          <w:rFonts w:hint="eastAsia" w:ascii="仿宋_GB2312" w:hAnsi="仿宋_GB2312" w:eastAsia="仿宋_GB2312" w:cs="仿宋_GB2312"/>
          <w:color w:val="000000" w:themeColor="text1"/>
          <w:highlight w:val="none"/>
          <w14:textFill>
            <w14:solidFill>
              <w14:schemeClr w14:val="tx1"/>
            </w14:solidFill>
          </w14:textFill>
        </w:rPr>
        <w:t>乙方延迟交付超</w:t>
      </w:r>
      <w:r>
        <w:rPr>
          <w:rFonts w:hint="eastAsia" w:ascii="仿宋_GB2312" w:hAnsi="仿宋_GB2312" w:eastAsia="仿宋_GB2312" w:cs="仿宋_GB2312"/>
          <w:color w:val="000000" w:themeColor="text1"/>
          <w:highlight w:val="none"/>
          <w:u w:val="single"/>
          <w14:textFill>
            <w14:solidFill>
              <w14:schemeClr w14:val="tx1"/>
            </w14:solidFill>
          </w14:textFill>
        </w:rPr>
        <w:t xml:space="preserve"> 7 </w:t>
      </w:r>
      <w:r>
        <w:rPr>
          <w:rFonts w:hint="eastAsia" w:ascii="仿宋_GB2312" w:hAnsi="仿宋_GB2312" w:eastAsia="仿宋_GB2312" w:cs="仿宋_GB2312"/>
          <w:color w:val="000000" w:themeColor="text1"/>
          <w:highlight w:val="none"/>
          <w14:textFill>
            <w14:solidFill>
              <w14:schemeClr w14:val="tx1"/>
            </w14:solidFill>
          </w14:textFill>
        </w:rPr>
        <w:t>日的，甲方有权单方解除本合同。</w:t>
      </w:r>
    </w:p>
    <w:p w14:paraId="00DB2726">
      <w:pPr>
        <w:pStyle w:val="12"/>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乙方应全力保障项目的供应，因乙方资源组织问题引起的供应困难，乙方不能或不愿解决的，甲方可寻找其他供应单位代为解决，因此引起的甲方成本增加等相关费用在结算中扣除。</w:t>
      </w:r>
    </w:p>
    <w:p w14:paraId="4B46DFD0">
      <w:pPr>
        <w:pStyle w:val="12"/>
        <w:numPr>
          <w:ilvl w:val="0"/>
          <w:numId w:val="9"/>
        </w:numPr>
        <w:spacing w:line="400" w:lineRule="atLeast"/>
        <w:ind w:firstLine="482" w:firstLineChars="200"/>
        <w:rPr>
          <w:rFonts w:ascii="仿宋_GB2312" w:hAnsi="仿宋_GB2312" w:eastAsia="仿宋_GB2312" w:cs="仿宋_GB2312"/>
          <w:b/>
          <w:bCs/>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未按指定地点或方式供应：</w:t>
      </w:r>
    </w:p>
    <w:p w14:paraId="01D1DF02">
      <w:pPr>
        <w:pStyle w:val="12"/>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乙方不能按本合同约定地点、方式供货的，甲方有权要求乙方按照合同履行，乙方应按甲方要求立即组织更换或完善不符合的条件及要求，</w:t>
      </w:r>
      <w:r>
        <w:rPr>
          <w:rFonts w:hint="eastAsia" w:ascii="仿宋_GB2312" w:hAnsi="仿宋_GB2312" w:eastAsia="仿宋_GB2312" w:cs="仿宋_GB2312"/>
          <w:b/>
          <w:bCs/>
          <w:color w:val="000000" w:themeColor="text1"/>
          <w:highlight w:val="none"/>
          <w14:textFill>
            <w14:solidFill>
              <w14:schemeClr w14:val="tx1"/>
            </w14:solidFill>
          </w14:textFill>
        </w:rPr>
        <w:t>否则按照5000元每次承担违约金，且除违约金外乙方必须承担甲方项目实际工期损失及经济损失</w:t>
      </w:r>
      <w:r>
        <w:rPr>
          <w:rFonts w:hint="eastAsia" w:ascii="仿宋_GB2312" w:hAnsi="仿宋_GB2312" w:eastAsia="仿宋_GB2312" w:cs="仿宋_GB2312"/>
          <w:color w:val="000000" w:themeColor="text1"/>
          <w:highlight w:val="none"/>
          <w14:textFill>
            <w14:solidFill>
              <w14:schemeClr w14:val="tx1"/>
            </w14:solidFill>
          </w14:textFill>
        </w:rPr>
        <w:t>；经甲方书面要求整改一次仍无法达到合同要求时，甲方有权单方解除合同。</w:t>
      </w:r>
    </w:p>
    <w:p w14:paraId="38A3D360">
      <w:pPr>
        <w:pStyle w:val="12"/>
        <w:numPr>
          <w:ilvl w:val="0"/>
          <w:numId w:val="9"/>
        </w:numPr>
        <w:spacing w:line="400" w:lineRule="atLeast"/>
        <w:ind w:firstLine="482" w:firstLineChars="200"/>
        <w:rPr>
          <w:rFonts w:ascii="仿宋_GB2312" w:hAnsi="仿宋_GB2312" w:eastAsia="仿宋_GB2312" w:cs="仿宋_GB2312"/>
          <w:b/>
          <w:bCs/>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不符合约定货物质量标准：</w:t>
      </w:r>
    </w:p>
    <w:p w14:paraId="718ACBA8">
      <w:pPr>
        <w:pStyle w:val="12"/>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3.1乙方货物不符合本合同约定的质量标准的，甲方有权要求乙方继续履行合同，乙方应按甲方要求立即组织更换或完善不符合的条件及要求，</w:t>
      </w:r>
      <w:r>
        <w:rPr>
          <w:rFonts w:hint="eastAsia" w:ascii="仿宋_GB2312" w:hAnsi="仿宋_GB2312" w:eastAsia="仿宋_GB2312" w:cs="仿宋_GB2312"/>
          <w:b/>
          <w:bCs/>
          <w:color w:val="000000" w:themeColor="text1"/>
          <w:highlight w:val="none"/>
          <w14:textFill>
            <w14:solidFill>
              <w14:schemeClr w14:val="tx1"/>
            </w14:solidFill>
          </w14:textFill>
        </w:rPr>
        <w:t>并按照5000元每次承担违约金，且除违约金外乙方必须承担甲方项目实际工期损失及经济损失</w:t>
      </w:r>
      <w:r>
        <w:rPr>
          <w:rFonts w:hint="eastAsia" w:ascii="仿宋_GB2312" w:hAnsi="仿宋_GB2312" w:eastAsia="仿宋_GB2312" w:cs="仿宋_GB2312"/>
          <w:color w:val="000000" w:themeColor="text1"/>
          <w:highlight w:val="none"/>
          <w14:textFill>
            <w14:solidFill>
              <w14:schemeClr w14:val="tx1"/>
            </w14:solidFill>
          </w14:textFill>
        </w:rPr>
        <w:t>；经甲方书面要求整改一次仍无法达到合同要求时，甲方有权单方解除合同。</w:t>
      </w:r>
    </w:p>
    <w:p w14:paraId="5A41672A">
      <w:pPr>
        <w:pStyle w:val="12"/>
        <w:spacing w:line="400" w:lineRule="atLeast"/>
        <w:ind w:firstLine="480" w:firstLineChars="200"/>
        <w:rPr>
          <w:rFonts w:hint="eastAsia"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3.2乙方以任何欺骗、舞弊、盗窃等手段致使交付的货物存在质量或数量瑕疵的，除赔偿甲方对应货物的货款外，</w:t>
      </w:r>
      <w:r>
        <w:rPr>
          <w:rFonts w:hint="eastAsia" w:ascii="仿宋_GB2312" w:hAnsi="仿宋_GB2312" w:eastAsia="仿宋_GB2312" w:cs="仿宋_GB2312"/>
          <w:b/>
          <w:bCs/>
          <w:color w:val="000000" w:themeColor="text1"/>
          <w:highlight w:val="none"/>
          <w14:textFill>
            <w14:solidFill>
              <w14:schemeClr w14:val="tx1"/>
            </w14:solidFill>
          </w14:textFill>
        </w:rPr>
        <w:t>并按照5000元每次承担违约金，且除违约金外乙方必须承担甲方项目实际工期损失及经济损失</w:t>
      </w:r>
      <w:r>
        <w:rPr>
          <w:rFonts w:hint="eastAsia" w:ascii="仿宋_GB2312" w:hAnsi="仿宋_GB2312" w:eastAsia="仿宋_GB2312" w:cs="仿宋_GB2312"/>
          <w:color w:val="000000" w:themeColor="text1"/>
          <w:highlight w:val="none"/>
          <w14:textFill>
            <w14:solidFill>
              <w14:schemeClr w14:val="tx1"/>
            </w14:solidFill>
          </w14:textFill>
        </w:rPr>
        <w:t>。</w:t>
      </w:r>
    </w:p>
    <w:p w14:paraId="2798DACE">
      <w:pPr>
        <w:spacing w:line="400" w:lineRule="exact"/>
        <w:ind w:firstLine="480" w:firstLineChars="200"/>
        <w:rPr>
          <w:rFonts w:hint="eastAsia"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kern w:val="0"/>
          <w:sz w:val="24"/>
          <w:szCs w:val="24"/>
          <w:highlight w:val="none"/>
          <w:lang w:val="en-US" w:eastAsia="zh-CN" w:bidi="ar-SA"/>
          <w14:textFill>
            <w14:solidFill>
              <w14:schemeClr w14:val="tx1"/>
            </w14:solidFill>
          </w14:textFill>
        </w:rPr>
        <w:t>3.3如果由于物资质量问题，引起工程事故，导致甲方人员或财产损失的，乙方应承担相应的法律责任和经济责任，因此所导致的一切损失由乙方承担，该责任不因合同的终止而减小或解除。</w:t>
      </w:r>
    </w:p>
    <w:p w14:paraId="55385297">
      <w:pPr>
        <w:pStyle w:val="12"/>
        <w:numPr>
          <w:ilvl w:val="0"/>
          <w:numId w:val="9"/>
        </w:numPr>
        <w:spacing w:line="400" w:lineRule="atLeast"/>
        <w:ind w:firstLine="482" w:firstLineChars="200"/>
        <w:rPr>
          <w:rFonts w:ascii="仿宋_GB2312" w:hAnsi="仿宋_GB2312" w:eastAsia="仿宋_GB2312" w:cs="仿宋_GB2312"/>
          <w:b/>
          <w:bCs/>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未履行开具增值税发票义务：</w:t>
      </w:r>
    </w:p>
    <w:p w14:paraId="10BF4E9B">
      <w:pPr>
        <w:pStyle w:val="12"/>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乙方存在下列情形之一的，甲方有权单方解除合同，并有权直接从乙方应付款项中双倍扣除甲方未能抵扣的税金（扣除金额=不含税结算金额×</w:t>
      </w:r>
      <w:permStart w:id="112" w:edGrp="everyone"/>
      <w:r>
        <w:rPr>
          <w:rFonts w:hint="eastAsia" w:ascii="仿宋_GB2312" w:hAnsi="仿宋_GB2312" w:eastAsia="仿宋_GB2312" w:cs="仿宋_GB2312"/>
          <w:color w:val="000000" w:themeColor="text1"/>
          <w:highlight w:val="none"/>
          <w:u w:val="single"/>
          <w14:textFill>
            <w14:solidFill>
              <w14:schemeClr w14:val="tx1"/>
            </w14:solidFill>
          </w14:textFill>
        </w:rPr>
        <w:t xml:space="preserve"> 13 </w:t>
      </w:r>
      <w:permEnd w:id="112"/>
      <w:r>
        <w:rPr>
          <w:rFonts w:hint="eastAsia" w:ascii="仿宋_GB2312" w:hAnsi="仿宋_GB2312" w:eastAsia="仿宋_GB2312" w:cs="仿宋_GB2312"/>
          <w:color w:val="000000" w:themeColor="text1"/>
          <w:highlight w:val="none"/>
          <w14:textFill>
            <w14:solidFill>
              <w14:schemeClr w14:val="tx1"/>
            </w14:solidFill>
          </w14:textFill>
        </w:rPr>
        <w:t>％增值税税率×2）作为违约金：</w:t>
      </w:r>
    </w:p>
    <w:p w14:paraId="3ABE4967">
      <w:pPr>
        <w:pStyle w:val="12"/>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4.1不具有开具增值税专用发票的纳税人资格。</w:t>
      </w:r>
    </w:p>
    <w:p w14:paraId="005E5C13">
      <w:pPr>
        <w:pStyle w:val="12"/>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4.2未能按本合同约定的税率开具增值税专用发票。</w:t>
      </w:r>
    </w:p>
    <w:p w14:paraId="01A7CFC3">
      <w:pPr>
        <w:pStyle w:val="12"/>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4.3提供的增值税专用发票是乙方以外的主体开具。</w:t>
      </w:r>
    </w:p>
    <w:p w14:paraId="1D39F114">
      <w:pPr>
        <w:pStyle w:val="12"/>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4.4拖欠增值税专用发票金额累计达100万元以上。</w:t>
      </w:r>
    </w:p>
    <w:p w14:paraId="55E819E7">
      <w:pPr>
        <w:pStyle w:val="12"/>
        <w:spacing w:line="400" w:lineRule="atLeast"/>
        <w:ind w:firstLine="480" w:firstLineChars="200"/>
        <w:rPr>
          <w:rFonts w:ascii="仿宋_GB2312" w:hAnsi="仿宋_GB2312" w:eastAsia="仿宋_GB2312" w:cs="仿宋_GB2312"/>
          <w:strike w:val="0"/>
          <w:dstrike w:val="0"/>
          <w:color w:val="000000" w:themeColor="text1"/>
          <w:highlight w:val="none"/>
          <w14:textFill>
            <w14:solidFill>
              <w14:schemeClr w14:val="tx1"/>
            </w14:solidFill>
          </w14:textFill>
        </w:rPr>
      </w:pPr>
      <w:r>
        <w:rPr>
          <w:rFonts w:hint="eastAsia" w:ascii="仿宋_GB2312" w:hAnsi="仿宋_GB2312" w:eastAsia="仿宋_GB2312" w:cs="仿宋_GB2312"/>
          <w:strike w:val="0"/>
          <w:dstrike w:val="0"/>
          <w:color w:val="000000" w:themeColor="text1"/>
          <w:highlight w:val="none"/>
          <w14:textFill>
            <w14:solidFill>
              <w14:schemeClr w14:val="tx1"/>
            </w14:solidFill>
          </w14:textFill>
        </w:rPr>
        <w:t xml:space="preserve">4.5如乙方未在税务机关要求的期限内缴纳税款，导致甲方无法抵扣进项税的，甲方有权拒绝付款，如已经支付的，甲方有权追回已支付的款项，并要求乙方支付违约金或赔偿损失。 </w:t>
      </w:r>
    </w:p>
    <w:p w14:paraId="3A899642">
      <w:pPr>
        <w:pStyle w:val="12"/>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4.6提供伪造的增值税专用发票。</w:t>
      </w:r>
    </w:p>
    <w:p w14:paraId="3CC9C686">
      <w:pPr>
        <w:pStyle w:val="12"/>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4.7虚开增值税专用发票。</w:t>
      </w:r>
    </w:p>
    <w:p w14:paraId="2FF4623F">
      <w:pPr>
        <w:pStyle w:val="12"/>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4.8其它导致甲方无法进行增值税抵扣的情形。</w:t>
      </w:r>
    </w:p>
    <w:p w14:paraId="3A038434">
      <w:pPr>
        <w:pStyle w:val="12"/>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乙方存在以上情形的，除承担相应违约责任外，还应赔偿甲方因此所受损失，同时不免除乙方开具合法合规增值税专用发票的义务。</w:t>
      </w:r>
    </w:p>
    <w:p w14:paraId="124BB440">
      <w:pPr>
        <w:pStyle w:val="12"/>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若乙方开具或提供的增值税专用发票发生本条第4款情形超过3次的或给甲方造成重大损失的，则乙方除按本款前述约定承担责任外，甲方有权单方解除本合同。</w:t>
      </w:r>
    </w:p>
    <w:p w14:paraId="14EBCC7E">
      <w:pPr>
        <w:pStyle w:val="12"/>
        <w:numPr>
          <w:ilvl w:val="0"/>
          <w:numId w:val="9"/>
        </w:numPr>
        <w:spacing w:line="400" w:lineRule="atLeast"/>
        <w:ind w:firstLine="482" w:firstLineChars="200"/>
        <w:rPr>
          <w:rFonts w:ascii="仿宋_GB2312" w:hAnsi="仿宋_GB2312" w:eastAsia="仿宋_GB2312" w:cs="仿宋_GB2312"/>
          <w:b/>
          <w:bCs/>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未履行安全责任及义务：</w:t>
      </w:r>
    </w:p>
    <w:p w14:paraId="2B0BBFAC">
      <w:pPr>
        <w:pStyle w:val="12"/>
        <w:spacing w:line="400" w:lineRule="atLeast"/>
        <w:ind w:firstLine="480" w:firstLineChars="200"/>
        <w:rPr>
          <w:rFonts w:hint="eastAsia"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lang w:val="en-US" w:eastAsia="zh-CN"/>
          <w14:textFill>
            <w14:solidFill>
              <w14:schemeClr w14:val="tx1"/>
            </w14:solidFill>
          </w14:textFill>
        </w:rPr>
        <w:t>5.1</w:t>
      </w:r>
      <w:r>
        <w:rPr>
          <w:rFonts w:hint="eastAsia" w:ascii="仿宋_GB2312" w:hAnsi="仿宋_GB2312" w:eastAsia="仿宋_GB2312" w:cs="仿宋_GB2312"/>
          <w:color w:val="000000" w:themeColor="text1"/>
          <w:highlight w:val="none"/>
          <w14:textFill>
            <w14:solidFill>
              <w14:schemeClr w14:val="tx1"/>
            </w14:solidFill>
          </w14:textFill>
        </w:rPr>
        <w:t>乙方不能满足甲方有关安全文明施工措施、环境和职业健康安全方面的要求时，乙方按照项目实际工期损失、经济损失承担违约金。</w:t>
      </w:r>
    </w:p>
    <w:p w14:paraId="351BFE4E">
      <w:pPr>
        <w:spacing w:line="400" w:lineRule="exact"/>
        <w:ind w:firstLine="480" w:firstLineChars="200"/>
        <w:rPr>
          <w:rFonts w:hint="eastAsia"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kern w:val="0"/>
          <w:sz w:val="24"/>
          <w:szCs w:val="24"/>
          <w:highlight w:val="none"/>
          <w:lang w:val="en-US" w:eastAsia="zh-CN" w:bidi="ar-SA"/>
          <w14:textFill>
            <w14:solidFill>
              <w14:schemeClr w14:val="tx1"/>
            </w14:solidFill>
          </w14:textFill>
        </w:rPr>
        <w:t>5.2由于乙方原因造成甲方人员人身伤害，乙方应立即采取补救措施，并全额赔偿甲方相关人员损失。</w:t>
      </w:r>
    </w:p>
    <w:p w14:paraId="26F9D6DF">
      <w:pPr>
        <w:pStyle w:val="12"/>
        <w:numPr>
          <w:ilvl w:val="0"/>
          <w:numId w:val="9"/>
        </w:numPr>
        <w:spacing w:line="400" w:lineRule="atLeast"/>
        <w:ind w:firstLine="482" w:firstLineChars="200"/>
        <w:rPr>
          <w:rFonts w:ascii="仿宋_GB2312" w:hAnsi="仿宋_GB2312" w:eastAsia="仿宋_GB2312" w:cs="仿宋_GB2312"/>
          <w:b/>
          <w:bCs/>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未经同意转让权利及义务：</w:t>
      </w:r>
    </w:p>
    <w:p w14:paraId="2ED16ABE">
      <w:pPr>
        <w:pStyle w:val="12"/>
        <w:spacing w:line="400" w:lineRule="atLeast"/>
        <w:ind w:firstLine="480" w:firstLineChars="200"/>
        <w:rPr>
          <w:rFonts w:hint="eastAsia" w:ascii="仿宋_GB2312" w:hAnsi="仿宋_GB2312" w:eastAsia="仿宋_GB2312" w:cs="仿宋_GB2312"/>
          <w:color w:val="000000" w:themeColor="text1"/>
          <w:highlight w:val="none"/>
          <w:lang w:val="en-US" w:eastAsia="zh-CN"/>
          <w14:textFill>
            <w14:solidFill>
              <w14:schemeClr w14:val="tx1"/>
            </w14:solidFill>
          </w14:textFill>
        </w:rPr>
      </w:pPr>
      <w:r>
        <w:rPr>
          <w:rFonts w:hint="eastAsia" w:ascii="仿宋_GB2312" w:hAnsi="仿宋_GB2312" w:eastAsia="仿宋_GB2312" w:cs="仿宋_GB2312"/>
          <w:color w:val="000000" w:themeColor="text1"/>
          <w:highlight w:val="none"/>
          <w:lang w:val="en-US" w:eastAsia="zh-CN"/>
          <w14:textFill>
            <w14:solidFill>
              <w14:schemeClr w14:val="tx1"/>
            </w14:solidFill>
          </w14:textFill>
        </w:rPr>
        <w:t xml:space="preserve">乙方不可撤销地承诺：对于乙方基于本合同及相关补充协议、结算文件等所产生的对甲方的任何到期或未到期债权，乙方不得将该等债权全部或部分转让给任何第三方，亦不得将该等债权用于对外提供抵押、质押、保证或其他任何形式的担保。 </w:t>
      </w:r>
    </w:p>
    <w:p w14:paraId="549D0A4C">
      <w:pPr>
        <w:pStyle w:val="12"/>
        <w:spacing w:line="400" w:lineRule="atLeast"/>
        <w:ind w:firstLine="480" w:firstLineChars="200"/>
        <w:rPr>
          <w:rFonts w:hint="eastAsia" w:ascii="仿宋_GB2312" w:hAnsi="仿宋_GB2312" w:eastAsia="仿宋_GB2312" w:cs="仿宋_GB2312"/>
          <w:color w:val="000000" w:themeColor="text1"/>
          <w:highlight w:val="none"/>
          <w:lang w:val="en-US" w:eastAsia="zh-CN"/>
          <w14:textFill>
            <w14:solidFill>
              <w14:schemeClr w14:val="tx1"/>
            </w14:solidFill>
          </w14:textFill>
        </w:rPr>
      </w:pPr>
      <w:r>
        <w:rPr>
          <w:rFonts w:hint="eastAsia" w:ascii="仿宋_GB2312" w:hAnsi="仿宋_GB2312" w:eastAsia="仿宋_GB2312" w:cs="仿宋_GB2312"/>
          <w:color w:val="000000" w:themeColor="text1"/>
          <w:highlight w:val="none"/>
          <w:lang w:val="en-US" w:eastAsia="zh-CN"/>
          <w14:textFill>
            <w14:solidFill>
              <w14:schemeClr w14:val="tx1"/>
            </w14:solidFill>
          </w14:textFill>
        </w:rPr>
        <w:t xml:space="preserve">乙方违反上述承诺的，应向甲方支付转让或担保债权总额 5%的违约金；若因此给甲方造成损失（包括但不限于诉讼费、律师费、执行费、保全费、差旅费、赔偿金等），违约金不足以弥补的，乙方仍应予以全额赔偿。 </w:t>
      </w:r>
    </w:p>
    <w:p w14:paraId="66CB7B60">
      <w:pPr>
        <w:pStyle w:val="12"/>
        <w:spacing w:line="400" w:lineRule="atLeast"/>
        <w:ind w:firstLine="480" w:firstLineChars="200"/>
        <w:rPr>
          <w:rFonts w:hint="eastAsia" w:ascii="仿宋_GB2312" w:hAnsi="仿宋_GB2312" w:eastAsia="仿宋_GB2312" w:cs="仿宋_GB2312"/>
          <w:color w:val="000000" w:themeColor="text1"/>
          <w:highlight w:val="none"/>
          <w:lang w:val="en-US" w:eastAsia="zh-CN"/>
          <w14:textFill>
            <w14:solidFill>
              <w14:schemeClr w14:val="tx1"/>
            </w14:solidFill>
          </w14:textFill>
        </w:rPr>
      </w:pPr>
      <w:r>
        <w:rPr>
          <w:rFonts w:hint="eastAsia" w:ascii="仿宋_GB2312" w:hAnsi="仿宋_GB2312" w:eastAsia="仿宋_GB2312" w:cs="仿宋_GB2312"/>
          <w:color w:val="000000" w:themeColor="text1"/>
          <w:highlight w:val="none"/>
          <w:lang w:val="en-US" w:eastAsia="zh-CN"/>
          <w14:textFill>
            <w14:solidFill>
              <w14:schemeClr w14:val="tx1"/>
            </w14:solidFill>
          </w14:textFill>
        </w:rPr>
        <w:t>若乙方怠于向其下游采购商、供应商等支付款项，且配合、协助、默许或以其他方式导致下游方向甲方提起代位权诉讼、仲裁、财产保全、强制执行或其他权利主张的，甲方有权要求乙方按代位权主张标的额的 5%支付违约金；乙方并应承担甲方因此支出的全部费用及损失，且甲方有权暂停付款、暂缓结算直至相关争议完全解决。</w:t>
      </w:r>
    </w:p>
    <w:p w14:paraId="3E599476">
      <w:pPr>
        <w:pStyle w:val="12"/>
        <w:spacing w:line="400" w:lineRule="atLeast"/>
        <w:ind w:firstLine="482" w:firstLineChars="200"/>
        <w:jc w:val="both"/>
        <w:rPr>
          <w:rFonts w:ascii="仿宋_GB2312" w:hAnsi="仿宋_GB2312" w:eastAsia="仿宋_GB2312" w:cs="仿宋_GB2312"/>
          <w:b/>
          <w:bCs/>
          <w:color w:val="000000" w:themeColor="text1"/>
          <w:highlight w:val="none"/>
          <w14:textFill>
            <w14:solidFill>
              <w14:schemeClr w14:val="tx1"/>
            </w14:solidFill>
          </w14:textFill>
        </w:rPr>
      </w:pPr>
      <w:bookmarkStart w:id="96" w:name="_Hlk126834115"/>
      <w:bookmarkStart w:id="97" w:name="_Hlk127191104"/>
      <w:r>
        <w:rPr>
          <w:rFonts w:hint="eastAsia" w:ascii="仿宋_GB2312" w:hAnsi="仿宋_GB2312" w:eastAsia="仿宋_GB2312" w:cs="仿宋_GB2312"/>
          <w:b/>
          <w:bCs/>
          <w:color w:val="000000" w:themeColor="text1"/>
          <w:highlight w:val="none"/>
          <w14:textFill>
            <w14:solidFill>
              <w14:schemeClr w14:val="tx1"/>
            </w14:solidFill>
          </w14:textFill>
        </w:rPr>
        <w:t>7、</w:t>
      </w:r>
      <w:bookmarkStart w:id="98" w:name="_Hlk126829881"/>
      <w:r>
        <w:rPr>
          <w:rFonts w:hint="eastAsia" w:ascii="仿宋_GB2312" w:hAnsi="仿宋_GB2312" w:eastAsia="仿宋_GB2312" w:cs="仿宋_GB2312"/>
          <w:b/>
          <w:bCs/>
          <w:color w:val="000000" w:themeColor="text1"/>
          <w:highlight w:val="none"/>
          <w14:textFill>
            <w14:solidFill>
              <w14:schemeClr w14:val="tx1"/>
            </w14:solidFill>
          </w14:textFill>
        </w:rPr>
        <w:t>未履行结算义务：</w:t>
      </w:r>
    </w:p>
    <w:p w14:paraId="760F2D46">
      <w:pPr>
        <w:pStyle w:val="12"/>
        <w:spacing w:line="400" w:lineRule="atLeast"/>
        <w:ind w:firstLine="480" w:firstLineChars="200"/>
        <w:jc w:val="both"/>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若发现乙方存在以下行为，视为违约并处以相应的罚款，在当期结算款中扣除（当期结算款额度不够的在下期结算款中扣除），并保留追究相应责任的权利。</w:t>
      </w:r>
    </w:p>
    <w:p w14:paraId="4D98E07E">
      <w:pPr>
        <w:pStyle w:val="12"/>
        <w:spacing w:line="400" w:lineRule="atLeast"/>
        <w:ind w:firstLine="480" w:firstLineChars="200"/>
        <w:jc w:val="both"/>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（1）伪造或虚开</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货款</w:t>
      </w:r>
      <w:r>
        <w:rPr>
          <w:rFonts w:hint="eastAsia" w:ascii="仿宋_GB2312" w:hAnsi="仿宋_GB2312" w:eastAsia="仿宋_GB2312" w:cs="仿宋_GB2312"/>
          <w:color w:val="000000" w:themeColor="text1"/>
          <w:highlight w:val="none"/>
          <w14:textFill>
            <w14:solidFill>
              <w14:schemeClr w14:val="tx1"/>
            </w14:solidFill>
          </w14:textFill>
        </w:rPr>
        <w:t>数据，一经发现处以罚款2万元/次。</w:t>
      </w:r>
    </w:p>
    <w:p w14:paraId="72ABF8A2">
      <w:pPr>
        <w:pStyle w:val="12"/>
        <w:spacing w:line="400" w:lineRule="atLeast"/>
        <w:ind w:firstLine="480" w:firstLineChars="200"/>
        <w:jc w:val="both"/>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（2）伪造甲方管理人员签字盖章，一经发现处以罚款5万元/次。</w:t>
      </w:r>
    </w:p>
    <w:p w14:paraId="0D119DCC">
      <w:pPr>
        <w:pStyle w:val="12"/>
        <w:spacing w:line="400" w:lineRule="atLeast"/>
        <w:ind w:firstLine="480" w:firstLineChars="200"/>
        <w:jc w:val="both"/>
        <w:rPr>
          <w:rFonts w:ascii="仿宋_GB2312" w:hAnsi="仿宋_GB2312" w:eastAsia="仿宋_GB2312" w:cs="仿宋_GB2312"/>
          <w:b/>
          <w:bCs/>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（3）伪造结算书或其他结算相关材料，一经发现处以罚款10万元/次</w:t>
      </w:r>
      <w:bookmarkEnd w:id="96"/>
      <w:r>
        <w:rPr>
          <w:rFonts w:hint="eastAsia" w:ascii="仿宋_GB2312" w:hAnsi="仿宋_GB2312" w:eastAsia="仿宋_GB2312" w:cs="仿宋_GB2312"/>
          <w:color w:val="000000" w:themeColor="text1"/>
          <w:highlight w:val="none"/>
          <w14:textFill>
            <w14:solidFill>
              <w14:schemeClr w14:val="tx1"/>
            </w14:solidFill>
          </w14:textFill>
        </w:rPr>
        <w:t>。</w:t>
      </w:r>
      <w:bookmarkEnd w:id="97"/>
      <w:bookmarkEnd w:id="98"/>
    </w:p>
    <w:p w14:paraId="3C815497">
      <w:pPr>
        <w:pStyle w:val="12"/>
        <w:spacing w:line="400" w:lineRule="atLeast"/>
        <w:ind w:firstLine="482" w:firstLineChars="200"/>
        <w:jc w:val="both"/>
        <w:rPr>
          <w:rFonts w:ascii="仿宋_GB2312" w:hAnsi="仿宋_GB2312" w:eastAsia="仿宋_GB2312" w:cs="仿宋_GB2312"/>
          <w:b/>
          <w:bCs/>
          <w:color w:val="000000" w:themeColor="text1"/>
          <w:highlight w:val="none"/>
          <w14:textFill>
            <w14:solidFill>
              <w14:schemeClr w14:val="tx1"/>
            </w14:solidFill>
          </w14:textFill>
        </w:rPr>
      </w:pPr>
      <w:bookmarkStart w:id="99" w:name="_Toc11521"/>
      <w:bookmarkStart w:id="100" w:name="_Toc19191"/>
      <w:bookmarkStart w:id="101" w:name="_Toc20335"/>
      <w:r>
        <w:rPr>
          <w:rFonts w:hint="eastAsia" w:ascii="仿宋_GB2312" w:hAnsi="仿宋_GB2312" w:eastAsia="仿宋_GB2312" w:cs="仿宋_GB2312"/>
          <w:b/>
          <w:bCs/>
          <w:color w:val="000000" w:themeColor="text1"/>
          <w:highlight w:val="none"/>
          <w:lang w:val="en-US" w:eastAsia="zh-CN"/>
          <w14:textFill>
            <w14:solidFill>
              <w14:schemeClr w14:val="tx1"/>
            </w14:solidFill>
          </w14:textFill>
        </w:rPr>
        <w:t>8</w:t>
      </w:r>
      <w:r>
        <w:rPr>
          <w:rFonts w:hint="eastAsia" w:ascii="仿宋_GB2312" w:hAnsi="仿宋_GB2312" w:eastAsia="仿宋_GB2312" w:cs="仿宋_GB2312"/>
          <w:b/>
          <w:bCs/>
          <w:color w:val="000000" w:themeColor="text1"/>
          <w:highlight w:val="none"/>
          <w14:textFill>
            <w14:solidFill>
              <w14:schemeClr w14:val="tx1"/>
            </w14:solidFill>
          </w14:textFill>
        </w:rPr>
        <w:t>、</w:t>
      </w:r>
      <w:r>
        <w:rPr>
          <w:rFonts w:hint="eastAsia" w:ascii="仿宋_GB2312" w:hAnsi="仿宋_GB2312" w:eastAsia="仿宋_GB2312" w:cs="仿宋_GB2312"/>
          <w:b/>
          <w:bCs/>
          <w:color w:val="000000" w:themeColor="text1"/>
          <w:highlight w:val="none"/>
          <w:lang w:val="en-US" w:eastAsia="zh-CN"/>
          <w14:textFill>
            <w14:solidFill>
              <w14:schemeClr w14:val="tx1"/>
            </w14:solidFill>
          </w14:textFill>
        </w:rPr>
        <w:t>供货知识产权存在瑕疵</w:t>
      </w:r>
      <w:r>
        <w:rPr>
          <w:rFonts w:hint="eastAsia" w:ascii="仿宋_GB2312" w:hAnsi="仿宋_GB2312" w:eastAsia="仿宋_GB2312" w:cs="仿宋_GB2312"/>
          <w:b/>
          <w:bCs/>
          <w:color w:val="000000" w:themeColor="text1"/>
          <w:highlight w:val="none"/>
          <w14:textFill>
            <w14:solidFill>
              <w14:schemeClr w14:val="tx1"/>
            </w14:solidFill>
          </w14:textFill>
        </w:rPr>
        <w:t>：</w:t>
      </w:r>
    </w:p>
    <w:p w14:paraId="62A560EC">
      <w:pPr>
        <w:pStyle w:val="12"/>
        <w:spacing w:line="400" w:lineRule="atLeast"/>
        <w:ind w:firstLine="480" w:firstLineChars="200"/>
        <w:jc w:val="both"/>
        <w:rPr>
          <w:rFonts w:hint="eastAsia"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若乙方提供物资侵犯他人知识产权（或专利权）导致他人向甲方索赔的，乙方承担由此给甲方造成的一切损失，包括但不限于甲方处理此纠纷发生的律师费、诉讼费、差旅费等一切损失。此外，乙方应向甲方支付合同价款</w:t>
      </w:r>
      <w:r>
        <w:rPr>
          <w:rFonts w:hint="eastAsia" w:ascii="仿宋_GB2312" w:hAnsi="仿宋_GB2312" w:eastAsia="仿宋_GB2312" w:cs="仿宋_GB2312"/>
          <w:color w:val="000000" w:themeColor="text1"/>
          <w:highlight w:val="none"/>
          <w:u w:val="none"/>
          <w:lang w:val="en-US" w:eastAsia="zh-CN"/>
          <w14:textFill>
            <w14:solidFill>
              <w14:schemeClr w14:val="tx1"/>
            </w14:solidFill>
          </w14:textFill>
        </w:rPr>
        <w:t>20</w:t>
      </w:r>
      <w:r>
        <w:rPr>
          <w:rFonts w:hint="eastAsia" w:ascii="仿宋_GB2312" w:hAnsi="仿宋_GB2312" w:eastAsia="仿宋_GB2312" w:cs="仿宋_GB2312"/>
          <w:color w:val="000000" w:themeColor="text1"/>
          <w:highlight w:val="none"/>
          <w14:textFill>
            <w14:solidFill>
              <w14:schemeClr w14:val="tx1"/>
            </w14:solidFill>
          </w14:textFill>
        </w:rPr>
        <w:t>％的违约金。甲方针对上述一切损失有权从乙方结算货款中扣除或依法追索。</w:t>
      </w:r>
    </w:p>
    <w:p w14:paraId="10540F9F">
      <w:pPr>
        <w:pStyle w:val="12"/>
        <w:spacing w:line="400" w:lineRule="atLeast"/>
        <w:ind w:firstLine="482" w:firstLineChars="200"/>
        <w:jc w:val="both"/>
        <w:rPr>
          <w:rFonts w:hint="default" w:ascii="仿宋_GB2312" w:hAnsi="仿宋_GB2312" w:eastAsia="仿宋_GB2312" w:cs="仿宋_GB2312"/>
          <w:b/>
          <w:bCs/>
          <w:color w:val="000000" w:themeColor="text1"/>
          <w:highlight w:val="none"/>
          <w:lang w:val="en-US" w:eastAsia="zh-CN"/>
          <w14:textFill>
            <w14:solidFill>
              <w14:schemeClr w14:val="tx1"/>
            </w14:solidFill>
          </w14:textFill>
        </w:rPr>
      </w:pPr>
      <w:r>
        <w:rPr>
          <w:rFonts w:hint="eastAsia" w:ascii="仿宋_GB2312" w:hAnsi="仿宋_GB2312" w:eastAsia="仿宋_GB2312" w:cs="仿宋_GB2312"/>
          <w:b/>
          <w:bCs/>
          <w:color w:val="000000" w:themeColor="text1"/>
          <w:highlight w:val="none"/>
          <w:lang w:val="en-US" w:eastAsia="zh-CN"/>
          <w14:textFill>
            <w14:solidFill>
              <w14:schemeClr w14:val="tx1"/>
            </w14:solidFill>
          </w14:textFill>
        </w:rPr>
        <w:t>9、私运项目物资</w:t>
      </w:r>
    </w:p>
    <w:p w14:paraId="75D918CC">
      <w:pPr>
        <w:pStyle w:val="12"/>
        <w:spacing w:line="400" w:lineRule="atLeast"/>
        <w:ind w:firstLine="480" w:firstLineChars="200"/>
        <w:jc w:val="both"/>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t>若乙方私自运送甲方现场物资出场，乙方需向甲方支付所涉及物资原值【2】倍的违约金，情节严重的交由司法机关处理。</w:t>
      </w:r>
    </w:p>
    <w:p w14:paraId="532B1437">
      <w:pPr>
        <w:pStyle w:val="12"/>
        <w:spacing w:line="400" w:lineRule="atLeast"/>
        <w:ind w:firstLine="482" w:firstLineChars="200"/>
        <w:jc w:val="both"/>
        <w:rPr>
          <w:rFonts w:ascii="仿宋_GB2312" w:hAnsi="仿宋_GB2312" w:eastAsia="仿宋_GB2312" w:cs="仿宋_GB2312"/>
          <w:b/>
          <w:bCs/>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lang w:val="en-US" w:eastAsia="zh-CN"/>
          <w14:textFill>
            <w14:solidFill>
              <w14:schemeClr w14:val="tx1"/>
            </w14:solidFill>
          </w14:textFill>
        </w:rPr>
        <w:t>10</w:t>
      </w:r>
      <w:r>
        <w:rPr>
          <w:rFonts w:hint="eastAsia" w:ascii="仿宋_GB2312" w:hAnsi="仿宋_GB2312" w:eastAsia="仿宋_GB2312" w:cs="仿宋_GB2312"/>
          <w:b/>
          <w:bCs/>
          <w:color w:val="000000" w:themeColor="text1"/>
          <w:highlight w:val="none"/>
          <w14:textFill>
            <w14:solidFill>
              <w14:schemeClr w14:val="tx1"/>
            </w14:solidFill>
          </w14:textFill>
        </w:rPr>
        <w:t>、未履行本协议约定义务：</w:t>
      </w:r>
    </w:p>
    <w:p w14:paraId="168BA802">
      <w:pPr>
        <w:pStyle w:val="12"/>
        <w:spacing w:line="400" w:lineRule="atLeast"/>
        <w:ind w:firstLine="480" w:firstLineChars="200"/>
        <w:jc w:val="both"/>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乙方不履行本协议约定义务或中途终止履行合同（符合本合同约定的调价和合同解除条件除外）的，乙方按照项目实际工期损失、经济损失承担违约金。</w:t>
      </w:r>
    </w:p>
    <w:p w14:paraId="534E8C1F">
      <w:pPr>
        <w:pStyle w:val="12"/>
        <w:spacing w:line="400" w:lineRule="atLeast"/>
        <w:ind w:firstLine="482" w:firstLineChars="200"/>
        <w:jc w:val="both"/>
        <w:rPr>
          <w:rFonts w:hint="eastAsia" w:ascii="仿宋_GB2312" w:hAnsi="仿宋_GB2312" w:eastAsia="仿宋_GB2312" w:cs="仿宋_GB2312"/>
          <w:b/>
          <w:bCs/>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lang w:val="en-US" w:eastAsia="zh-CN"/>
          <w14:textFill>
            <w14:solidFill>
              <w14:schemeClr w14:val="tx1"/>
            </w14:solidFill>
          </w14:textFill>
        </w:rPr>
        <w:t>11</w:t>
      </w:r>
      <w:r>
        <w:rPr>
          <w:rFonts w:hint="eastAsia" w:ascii="仿宋_GB2312" w:hAnsi="仿宋_GB2312" w:eastAsia="仿宋_GB2312" w:cs="仿宋_GB2312"/>
          <w:b/>
          <w:bCs/>
          <w:color w:val="000000" w:themeColor="text1"/>
          <w:highlight w:val="none"/>
          <w14:textFill>
            <w14:solidFill>
              <w14:schemeClr w14:val="tx1"/>
            </w14:solidFill>
          </w14:textFill>
        </w:rPr>
        <w:t>、违约后的处置方式：</w:t>
      </w:r>
    </w:p>
    <w:p w14:paraId="63A31437">
      <w:pPr>
        <w:pStyle w:val="12"/>
        <w:spacing w:line="400" w:lineRule="atLeast"/>
        <w:ind w:firstLine="480" w:firstLineChars="200"/>
        <w:jc w:val="both"/>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乙方违约后，甲方有权直接从乙方结算款或应付款中扣除违约金；甲方决定合同继续履行的，乙方除承担上述违约责任，仍应继续履行合同。</w:t>
      </w:r>
    </w:p>
    <w:p w14:paraId="03450768">
      <w:pPr>
        <w:pStyle w:val="12"/>
        <w:numPr>
          <w:ilvl w:val="0"/>
          <w:numId w:val="8"/>
        </w:numPr>
        <w:spacing w:before="120" w:beforeLines="50" w:after="120" w:afterLines="50" w:line="400" w:lineRule="atLeast"/>
        <w:ind w:firstLine="482" w:firstLineChars="200"/>
        <w:outlineLvl w:val="0"/>
        <w:rPr>
          <w:rFonts w:ascii="仿宋_GB2312" w:hAnsi="仿宋_GB2312" w:eastAsia="仿宋_GB2312" w:cs="仿宋_GB2312"/>
          <w:b/>
          <w:bCs/>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货物缺陷索赔</w:t>
      </w:r>
      <w:bookmarkEnd w:id="99"/>
      <w:bookmarkEnd w:id="100"/>
      <w:bookmarkEnd w:id="101"/>
    </w:p>
    <w:p w14:paraId="1274F4EF">
      <w:pPr>
        <w:pStyle w:val="13"/>
        <w:spacing w:after="24" w:afterLines="10" w:line="400" w:lineRule="atLeast"/>
        <w:ind w:right="0" w:firstLine="482" w:firstLineChars="200"/>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b/>
          <w:bCs/>
          <w:color w:val="000000" w:themeColor="text1"/>
          <w:sz w:val="24"/>
          <w:highlight w:val="none"/>
          <w14:textFill>
            <w14:solidFill>
              <w14:schemeClr w14:val="tx1"/>
            </w14:solidFill>
          </w14:textFill>
        </w:rPr>
        <w:t>1、质量缺陷索赔：</w:t>
      </w:r>
      <w:r>
        <w:rPr>
          <w:rFonts w:hint="eastAsia" w:ascii="仿宋_GB2312" w:hAnsi="仿宋_GB2312" w:eastAsia="仿宋_GB2312" w:cs="仿宋_GB2312"/>
          <w:color w:val="000000" w:themeColor="text1"/>
          <w:sz w:val="24"/>
          <w:highlight w:val="none"/>
          <w14:textFill>
            <w14:solidFill>
              <w14:schemeClr w14:val="tx1"/>
            </w14:solidFill>
          </w14:textFill>
        </w:rPr>
        <w:t>如甲方在各阶段的检验过程中发现货物不合格现象，可选择更换货物或提出索赔。若选择索赔，甲方有权邀请当地有关质量监督管理部门或其他鉴定机构进行检验，并出具检验证书，可以据此向乙方提出索赔。</w:t>
      </w:r>
    </w:p>
    <w:p w14:paraId="2E0AA980">
      <w:pPr>
        <w:pStyle w:val="13"/>
        <w:spacing w:after="24" w:afterLines="10" w:line="400" w:lineRule="atLeast"/>
        <w:ind w:right="0" w:firstLine="482" w:firstLineChars="200"/>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b/>
          <w:bCs/>
          <w:color w:val="000000" w:themeColor="text1"/>
          <w:sz w:val="24"/>
          <w:highlight w:val="none"/>
          <w14:textFill>
            <w14:solidFill>
              <w14:schemeClr w14:val="tx1"/>
            </w14:solidFill>
          </w14:textFill>
        </w:rPr>
        <w:t>2、缺陷索赔解决方式：</w:t>
      </w:r>
      <w:r>
        <w:rPr>
          <w:rFonts w:hint="eastAsia" w:ascii="仿宋_GB2312" w:hAnsi="仿宋_GB2312" w:eastAsia="仿宋_GB2312" w:cs="仿宋_GB2312"/>
          <w:color w:val="000000" w:themeColor="text1"/>
          <w:sz w:val="24"/>
          <w:highlight w:val="none"/>
          <w14:textFill>
            <w14:solidFill>
              <w14:schemeClr w14:val="tx1"/>
            </w14:solidFill>
          </w14:textFill>
        </w:rPr>
        <w:t>对甲方在规定的检验、安装、调试和验收测试期限内和质量保修期内发现缺陷提出的索赔，乙方应按甲方同意的下述一种或多种方法解决索赔事宜：</w:t>
      </w:r>
    </w:p>
    <w:p w14:paraId="30D5E5C0">
      <w:pPr>
        <w:pStyle w:val="13"/>
        <w:spacing w:after="24" w:afterLines="10" w:line="400" w:lineRule="atLeast"/>
        <w:ind w:right="0" w:firstLine="480" w:firstLineChars="200"/>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2.1乙方同意甲方部分或全部退货并把退货部分金额以合同规定的同类货币退还给甲方。乙方负担退货过程中发生的一切损失和费用，包括利息、银行费用、运输和保险费、检验费、仓储和装卸费以及为保管和保护退还货物所发生的其它必要费用，包括但不限于工期延误损失导致业主向甲方的索赔等。</w:t>
      </w:r>
    </w:p>
    <w:p w14:paraId="37415E89">
      <w:pPr>
        <w:pStyle w:val="13"/>
        <w:spacing w:after="24" w:afterLines="10" w:line="400" w:lineRule="atLeast"/>
        <w:ind w:right="0" w:firstLine="480" w:firstLineChars="200"/>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2.2根据货物的质量缺陷和受损程度以及甲方遭受损失的程度，经双方协商同意降低货物价格。</w:t>
      </w:r>
    </w:p>
    <w:p w14:paraId="559276BD">
      <w:pPr>
        <w:pStyle w:val="13"/>
        <w:spacing w:after="24" w:afterLines="10" w:line="400" w:lineRule="atLeast"/>
        <w:ind w:right="0" w:firstLine="480" w:firstLineChars="200"/>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2.3更换有缺陷的部分货物、零件、部件和设备，或修理缺陷部分，以达到合同规定的规格、质量和性能，乙方承担一切费用和风险，并负担甲方遭受的损失。</w:t>
      </w:r>
    </w:p>
    <w:p w14:paraId="09BF745C">
      <w:pPr>
        <w:pStyle w:val="13"/>
        <w:spacing w:after="24" w:afterLines="10" w:line="400" w:lineRule="atLeast"/>
        <w:ind w:right="0" w:firstLine="482" w:firstLineChars="200"/>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b/>
          <w:bCs/>
          <w:color w:val="000000" w:themeColor="text1"/>
          <w:sz w:val="24"/>
          <w:highlight w:val="none"/>
          <w14:textFill>
            <w14:solidFill>
              <w14:schemeClr w14:val="tx1"/>
            </w14:solidFill>
          </w14:textFill>
        </w:rPr>
        <w:t>3、缺陷索赔程序：如果甲方提出索赔通知后7日内乙方未予以答复，该索赔应视为已被乙方接受。</w:t>
      </w:r>
      <w:r>
        <w:rPr>
          <w:rFonts w:hint="eastAsia" w:ascii="仿宋_GB2312" w:hAnsi="仿宋_GB2312" w:eastAsia="仿宋_GB2312" w:cs="仿宋_GB2312"/>
          <w:color w:val="000000" w:themeColor="text1"/>
          <w:sz w:val="24"/>
          <w:highlight w:val="none"/>
          <w14:textFill>
            <w14:solidFill>
              <w14:schemeClr w14:val="tx1"/>
            </w14:solidFill>
          </w14:textFill>
        </w:rPr>
        <w:t>若乙方未能在甲方提出索赔通知的合理时限（7日内）或甲方同意的延长期限内，按甲方同意的上述任何一种方式处理索赔事宜</w:t>
      </w:r>
      <w:r>
        <w:rPr>
          <w:rFonts w:hint="eastAsia" w:ascii="仿宋_GB2312" w:hAnsi="仿宋_GB2312" w:eastAsia="仿宋_GB2312" w:cs="仿宋_GB2312"/>
          <w:b/>
          <w:bCs/>
          <w:color w:val="000000" w:themeColor="text1"/>
          <w:sz w:val="24"/>
          <w:highlight w:val="none"/>
          <w14:textFill>
            <w14:solidFill>
              <w14:schemeClr w14:val="tx1"/>
            </w14:solidFill>
          </w14:textFill>
        </w:rPr>
        <w:t>，甲方有权从乙方货款中扣除索赔金额，不足部分，甲方有权向乙方追偿。</w:t>
      </w:r>
    </w:p>
    <w:p w14:paraId="16DC955B">
      <w:pPr>
        <w:pStyle w:val="12"/>
        <w:spacing w:line="400" w:lineRule="atLeast"/>
        <w:ind w:firstLine="482" w:firstLineChars="200"/>
        <w:jc w:val="both"/>
        <w:rPr>
          <w:rFonts w:ascii="仿宋_GB2312" w:hAnsi="仿宋_GB2312" w:eastAsia="仿宋_GB2312" w:cs="仿宋_GB2312"/>
          <w:b/>
          <w:bCs/>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4、其他缺陷索赔：</w:t>
      </w:r>
      <w:r>
        <w:rPr>
          <w:rFonts w:hint="eastAsia" w:ascii="仿宋_GB2312" w:hAnsi="仿宋_GB2312" w:eastAsia="仿宋_GB2312" w:cs="仿宋_GB2312"/>
          <w:color w:val="000000" w:themeColor="text1"/>
          <w:highlight w:val="none"/>
          <w14:textFill>
            <w14:solidFill>
              <w14:schemeClr w14:val="tx1"/>
            </w14:solidFill>
          </w14:textFill>
        </w:rPr>
        <w:t>对于甲方提出的非质量缺陷的其他索赔通知，参照适用缺陷索赔规则。</w:t>
      </w:r>
    </w:p>
    <w:p w14:paraId="7A62D39F">
      <w:pPr>
        <w:pStyle w:val="12"/>
        <w:numPr>
          <w:ilvl w:val="0"/>
          <w:numId w:val="8"/>
        </w:numPr>
        <w:spacing w:before="120" w:beforeLines="50" w:after="120" w:afterLines="50" w:line="400" w:lineRule="atLeast"/>
        <w:ind w:firstLine="482" w:firstLineChars="200"/>
        <w:outlineLvl w:val="0"/>
        <w:rPr>
          <w:rFonts w:ascii="仿宋_GB2312" w:hAnsi="仿宋_GB2312" w:eastAsia="仿宋_GB2312" w:cs="仿宋_GB2312"/>
          <w:b/>
          <w:bCs/>
          <w:color w:val="000000" w:themeColor="text1"/>
          <w:highlight w:val="none"/>
          <w14:textFill>
            <w14:solidFill>
              <w14:schemeClr w14:val="tx1"/>
            </w14:solidFill>
          </w14:textFill>
        </w:rPr>
      </w:pPr>
      <w:bookmarkStart w:id="102" w:name="_Toc12864"/>
      <w:bookmarkStart w:id="103" w:name="_Toc13471"/>
      <w:bookmarkStart w:id="104" w:name="_Toc13562"/>
      <w:r>
        <w:rPr>
          <w:rFonts w:hint="eastAsia" w:ascii="仿宋_GB2312" w:hAnsi="仿宋_GB2312" w:eastAsia="仿宋_GB2312" w:cs="仿宋_GB2312"/>
          <w:b/>
          <w:bCs/>
          <w:color w:val="000000" w:themeColor="text1"/>
          <w:highlight w:val="none"/>
          <w14:textFill>
            <w14:solidFill>
              <w14:schemeClr w14:val="tx1"/>
            </w14:solidFill>
          </w14:textFill>
        </w:rPr>
        <w:t>合同变更</w:t>
      </w:r>
      <w:bookmarkEnd w:id="102"/>
      <w:bookmarkEnd w:id="103"/>
      <w:bookmarkEnd w:id="104"/>
    </w:p>
    <w:p w14:paraId="48F24F33">
      <w:pPr>
        <w:pStyle w:val="12"/>
        <w:numPr>
          <w:ilvl w:val="0"/>
          <w:numId w:val="10"/>
        </w:numPr>
        <w:spacing w:line="400" w:lineRule="atLeast"/>
        <w:ind w:firstLine="480" w:firstLineChars="200"/>
        <w:jc w:val="both"/>
        <w:rPr>
          <w:rFonts w:hint="eastAsia" w:ascii="宋体" w:hAnsi="宋体"/>
          <w:szCs w:val="21"/>
          <w:highlight w:val="none"/>
        </w:rPr>
      </w:pPr>
      <w:r>
        <w:rPr>
          <w:rFonts w:hint="eastAsia" w:ascii="仿宋_GB2312" w:hAnsi="仿宋_GB2312" w:eastAsia="仿宋_GB2312" w:cs="仿宋_GB2312"/>
          <w:color w:val="000000" w:themeColor="text1"/>
          <w:highlight w:val="none"/>
          <w14:textFill>
            <w14:solidFill>
              <w14:schemeClr w14:val="tx1"/>
            </w14:solidFill>
          </w14:textFill>
        </w:rPr>
        <w:t>经双方协商一致可以对本合同条款进行修改、变更或增减，并成为本合同的补充文件</w:t>
      </w:r>
      <w:r>
        <w:rPr>
          <w:rFonts w:hint="eastAsia" w:ascii="仿宋_GB2312" w:hAnsi="仿宋_GB2312" w:eastAsia="仿宋_GB2312" w:cs="仿宋_GB2312"/>
          <w:b/>
          <w:bCs/>
          <w:color w:val="000000" w:themeColor="text1"/>
          <w:highlight w:val="none"/>
          <w14:textFill>
            <w14:solidFill>
              <w14:schemeClr w14:val="tx1"/>
            </w14:solidFill>
          </w14:textFill>
        </w:rPr>
        <w:t>，此类补充文件需按本合同约定的生效条件加盖与本合同相同的印章才可视为成立并生效，具有同等法律效力。</w:t>
      </w:r>
    </w:p>
    <w:p w14:paraId="4F37E915">
      <w:pPr>
        <w:pStyle w:val="12"/>
        <w:numPr>
          <w:ilvl w:val="0"/>
          <w:numId w:val="10"/>
        </w:numPr>
        <w:spacing w:line="400" w:lineRule="atLeast"/>
        <w:ind w:firstLine="480" w:firstLineChars="200"/>
        <w:jc w:val="both"/>
        <w:rPr>
          <w:rFonts w:hint="default" w:ascii="仿宋_GB2312" w:hAnsi="仿宋_GB2312" w:eastAsia="仿宋_GB2312" w:cs="仿宋_GB2312"/>
          <w:b/>
          <w:bCs/>
          <w:color w:val="000000" w:themeColor="text1"/>
          <w:highlight w:val="none"/>
          <w:lang w:val="en-US" w:eastAsia="zh-CN"/>
          <w14:textFill>
            <w14:solidFill>
              <w14:schemeClr w14:val="tx1"/>
            </w14:solidFill>
          </w14:textFill>
        </w:rPr>
      </w:pPr>
      <w:bookmarkStart w:id="105" w:name="_Toc23441"/>
      <w:bookmarkStart w:id="106" w:name="_Toc28560"/>
      <w:bookmarkStart w:id="107" w:name="_Toc29083"/>
      <w:r>
        <w:rPr>
          <w:rFonts w:hint="eastAsia" w:ascii="仿宋_GB2312" w:hAnsi="仿宋_GB2312" w:eastAsia="仿宋_GB2312" w:cs="仿宋_GB2312"/>
          <w:color w:val="000000" w:themeColor="text1"/>
          <w:highlight w:val="none"/>
          <w:lang w:val="en-US" w:eastAsia="zh-CN"/>
          <w14:textFill>
            <w14:solidFill>
              <w14:schemeClr w14:val="tx1"/>
            </w14:solidFill>
          </w14:textFill>
        </w:rPr>
        <w:t>当乙方所供物资超出</w:t>
      </w:r>
      <w:r>
        <w:rPr>
          <w:rFonts w:hint="eastAsia" w:ascii="仿宋_GB2312" w:hAnsi="仿宋_GB2312" w:eastAsia="仿宋_GB2312" w:cs="仿宋_GB2312"/>
          <w:b/>
          <w:bCs/>
          <w:color w:val="000000" w:themeColor="text1"/>
          <w:sz w:val="24"/>
          <w:szCs w:val="24"/>
          <w:highlight w:val="none"/>
          <w:lang w:val="en-US" w:eastAsia="zh-CN"/>
          <w14:textFill>
            <w14:solidFill>
              <w14:schemeClr w14:val="tx1"/>
            </w14:solidFill>
          </w14:textFill>
        </w:rPr>
        <w:t>供应</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合同交易物的金额不超过原合同金额的10%（含），正常办理结算；</w:t>
      </w:r>
      <w:r>
        <w:rPr>
          <w:rFonts w:hint="eastAsia" w:ascii="仿宋_GB2312" w:hAnsi="仿宋_GB2312" w:eastAsia="仿宋_GB2312" w:cs="仿宋_GB2312"/>
          <w:b/>
          <w:bCs/>
          <w:color w:val="000000" w:themeColor="text1"/>
          <w:sz w:val="24"/>
          <w:szCs w:val="24"/>
          <w:highlight w:val="none"/>
          <w:lang w:val="en-US" w:eastAsia="zh-CN"/>
          <w14:textFill>
            <w14:solidFill>
              <w14:schemeClr w14:val="tx1"/>
            </w14:solidFill>
          </w14:textFill>
        </w:rPr>
        <w:t>供应</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合同交易物的金额超过原合同金额的10%但不超过30%（含），甲乙双方签订补充协议；</w:t>
      </w:r>
      <w:r>
        <w:rPr>
          <w:rFonts w:hint="eastAsia" w:ascii="仿宋_GB2312" w:hAnsi="仿宋_GB2312" w:eastAsia="仿宋_GB2312" w:cs="仿宋_GB2312"/>
          <w:b/>
          <w:bCs/>
          <w:color w:val="000000" w:themeColor="text1"/>
          <w:sz w:val="24"/>
          <w:szCs w:val="24"/>
          <w:highlight w:val="none"/>
          <w:lang w:val="en-US" w:eastAsia="zh-CN"/>
          <w14:textFill>
            <w14:solidFill>
              <w14:schemeClr w14:val="tx1"/>
            </w14:solidFill>
          </w14:textFill>
        </w:rPr>
        <w:t>供应</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合同交易物的金额超过原合同金额的30%，则对原合同外的物资重新组织采购。</w:t>
      </w:r>
    </w:p>
    <w:p w14:paraId="670CDD6E">
      <w:pPr>
        <w:pStyle w:val="12"/>
        <w:numPr>
          <w:ilvl w:val="0"/>
          <w:numId w:val="10"/>
        </w:numPr>
        <w:spacing w:line="400" w:lineRule="atLeast"/>
        <w:ind w:firstLine="480" w:firstLineChars="200"/>
        <w:jc w:val="both"/>
        <w:rPr>
          <w:rFonts w:hint="default" w:ascii="仿宋_GB2312" w:hAnsi="仿宋_GB2312" w:eastAsia="仿宋_GB2312" w:cs="仿宋_GB2312"/>
          <w:b/>
          <w:bCs/>
          <w:color w:val="000000" w:themeColor="text1"/>
          <w:highlight w:val="none"/>
          <w:lang w:val="en-US" w:eastAsia="zh-CN"/>
          <w14:textFill>
            <w14:solidFill>
              <w14:schemeClr w14:val="tx1"/>
            </w14:solidFill>
          </w14:textFill>
        </w:rPr>
      </w:pPr>
      <w:r>
        <w:rPr>
          <w:rFonts w:hint="eastAsia" w:ascii="仿宋_GB2312" w:hAnsi="仿宋_GB2312" w:eastAsia="仿宋_GB2312" w:cs="仿宋_GB2312"/>
          <w:color w:val="000000" w:themeColor="text1"/>
          <w:highlight w:val="none"/>
          <w:lang w:val="en-US" w:eastAsia="zh-CN"/>
          <w14:textFill>
            <w14:solidFill>
              <w14:schemeClr w14:val="tx1"/>
            </w14:solidFill>
          </w14:textFill>
        </w:rPr>
        <w:t>工程建设单位、监理单位及相关部门出台的相关规定文件、市场准入制度造成合同不能执行，甲方不承担任何责任。</w:t>
      </w:r>
    </w:p>
    <w:p w14:paraId="5369AECF">
      <w:pPr>
        <w:pStyle w:val="12"/>
        <w:numPr>
          <w:ilvl w:val="0"/>
          <w:numId w:val="8"/>
        </w:numPr>
        <w:spacing w:before="120" w:beforeLines="50" w:after="120" w:afterLines="50" w:line="400" w:lineRule="atLeast"/>
        <w:ind w:firstLine="482" w:firstLineChars="200"/>
        <w:outlineLvl w:val="0"/>
        <w:rPr>
          <w:rFonts w:ascii="仿宋_GB2312" w:hAnsi="仿宋_GB2312" w:eastAsia="仿宋_GB2312" w:cs="仿宋_GB2312"/>
          <w:b/>
          <w:bCs/>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合同解除</w:t>
      </w:r>
      <w:bookmarkEnd w:id="105"/>
      <w:bookmarkEnd w:id="106"/>
      <w:bookmarkEnd w:id="107"/>
    </w:p>
    <w:p w14:paraId="7B54A7FD">
      <w:pPr>
        <w:pStyle w:val="12"/>
        <w:numPr>
          <w:ilvl w:val="0"/>
          <w:numId w:val="11"/>
        </w:numPr>
        <w:spacing w:line="400" w:lineRule="atLeast"/>
        <w:ind w:firstLine="480" w:firstLineChars="200"/>
        <w:jc w:val="both"/>
        <w:rPr>
          <w:rFonts w:ascii="仿宋_GB2312" w:hAnsi="仿宋_GB2312" w:eastAsia="仿宋_GB2312" w:cs="仿宋_GB2312"/>
          <w:color w:val="000000" w:themeColor="text1"/>
          <w:highlight w:val="none"/>
          <w14:textFill>
            <w14:solidFill>
              <w14:schemeClr w14:val="tx1"/>
            </w14:solidFill>
          </w14:textFill>
        </w:rPr>
      </w:pPr>
      <w:bookmarkStart w:id="108" w:name="_Hlk126831282"/>
      <w:r>
        <w:rPr>
          <w:rFonts w:hint="eastAsia" w:ascii="仿宋_GB2312" w:hAnsi="仿宋_GB2312" w:eastAsia="仿宋_GB2312" w:cs="仿宋_GB2312"/>
          <w:color w:val="000000" w:themeColor="text1"/>
          <w:highlight w:val="none"/>
          <w14:textFill>
            <w14:solidFill>
              <w14:schemeClr w14:val="tx1"/>
            </w14:solidFill>
          </w14:textFill>
        </w:rPr>
        <w:t>因不可抗力致使不能实现合同目的等原因，经甲、乙双方协商一致同意可解除合同。</w:t>
      </w:r>
    </w:p>
    <w:p w14:paraId="24B5CD61">
      <w:pPr>
        <w:pStyle w:val="12"/>
        <w:numPr>
          <w:ilvl w:val="0"/>
          <w:numId w:val="11"/>
        </w:numPr>
        <w:spacing w:line="400" w:lineRule="atLeast"/>
        <w:ind w:firstLine="480" w:firstLineChars="200"/>
        <w:jc w:val="both"/>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如甲方与业主签订的总承包合同解除或终止，或因业主变更导致甲方无需采购约定材料，则甲方以书面形式通知乙方终止本合同。</w:t>
      </w:r>
    </w:p>
    <w:p w14:paraId="77A604AB">
      <w:pPr>
        <w:pStyle w:val="12"/>
        <w:spacing w:line="400" w:lineRule="atLeast"/>
        <w:ind w:firstLine="482" w:firstLineChars="200"/>
        <w:jc w:val="both"/>
        <w:rPr>
          <w:rFonts w:ascii="仿宋_GB2312" w:hAnsi="仿宋_GB2312" w:eastAsia="仿宋_GB2312" w:cs="仿宋_GB2312"/>
          <w:b/>
          <w:bCs/>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3、乙方具有下列事由之一的，甲方可以单方全部解除合同或部分解除合同或终止合同，乙方已收款项全部无条件返还：</w:t>
      </w:r>
    </w:p>
    <w:p w14:paraId="06E212FC">
      <w:pPr>
        <w:pStyle w:val="12"/>
        <w:spacing w:line="400" w:lineRule="atLeast"/>
        <w:ind w:firstLine="480" w:firstLineChars="200"/>
        <w:jc w:val="both"/>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3.1乙方所提供的产品无法通过相关部门（如质监、监理、设计方、甲方及当地相关政府部门等）验收合格；</w:t>
      </w:r>
    </w:p>
    <w:p w14:paraId="074BCC5E">
      <w:pPr>
        <w:pStyle w:val="12"/>
        <w:spacing w:line="400" w:lineRule="atLeast"/>
        <w:ind w:firstLine="480" w:firstLineChars="200"/>
        <w:jc w:val="both"/>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3.2在产品使用后发生因产品质量问题造成人员、财产受到损害的；</w:t>
      </w:r>
    </w:p>
    <w:p w14:paraId="7C7009D8">
      <w:pPr>
        <w:pStyle w:val="12"/>
        <w:spacing w:line="400" w:lineRule="atLeast"/>
        <w:ind w:firstLine="480" w:firstLineChars="200"/>
        <w:jc w:val="both"/>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3.3乙方将本合同项下权利义务全部或部分转让的；</w:t>
      </w:r>
    </w:p>
    <w:p w14:paraId="3FBAC3CA">
      <w:pPr>
        <w:pStyle w:val="12"/>
        <w:spacing w:line="400" w:lineRule="atLeast"/>
        <w:ind w:firstLine="480" w:firstLineChars="200"/>
        <w:jc w:val="both"/>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3.4未按本合同约定时间交货累计延误达10日历天；</w:t>
      </w:r>
    </w:p>
    <w:p w14:paraId="5F07BBAD">
      <w:pPr>
        <w:pStyle w:val="12"/>
        <w:spacing w:line="400" w:lineRule="atLeast"/>
        <w:ind w:firstLine="480" w:firstLineChars="200"/>
        <w:jc w:val="both"/>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3.5因产品质量未达到本合同专用条款第四条技术标准及质量要求和国家、地方政府相关部门的相关规范和要求，在甲方要求时间内无法更换或补充至甲方要求；</w:t>
      </w:r>
    </w:p>
    <w:p w14:paraId="0AA848DC">
      <w:pPr>
        <w:pStyle w:val="12"/>
        <w:spacing w:line="400" w:lineRule="atLeast"/>
        <w:ind w:firstLine="480" w:firstLineChars="200"/>
        <w:jc w:val="both"/>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3.6甲方发现产品不能满足本合同约定的质量标准时，或在本合同履行过程中，乙方未按甲方的要求及时进行整改的；</w:t>
      </w:r>
    </w:p>
    <w:p w14:paraId="12B19807">
      <w:pPr>
        <w:pStyle w:val="12"/>
        <w:spacing w:line="400" w:lineRule="atLeast"/>
        <w:ind w:firstLine="480" w:firstLineChars="200"/>
        <w:jc w:val="both"/>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3.7在本合同履行过程中乙方漠视甲方、设计方指令的或未按甲方、设计方指令执行的；</w:t>
      </w:r>
    </w:p>
    <w:p w14:paraId="39ACA74B">
      <w:pPr>
        <w:pStyle w:val="12"/>
        <w:spacing w:line="400" w:lineRule="atLeast"/>
        <w:ind w:firstLine="480" w:firstLineChars="200"/>
        <w:jc w:val="both"/>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3.9其他法律规定可解除合同的事由。</w:t>
      </w:r>
    </w:p>
    <w:p w14:paraId="2032456B">
      <w:pPr>
        <w:pStyle w:val="12"/>
        <w:spacing w:line="400" w:lineRule="atLeast"/>
        <w:ind w:firstLine="480" w:firstLineChars="200"/>
        <w:jc w:val="both"/>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如发生上述事项，甲方将解除或终止合同的意思表示（书面或传真）通知乙方后合同解除或终止。合同解除后乙方仍应承担上述因乙方原因而产生的违约金和因此给甲方造成的全部直接和间接经济损失。乙方在收到解除或终止合同的通知后应无条件配合甲方处理善后事宜。</w:t>
      </w:r>
    </w:p>
    <w:p w14:paraId="23CF8C8E">
      <w:pPr>
        <w:pStyle w:val="12"/>
        <w:spacing w:line="400" w:lineRule="atLeast"/>
        <w:ind w:firstLine="482" w:firstLineChars="200"/>
        <w:jc w:val="both"/>
        <w:rPr>
          <w:rFonts w:ascii="仿宋_GB2312" w:hAnsi="仿宋_GB2312" w:eastAsia="仿宋_GB2312" w:cs="仿宋_GB2312"/>
          <w:b/>
          <w:bCs/>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4、合同解除或终止后，乙方应当积极配合甲方及时办理合同结算及支付手续，否则甲方有权单方办理结算，视为乙方认可甲方审定的结算额</w:t>
      </w:r>
      <w:bookmarkEnd w:id="108"/>
      <w:r>
        <w:rPr>
          <w:rFonts w:hint="eastAsia" w:ascii="仿宋_GB2312" w:hAnsi="仿宋_GB2312" w:eastAsia="仿宋_GB2312" w:cs="仿宋_GB2312"/>
          <w:b/>
          <w:bCs/>
          <w:color w:val="000000" w:themeColor="text1"/>
          <w:highlight w:val="none"/>
          <w14:textFill>
            <w14:solidFill>
              <w14:schemeClr w14:val="tx1"/>
            </w14:solidFill>
          </w14:textFill>
        </w:rPr>
        <w:t>。</w:t>
      </w:r>
    </w:p>
    <w:p w14:paraId="22DBC04B">
      <w:pPr>
        <w:pStyle w:val="12"/>
        <w:numPr>
          <w:ilvl w:val="0"/>
          <w:numId w:val="8"/>
        </w:numPr>
        <w:spacing w:before="120" w:beforeLines="50" w:after="120" w:afterLines="50" w:line="400" w:lineRule="atLeast"/>
        <w:ind w:firstLine="482" w:firstLineChars="200"/>
        <w:outlineLvl w:val="0"/>
        <w:rPr>
          <w:rFonts w:ascii="仿宋_GB2312" w:hAnsi="仿宋_GB2312" w:eastAsia="仿宋_GB2312" w:cs="仿宋_GB2312"/>
          <w:b/>
          <w:bCs/>
          <w:color w:val="000000" w:themeColor="text1"/>
          <w:highlight w:val="none"/>
          <w14:textFill>
            <w14:solidFill>
              <w14:schemeClr w14:val="tx1"/>
            </w14:solidFill>
          </w14:textFill>
        </w:rPr>
      </w:pPr>
      <w:bookmarkStart w:id="109" w:name="_Toc24603"/>
      <w:bookmarkStart w:id="110" w:name="_Toc17777"/>
      <w:bookmarkStart w:id="111" w:name="_Toc16580"/>
      <w:r>
        <w:rPr>
          <w:rFonts w:hint="eastAsia" w:ascii="仿宋_GB2312" w:hAnsi="仿宋_GB2312" w:eastAsia="仿宋_GB2312" w:cs="仿宋_GB2312"/>
          <w:b/>
          <w:bCs/>
          <w:color w:val="000000" w:themeColor="text1"/>
          <w:highlight w:val="none"/>
          <w14:textFill>
            <w14:solidFill>
              <w14:schemeClr w14:val="tx1"/>
            </w14:solidFill>
          </w14:textFill>
        </w:rPr>
        <w:t>不可抗力</w:t>
      </w:r>
      <w:bookmarkEnd w:id="109"/>
      <w:bookmarkEnd w:id="110"/>
      <w:bookmarkEnd w:id="111"/>
    </w:p>
    <w:p w14:paraId="3B25D2A9">
      <w:pPr>
        <w:pStyle w:val="12"/>
        <w:numPr>
          <w:ilvl w:val="0"/>
          <w:numId w:val="12"/>
        </w:numPr>
        <w:spacing w:line="400" w:lineRule="atLeast"/>
        <w:ind w:firstLine="482"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不可抗力的确认和通知</w:t>
      </w:r>
    </w:p>
    <w:p w14:paraId="0F8C3D7E">
      <w:pPr>
        <w:pStyle w:val="12"/>
        <w:numPr>
          <w:ilvl w:val="255"/>
          <w:numId w:val="0"/>
        </w:numPr>
        <w:spacing w:line="400" w:lineRule="atLeast"/>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lang w:eastAsia="zh-Hans"/>
          <w14:textFill>
            <w14:solidFill>
              <w14:schemeClr w14:val="tx1"/>
            </w14:solidFill>
          </w14:textFill>
        </w:rPr>
        <w:t xml:space="preserve">    </w:t>
      </w:r>
      <w:r>
        <w:rPr>
          <w:rFonts w:hint="eastAsia" w:ascii="仿宋_GB2312" w:hAnsi="仿宋_GB2312" w:eastAsia="仿宋_GB2312" w:cs="仿宋_GB2312"/>
          <w:color w:val="000000" w:themeColor="text1"/>
          <w:highlight w:val="none"/>
          <w14:textFill>
            <w14:solidFill>
              <w14:schemeClr w14:val="tx1"/>
            </w14:solidFill>
          </w14:textFill>
        </w:rPr>
        <w:t>不可抗力是指合同当事人在签订合同时不可预见，在合同履行过程中不可避免且不能克服的自然灾害和社会性突发事件，如地震、海啸、火灾、特大风雪、连续暴雨、特大降水、洪水等自然灾害，瘟疫、骚乱、戒严、暴动、战争、爆发性传染疾病、雾霾停工及其它通知的政府行为。合同一方当事人遇到不可抗力事件，使其履行合同义务受到阻碍时，应立即通知合同另一方当事人，书面说明不可抗力和受阻碍的详细情况，并提供必要的证明。</w:t>
      </w:r>
    </w:p>
    <w:p w14:paraId="5D74ACE7">
      <w:pPr>
        <w:pStyle w:val="12"/>
        <w:numPr>
          <w:ilvl w:val="0"/>
          <w:numId w:val="12"/>
        </w:numPr>
        <w:spacing w:line="400" w:lineRule="atLeast"/>
        <w:ind w:firstLine="482"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不可抗力的通知</w:t>
      </w:r>
    </w:p>
    <w:p w14:paraId="46AD6D07">
      <w:pPr>
        <w:pStyle w:val="12"/>
        <w:numPr>
          <w:ilvl w:val="255"/>
          <w:numId w:val="0"/>
        </w:numPr>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2.1 不可抗力事件发生后，</w:t>
      </w:r>
      <w:r>
        <w:rPr>
          <w:rFonts w:hint="eastAsia" w:ascii="仿宋_GB2312" w:hAnsi="仿宋_GB2312" w:eastAsia="仿宋_GB2312" w:cs="仿宋_GB2312"/>
          <w:color w:val="000000" w:themeColor="text1"/>
          <w:highlight w:val="none"/>
          <w:lang w:eastAsia="zh-CN"/>
          <w14:textFill>
            <w14:solidFill>
              <w14:schemeClr w14:val="tx1"/>
            </w14:solidFill>
          </w14:textFill>
        </w:rPr>
        <w:t>乙方</w:t>
      </w:r>
      <w:r>
        <w:rPr>
          <w:rFonts w:hint="eastAsia" w:ascii="仿宋_GB2312" w:hAnsi="仿宋_GB2312" w:eastAsia="仿宋_GB2312" w:cs="仿宋_GB2312"/>
          <w:color w:val="000000" w:themeColor="text1"/>
          <w:highlight w:val="none"/>
          <w14:textFill>
            <w14:solidFill>
              <w14:schemeClr w14:val="tx1"/>
            </w14:solidFill>
          </w14:textFill>
        </w:rPr>
        <w:t>应立即通知</w:t>
      </w:r>
      <w:r>
        <w:rPr>
          <w:rFonts w:hint="eastAsia" w:ascii="仿宋_GB2312" w:hAnsi="仿宋_GB2312" w:eastAsia="仿宋_GB2312" w:cs="仿宋_GB2312"/>
          <w:color w:val="000000" w:themeColor="text1"/>
          <w:highlight w:val="none"/>
          <w:lang w:eastAsia="zh-CN"/>
          <w14:textFill>
            <w14:solidFill>
              <w14:schemeClr w14:val="tx1"/>
            </w14:solidFill>
          </w14:textFill>
        </w:rPr>
        <w:t>甲方</w:t>
      </w:r>
      <w:r>
        <w:rPr>
          <w:rFonts w:hint="eastAsia" w:ascii="仿宋_GB2312" w:hAnsi="仿宋_GB2312" w:eastAsia="仿宋_GB2312" w:cs="仿宋_GB2312"/>
          <w:color w:val="000000" w:themeColor="text1"/>
          <w:highlight w:val="none"/>
          <w14:textFill>
            <w14:solidFill>
              <w14:schemeClr w14:val="tx1"/>
            </w14:solidFill>
          </w14:textFill>
        </w:rPr>
        <w:t>，并在力所能及的条件下迅速采取措施，尽力减少损失，</w:t>
      </w:r>
      <w:r>
        <w:rPr>
          <w:rFonts w:hint="eastAsia" w:ascii="仿宋_GB2312" w:hAnsi="仿宋_GB2312" w:eastAsia="仿宋_GB2312" w:cs="仿宋_GB2312"/>
          <w:color w:val="000000" w:themeColor="text1"/>
          <w:highlight w:val="none"/>
          <w:lang w:eastAsia="zh-CN"/>
          <w14:textFill>
            <w14:solidFill>
              <w14:schemeClr w14:val="tx1"/>
            </w14:solidFill>
          </w14:textFill>
        </w:rPr>
        <w:t>甲方</w:t>
      </w:r>
      <w:r>
        <w:rPr>
          <w:rFonts w:hint="eastAsia" w:ascii="仿宋_GB2312" w:hAnsi="仿宋_GB2312" w:eastAsia="仿宋_GB2312" w:cs="仿宋_GB2312"/>
          <w:color w:val="000000" w:themeColor="text1"/>
          <w:highlight w:val="none"/>
          <w14:textFill>
            <w14:solidFill>
              <w14:schemeClr w14:val="tx1"/>
            </w14:solidFill>
          </w14:textFill>
        </w:rPr>
        <w:t>应协助</w:t>
      </w:r>
      <w:r>
        <w:rPr>
          <w:rFonts w:hint="eastAsia" w:ascii="仿宋_GB2312" w:hAnsi="仿宋_GB2312" w:eastAsia="仿宋_GB2312" w:cs="仿宋_GB2312"/>
          <w:color w:val="000000" w:themeColor="text1"/>
          <w:highlight w:val="none"/>
          <w:lang w:eastAsia="zh-CN"/>
          <w14:textFill>
            <w14:solidFill>
              <w14:schemeClr w14:val="tx1"/>
            </w14:solidFill>
          </w14:textFill>
        </w:rPr>
        <w:t>乙方</w:t>
      </w:r>
      <w:r>
        <w:rPr>
          <w:rFonts w:hint="eastAsia" w:ascii="仿宋_GB2312" w:hAnsi="仿宋_GB2312" w:eastAsia="仿宋_GB2312" w:cs="仿宋_GB2312"/>
          <w:color w:val="000000" w:themeColor="text1"/>
          <w:highlight w:val="none"/>
          <w14:textFill>
            <w14:solidFill>
              <w14:schemeClr w14:val="tx1"/>
            </w14:solidFill>
          </w14:textFill>
        </w:rPr>
        <w:t>采取措施。若因</w:t>
      </w:r>
      <w:r>
        <w:rPr>
          <w:rFonts w:hint="eastAsia" w:ascii="仿宋_GB2312" w:hAnsi="仿宋_GB2312" w:eastAsia="仿宋_GB2312" w:cs="仿宋_GB2312"/>
          <w:color w:val="000000" w:themeColor="text1"/>
          <w:highlight w:val="none"/>
          <w:lang w:eastAsia="zh-CN"/>
          <w14:textFill>
            <w14:solidFill>
              <w14:schemeClr w14:val="tx1"/>
            </w14:solidFill>
          </w14:textFill>
        </w:rPr>
        <w:t>乙方</w:t>
      </w:r>
      <w:r>
        <w:rPr>
          <w:rFonts w:hint="eastAsia" w:ascii="仿宋_GB2312" w:hAnsi="仿宋_GB2312" w:eastAsia="仿宋_GB2312" w:cs="仿宋_GB2312"/>
          <w:color w:val="000000" w:themeColor="text1"/>
          <w:highlight w:val="none"/>
          <w14:textFill>
            <w14:solidFill>
              <w14:schemeClr w14:val="tx1"/>
            </w14:solidFill>
          </w14:textFill>
        </w:rPr>
        <w:t>未能尽力挽救，导致损失扩大的，由</w:t>
      </w:r>
      <w:r>
        <w:rPr>
          <w:rFonts w:hint="eastAsia" w:ascii="仿宋_GB2312" w:hAnsi="仿宋_GB2312" w:eastAsia="仿宋_GB2312" w:cs="仿宋_GB2312"/>
          <w:color w:val="000000" w:themeColor="text1"/>
          <w:highlight w:val="none"/>
          <w:lang w:eastAsia="zh-CN"/>
          <w14:textFill>
            <w14:solidFill>
              <w14:schemeClr w14:val="tx1"/>
            </w14:solidFill>
          </w14:textFill>
        </w:rPr>
        <w:t>乙方</w:t>
      </w:r>
      <w:r>
        <w:rPr>
          <w:rFonts w:hint="eastAsia" w:ascii="仿宋_GB2312" w:hAnsi="仿宋_GB2312" w:eastAsia="仿宋_GB2312" w:cs="仿宋_GB2312"/>
          <w:color w:val="000000" w:themeColor="text1"/>
          <w:highlight w:val="none"/>
          <w14:textFill>
            <w14:solidFill>
              <w14:schemeClr w14:val="tx1"/>
            </w14:solidFill>
          </w14:textFill>
        </w:rPr>
        <w:t>承担全部责任。</w:t>
      </w:r>
    </w:p>
    <w:p w14:paraId="50ECE559">
      <w:pPr>
        <w:pStyle w:val="12"/>
        <w:numPr>
          <w:ilvl w:val="255"/>
          <w:numId w:val="0"/>
        </w:numPr>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2.2 不可抗力事件结束后14天内，</w:t>
      </w:r>
      <w:r>
        <w:rPr>
          <w:rFonts w:hint="eastAsia" w:ascii="仿宋_GB2312" w:hAnsi="仿宋_GB2312" w:eastAsia="仿宋_GB2312" w:cs="仿宋_GB2312"/>
          <w:color w:val="000000" w:themeColor="text1"/>
          <w:highlight w:val="none"/>
          <w:lang w:eastAsia="zh-CN"/>
          <w14:textFill>
            <w14:solidFill>
              <w14:schemeClr w14:val="tx1"/>
            </w14:solidFill>
          </w14:textFill>
        </w:rPr>
        <w:t>乙方</w:t>
      </w:r>
      <w:r>
        <w:rPr>
          <w:rFonts w:hint="eastAsia" w:ascii="仿宋_GB2312" w:hAnsi="仿宋_GB2312" w:eastAsia="仿宋_GB2312" w:cs="仿宋_GB2312"/>
          <w:color w:val="000000" w:themeColor="text1"/>
          <w:highlight w:val="none"/>
          <w14:textFill>
            <w14:solidFill>
              <w14:schemeClr w14:val="tx1"/>
            </w14:solidFill>
          </w14:textFill>
        </w:rPr>
        <w:t>应向</w:t>
      </w:r>
      <w:r>
        <w:rPr>
          <w:rFonts w:hint="eastAsia" w:ascii="仿宋_GB2312" w:hAnsi="仿宋_GB2312" w:eastAsia="仿宋_GB2312" w:cs="仿宋_GB2312"/>
          <w:color w:val="000000" w:themeColor="text1"/>
          <w:highlight w:val="none"/>
          <w:lang w:eastAsia="zh-CN"/>
          <w14:textFill>
            <w14:solidFill>
              <w14:schemeClr w14:val="tx1"/>
            </w14:solidFill>
          </w14:textFill>
        </w:rPr>
        <w:t>甲方</w:t>
      </w:r>
      <w:r>
        <w:rPr>
          <w:rFonts w:hint="eastAsia" w:ascii="仿宋_GB2312" w:hAnsi="仿宋_GB2312" w:eastAsia="仿宋_GB2312" w:cs="仿宋_GB2312"/>
          <w:color w:val="000000" w:themeColor="text1"/>
          <w:highlight w:val="none"/>
          <w14:textFill>
            <w14:solidFill>
              <w14:schemeClr w14:val="tx1"/>
            </w14:solidFill>
          </w14:textFill>
        </w:rPr>
        <w:t>提交清理和修复费用的正式报告及有关资料。</w:t>
      </w:r>
    </w:p>
    <w:p w14:paraId="67CD9729">
      <w:pPr>
        <w:pStyle w:val="12"/>
        <w:numPr>
          <w:ilvl w:val="0"/>
          <w:numId w:val="12"/>
        </w:numPr>
        <w:spacing w:line="400" w:lineRule="atLeast"/>
        <w:ind w:firstLine="482" w:firstLineChars="200"/>
        <w:rPr>
          <w:rFonts w:ascii="仿宋_GB2312" w:hAnsi="仿宋_GB2312" w:eastAsia="仿宋_GB2312" w:cs="仿宋_GB2312"/>
          <w:b/>
          <w:bCs/>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不可抗力风险的承担</w:t>
      </w:r>
    </w:p>
    <w:p w14:paraId="742F1815">
      <w:pPr>
        <w:pStyle w:val="12"/>
        <w:numPr>
          <w:ilvl w:val="255"/>
          <w:numId w:val="0"/>
        </w:numPr>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3.1 不可抗力导致的人员伤亡、财产损失、费用增加和（或）作业期限延误等后果，由合同当事人按以下原则承担：</w:t>
      </w:r>
    </w:p>
    <w:p w14:paraId="7B09741C">
      <w:pPr>
        <w:pStyle w:val="12"/>
        <w:numPr>
          <w:ilvl w:val="255"/>
          <w:numId w:val="0"/>
        </w:numPr>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（1）</w:t>
      </w:r>
      <w:r>
        <w:rPr>
          <w:rFonts w:hint="eastAsia" w:ascii="仿宋_GB2312" w:hAnsi="仿宋_GB2312" w:eastAsia="仿宋_GB2312" w:cs="仿宋_GB2312"/>
          <w:color w:val="000000" w:themeColor="text1"/>
          <w:highlight w:val="none"/>
          <w:lang w:eastAsia="zh-CN"/>
          <w14:textFill>
            <w14:solidFill>
              <w14:schemeClr w14:val="tx1"/>
            </w14:solidFill>
          </w14:textFill>
        </w:rPr>
        <w:t>乙方</w:t>
      </w:r>
      <w:r>
        <w:rPr>
          <w:rFonts w:hint="eastAsia" w:ascii="仿宋_GB2312" w:hAnsi="仿宋_GB2312" w:eastAsia="仿宋_GB2312" w:cs="仿宋_GB2312"/>
          <w:color w:val="000000" w:themeColor="text1"/>
          <w:highlight w:val="none"/>
          <w14:textFill>
            <w14:solidFill>
              <w14:schemeClr w14:val="tx1"/>
            </w14:solidFill>
          </w14:textFill>
        </w:rPr>
        <w:t>施工设备的损坏由</w:t>
      </w:r>
      <w:r>
        <w:rPr>
          <w:rFonts w:hint="eastAsia" w:ascii="仿宋_GB2312" w:hAnsi="仿宋_GB2312" w:eastAsia="仿宋_GB2312" w:cs="仿宋_GB2312"/>
          <w:color w:val="000000" w:themeColor="text1"/>
          <w:highlight w:val="none"/>
          <w:lang w:eastAsia="zh-CN"/>
          <w14:textFill>
            <w14:solidFill>
              <w14:schemeClr w14:val="tx1"/>
            </w14:solidFill>
          </w14:textFill>
        </w:rPr>
        <w:t>乙方</w:t>
      </w:r>
      <w:r>
        <w:rPr>
          <w:rFonts w:hint="eastAsia" w:ascii="仿宋_GB2312" w:hAnsi="仿宋_GB2312" w:eastAsia="仿宋_GB2312" w:cs="仿宋_GB2312"/>
          <w:color w:val="000000" w:themeColor="text1"/>
          <w:highlight w:val="none"/>
          <w14:textFill>
            <w14:solidFill>
              <w14:schemeClr w14:val="tx1"/>
            </w14:solidFill>
          </w14:textFill>
        </w:rPr>
        <w:t>承担；</w:t>
      </w:r>
    </w:p>
    <w:p w14:paraId="6868AC1A">
      <w:pPr>
        <w:pStyle w:val="12"/>
        <w:numPr>
          <w:ilvl w:val="255"/>
          <w:numId w:val="0"/>
        </w:numPr>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（2）</w:t>
      </w:r>
      <w:r>
        <w:rPr>
          <w:rFonts w:hint="eastAsia" w:ascii="仿宋_GB2312" w:hAnsi="仿宋_GB2312" w:eastAsia="仿宋_GB2312" w:cs="仿宋_GB2312"/>
          <w:color w:val="000000" w:themeColor="text1"/>
          <w:highlight w:val="none"/>
          <w:lang w:eastAsia="zh-CN"/>
          <w14:textFill>
            <w14:solidFill>
              <w14:schemeClr w14:val="tx1"/>
            </w14:solidFill>
          </w14:textFill>
        </w:rPr>
        <w:t>甲方</w:t>
      </w:r>
      <w:r>
        <w:rPr>
          <w:rFonts w:hint="eastAsia" w:ascii="仿宋_GB2312" w:hAnsi="仿宋_GB2312" w:eastAsia="仿宋_GB2312" w:cs="仿宋_GB2312"/>
          <w:color w:val="000000" w:themeColor="text1"/>
          <w:highlight w:val="none"/>
          <w14:textFill>
            <w14:solidFill>
              <w14:schemeClr w14:val="tx1"/>
            </w14:solidFill>
          </w14:textFill>
        </w:rPr>
        <w:t>和</w:t>
      </w:r>
      <w:r>
        <w:rPr>
          <w:rFonts w:hint="eastAsia" w:ascii="仿宋_GB2312" w:hAnsi="仿宋_GB2312" w:eastAsia="仿宋_GB2312" w:cs="仿宋_GB2312"/>
          <w:color w:val="000000" w:themeColor="text1"/>
          <w:highlight w:val="none"/>
          <w:lang w:eastAsia="zh-CN"/>
          <w14:textFill>
            <w14:solidFill>
              <w14:schemeClr w14:val="tx1"/>
            </w14:solidFill>
          </w14:textFill>
        </w:rPr>
        <w:t>乙方</w:t>
      </w:r>
      <w:r>
        <w:rPr>
          <w:rFonts w:hint="eastAsia" w:ascii="仿宋_GB2312" w:hAnsi="仿宋_GB2312" w:eastAsia="仿宋_GB2312" w:cs="仿宋_GB2312"/>
          <w:color w:val="000000" w:themeColor="text1"/>
          <w:highlight w:val="none"/>
          <w14:textFill>
            <w14:solidFill>
              <w14:schemeClr w14:val="tx1"/>
            </w14:solidFill>
          </w14:textFill>
        </w:rPr>
        <w:t>承担各自人员伤亡和财产的损失；</w:t>
      </w:r>
    </w:p>
    <w:p w14:paraId="4DBC6AC5">
      <w:pPr>
        <w:pStyle w:val="12"/>
        <w:numPr>
          <w:ilvl w:val="255"/>
          <w:numId w:val="0"/>
        </w:numPr>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（3）因不可抗力影响</w:t>
      </w:r>
      <w:r>
        <w:rPr>
          <w:rFonts w:hint="eastAsia" w:ascii="仿宋_GB2312" w:hAnsi="仿宋_GB2312" w:eastAsia="仿宋_GB2312" w:cs="仿宋_GB2312"/>
          <w:color w:val="000000" w:themeColor="text1"/>
          <w:highlight w:val="none"/>
          <w:lang w:eastAsia="zh-CN"/>
          <w14:textFill>
            <w14:solidFill>
              <w14:schemeClr w14:val="tx1"/>
            </w14:solidFill>
          </w14:textFill>
        </w:rPr>
        <w:t>乙方</w:t>
      </w:r>
      <w:r>
        <w:rPr>
          <w:rFonts w:hint="eastAsia" w:ascii="仿宋_GB2312" w:hAnsi="仿宋_GB2312" w:eastAsia="仿宋_GB2312" w:cs="仿宋_GB2312"/>
          <w:color w:val="000000" w:themeColor="text1"/>
          <w:highlight w:val="none"/>
          <w14:textFill>
            <w14:solidFill>
              <w14:schemeClr w14:val="tx1"/>
            </w14:solidFill>
          </w14:textFill>
        </w:rPr>
        <w:t>履行合同约定的义务，已经引起或将引起工期延误的，应当顺延工期，由此导致</w:t>
      </w:r>
      <w:r>
        <w:rPr>
          <w:rFonts w:hint="eastAsia" w:ascii="仿宋_GB2312" w:hAnsi="仿宋_GB2312" w:eastAsia="仿宋_GB2312" w:cs="仿宋_GB2312"/>
          <w:color w:val="000000" w:themeColor="text1"/>
          <w:highlight w:val="none"/>
          <w:lang w:eastAsia="zh-CN"/>
          <w14:textFill>
            <w14:solidFill>
              <w14:schemeClr w14:val="tx1"/>
            </w14:solidFill>
          </w14:textFill>
        </w:rPr>
        <w:t>乙方</w:t>
      </w:r>
      <w:r>
        <w:rPr>
          <w:rFonts w:hint="eastAsia" w:ascii="仿宋_GB2312" w:hAnsi="仿宋_GB2312" w:eastAsia="仿宋_GB2312" w:cs="仿宋_GB2312"/>
          <w:color w:val="000000" w:themeColor="text1"/>
          <w:highlight w:val="none"/>
          <w14:textFill>
            <w14:solidFill>
              <w14:schemeClr w14:val="tx1"/>
            </w14:solidFill>
          </w14:textFill>
        </w:rPr>
        <w:t>停工的费用损失由</w:t>
      </w:r>
      <w:r>
        <w:rPr>
          <w:rFonts w:hint="eastAsia" w:ascii="仿宋_GB2312" w:hAnsi="仿宋_GB2312" w:eastAsia="仿宋_GB2312" w:cs="仿宋_GB2312"/>
          <w:color w:val="000000" w:themeColor="text1"/>
          <w:highlight w:val="none"/>
          <w:lang w:eastAsia="zh-CN"/>
          <w14:textFill>
            <w14:solidFill>
              <w14:schemeClr w14:val="tx1"/>
            </w14:solidFill>
          </w14:textFill>
        </w:rPr>
        <w:t>乙方</w:t>
      </w:r>
      <w:r>
        <w:rPr>
          <w:rFonts w:hint="eastAsia" w:ascii="仿宋_GB2312" w:hAnsi="仿宋_GB2312" w:eastAsia="仿宋_GB2312" w:cs="仿宋_GB2312"/>
          <w:color w:val="000000" w:themeColor="text1"/>
          <w:highlight w:val="none"/>
          <w14:textFill>
            <w14:solidFill>
              <w14:schemeClr w14:val="tx1"/>
            </w14:solidFill>
          </w14:textFill>
        </w:rPr>
        <w:t>承担；</w:t>
      </w:r>
    </w:p>
    <w:p w14:paraId="306E1EEB">
      <w:pPr>
        <w:pStyle w:val="12"/>
        <w:numPr>
          <w:ilvl w:val="255"/>
          <w:numId w:val="0"/>
        </w:numPr>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（4）因不可抗力引起或将引起工期延误，</w:t>
      </w:r>
      <w:r>
        <w:rPr>
          <w:rFonts w:hint="eastAsia" w:ascii="仿宋_GB2312" w:hAnsi="仿宋_GB2312" w:eastAsia="仿宋_GB2312" w:cs="仿宋_GB2312"/>
          <w:color w:val="000000" w:themeColor="text1"/>
          <w:highlight w:val="none"/>
          <w:lang w:eastAsia="zh-CN"/>
          <w14:textFill>
            <w14:solidFill>
              <w14:schemeClr w14:val="tx1"/>
            </w14:solidFill>
          </w14:textFill>
        </w:rPr>
        <w:t>甲方</w:t>
      </w:r>
      <w:r>
        <w:rPr>
          <w:rFonts w:hint="eastAsia" w:ascii="仿宋_GB2312" w:hAnsi="仿宋_GB2312" w:eastAsia="仿宋_GB2312" w:cs="仿宋_GB2312"/>
          <w:color w:val="000000" w:themeColor="text1"/>
          <w:highlight w:val="none"/>
          <w14:textFill>
            <w14:solidFill>
              <w14:schemeClr w14:val="tx1"/>
            </w14:solidFill>
          </w14:textFill>
        </w:rPr>
        <w:t>要求赶工的，由此增加的赶工费用由</w:t>
      </w:r>
      <w:r>
        <w:rPr>
          <w:rFonts w:hint="eastAsia" w:ascii="仿宋_GB2312" w:hAnsi="仿宋_GB2312" w:eastAsia="仿宋_GB2312" w:cs="仿宋_GB2312"/>
          <w:color w:val="000000" w:themeColor="text1"/>
          <w:highlight w:val="none"/>
          <w:lang w:eastAsia="zh-CN"/>
          <w14:textFill>
            <w14:solidFill>
              <w14:schemeClr w14:val="tx1"/>
            </w14:solidFill>
          </w14:textFill>
        </w:rPr>
        <w:t>甲方</w:t>
      </w:r>
      <w:r>
        <w:rPr>
          <w:rFonts w:hint="eastAsia" w:ascii="仿宋_GB2312" w:hAnsi="仿宋_GB2312" w:eastAsia="仿宋_GB2312" w:cs="仿宋_GB2312"/>
          <w:color w:val="000000" w:themeColor="text1"/>
          <w:highlight w:val="none"/>
          <w14:textFill>
            <w14:solidFill>
              <w14:schemeClr w14:val="tx1"/>
            </w14:solidFill>
          </w14:textFill>
        </w:rPr>
        <w:t>承担；</w:t>
      </w:r>
    </w:p>
    <w:p w14:paraId="09D09F34">
      <w:pPr>
        <w:pStyle w:val="12"/>
        <w:numPr>
          <w:ilvl w:val="255"/>
          <w:numId w:val="0"/>
        </w:numPr>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（5）</w:t>
      </w:r>
      <w:r>
        <w:rPr>
          <w:rFonts w:hint="eastAsia" w:ascii="仿宋_GB2312" w:hAnsi="仿宋_GB2312" w:eastAsia="仿宋_GB2312" w:cs="仿宋_GB2312"/>
          <w:color w:val="000000" w:themeColor="text1"/>
          <w:highlight w:val="none"/>
          <w:lang w:eastAsia="zh-CN"/>
          <w14:textFill>
            <w14:solidFill>
              <w14:schemeClr w14:val="tx1"/>
            </w14:solidFill>
          </w14:textFill>
        </w:rPr>
        <w:t>乙方</w:t>
      </w:r>
      <w:r>
        <w:rPr>
          <w:rFonts w:hint="eastAsia" w:ascii="仿宋_GB2312" w:hAnsi="仿宋_GB2312" w:eastAsia="仿宋_GB2312" w:cs="仿宋_GB2312"/>
          <w:color w:val="000000" w:themeColor="text1"/>
          <w:highlight w:val="none"/>
          <w14:textFill>
            <w14:solidFill>
              <w14:schemeClr w14:val="tx1"/>
            </w14:solidFill>
          </w14:textFill>
        </w:rPr>
        <w:t>在停工期间按照</w:t>
      </w:r>
      <w:r>
        <w:rPr>
          <w:rFonts w:hint="eastAsia" w:ascii="仿宋_GB2312" w:hAnsi="仿宋_GB2312" w:eastAsia="仿宋_GB2312" w:cs="仿宋_GB2312"/>
          <w:color w:val="000000" w:themeColor="text1"/>
          <w:highlight w:val="none"/>
          <w:lang w:eastAsia="zh-CN"/>
          <w14:textFill>
            <w14:solidFill>
              <w14:schemeClr w14:val="tx1"/>
            </w14:solidFill>
          </w14:textFill>
        </w:rPr>
        <w:t>甲方</w:t>
      </w:r>
      <w:r>
        <w:rPr>
          <w:rFonts w:hint="eastAsia" w:ascii="仿宋_GB2312" w:hAnsi="仿宋_GB2312" w:eastAsia="仿宋_GB2312" w:cs="仿宋_GB2312"/>
          <w:color w:val="000000" w:themeColor="text1"/>
          <w:highlight w:val="none"/>
          <w14:textFill>
            <w14:solidFill>
              <w14:schemeClr w14:val="tx1"/>
            </w14:solidFill>
          </w14:textFill>
        </w:rPr>
        <w:t>要求照管和清理</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甲方</w:t>
      </w:r>
      <w:r>
        <w:rPr>
          <w:rFonts w:hint="eastAsia" w:ascii="仿宋_GB2312" w:hAnsi="仿宋_GB2312" w:eastAsia="仿宋_GB2312" w:cs="仿宋_GB2312"/>
          <w:color w:val="000000" w:themeColor="text1"/>
          <w:highlight w:val="none"/>
          <w14:textFill>
            <w14:solidFill>
              <w14:schemeClr w14:val="tx1"/>
            </w14:solidFill>
          </w14:textFill>
        </w:rPr>
        <w:t>工程的费用由</w:t>
      </w:r>
      <w:r>
        <w:rPr>
          <w:rFonts w:hint="eastAsia" w:ascii="仿宋_GB2312" w:hAnsi="仿宋_GB2312" w:eastAsia="仿宋_GB2312" w:cs="仿宋_GB2312"/>
          <w:color w:val="000000" w:themeColor="text1"/>
          <w:highlight w:val="none"/>
          <w:lang w:eastAsia="zh-CN"/>
          <w14:textFill>
            <w14:solidFill>
              <w14:schemeClr w14:val="tx1"/>
            </w14:solidFill>
          </w14:textFill>
        </w:rPr>
        <w:t>甲方</w:t>
      </w:r>
      <w:r>
        <w:rPr>
          <w:rFonts w:hint="eastAsia" w:ascii="仿宋_GB2312" w:hAnsi="仿宋_GB2312" w:eastAsia="仿宋_GB2312" w:cs="仿宋_GB2312"/>
          <w:color w:val="000000" w:themeColor="text1"/>
          <w:highlight w:val="none"/>
          <w14:textFill>
            <w14:solidFill>
              <w14:schemeClr w14:val="tx1"/>
            </w14:solidFill>
          </w14:textFill>
        </w:rPr>
        <w:t>承担。</w:t>
      </w:r>
    </w:p>
    <w:p w14:paraId="6B595DA7">
      <w:pPr>
        <w:pStyle w:val="12"/>
        <w:numPr>
          <w:ilvl w:val="255"/>
          <w:numId w:val="0"/>
        </w:numPr>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不可抗力发生后，合同当事人均应采取措施尽量避免和减少损失的扩大，任何一方当事人没有采取有效措施导致损失扩大的，应对扩大的损失承担责任。</w:t>
      </w:r>
    </w:p>
    <w:p w14:paraId="7355F74C">
      <w:pPr>
        <w:pStyle w:val="12"/>
        <w:numPr>
          <w:ilvl w:val="255"/>
          <w:numId w:val="0"/>
        </w:numPr>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3.2 因合同一方迟延履行合同义务，在迟延履行期间遭遇不可抗力的，不免除其违约责任。</w:t>
      </w:r>
    </w:p>
    <w:p w14:paraId="140200E8">
      <w:pPr>
        <w:pStyle w:val="12"/>
        <w:numPr>
          <w:ilvl w:val="0"/>
          <w:numId w:val="12"/>
        </w:numPr>
        <w:spacing w:line="400" w:lineRule="atLeast"/>
        <w:ind w:firstLine="482" w:firstLineChars="200"/>
        <w:rPr>
          <w:rFonts w:ascii="仿宋_GB2312" w:hAnsi="仿宋_GB2312" w:eastAsia="仿宋_GB2312" w:cs="仿宋_GB2312"/>
          <w:b/>
          <w:bCs/>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因不可抗力解除合同</w:t>
      </w:r>
    </w:p>
    <w:p w14:paraId="65C380D5">
      <w:pPr>
        <w:pStyle w:val="12"/>
        <w:numPr>
          <w:ilvl w:val="255"/>
          <w:numId w:val="0"/>
        </w:numPr>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因不可抗力导致本合同无法履行连续超过84天或累计超过140天的，甲方和乙方均有权解除本合同。本合同解除后，甲方有权暂停对乙方的付款，直到双方就退场达成一致。</w:t>
      </w:r>
    </w:p>
    <w:p w14:paraId="67B052E0">
      <w:pPr>
        <w:pStyle w:val="12"/>
        <w:numPr>
          <w:ilvl w:val="0"/>
          <w:numId w:val="8"/>
        </w:numPr>
        <w:spacing w:before="120" w:beforeLines="50" w:after="120" w:afterLines="50" w:line="400" w:lineRule="atLeast"/>
        <w:ind w:firstLine="482" w:firstLineChars="200"/>
        <w:outlineLvl w:val="0"/>
        <w:rPr>
          <w:rFonts w:ascii="仿宋_GB2312" w:hAnsi="仿宋_GB2312" w:eastAsia="仿宋_GB2312" w:cs="仿宋_GB2312"/>
          <w:b/>
          <w:bCs/>
          <w:color w:val="000000" w:themeColor="text1"/>
          <w:highlight w:val="yellow"/>
          <w14:textFill>
            <w14:solidFill>
              <w14:schemeClr w14:val="tx1"/>
            </w14:solidFill>
          </w14:textFill>
        </w:rPr>
      </w:pPr>
      <w:bookmarkStart w:id="112" w:name="_Toc9310"/>
      <w:bookmarkStart w:id="113" w:name="_Toc10852"/>
      <w:bookmarkStart w:id="114" w:name="_Toc18501"/>
      <w:r>
        <w:rPr>
          <w:rFonts w:hint="eastAsia" w:ascii="仿宋_GB2312" w:hAnsi="仿宋_GB2312" w:eastAsia="仿宋_GB2312" w:cs="仿宋_GB2312"/>
          <w:b/>
          <w:bCs/>
          <w:color w:val="000000" w:themeColor="text1"/>
          <w:highlight w:val="yellow"/>
          <w14:textFill>
            <w14:solidFill>
              <w14:schemeClr w14:val="tx1"/>
            </w14:solidFill>
          </w14:textFill>
        </w:rPr>
        <w:t>争议解决</w:t>
      </w:r>
      <w:bookmarkEnd w:id="112"/>
      <w:bookmarkEnd w:id="113"/>
      <w:bookmarkEnd w:id="114"/>
    </w:p>
    <w:p w14:paraId="5E4690C1">
      <w:pPr>
        <w:pStyle w:val="12"/>
        <w:spacing w:line="400" w:lineRule="atLeast"/>
        <w:ind w:firstLine="482" w:firstLineChars="200"/>
        <w:rPr>
          <w:rFonts w:ascii="仿宋_GB2312" w:hAnsi="仿宋_GB2312" w:eastAsia="仿宋_GB2312" w:cs="仿宋_GB2312"/>
          <w:color w:val="000000" w:themeColor="text1"/>
          <w:highlight w:val="yellow"/>
          <w14:textFill>
            <w14:solidFill>
              <w14:schemeClr w14:val="tx1"/>
            </w14:solidFill>
          </w14:textFill>
        </w:rPr>
      </w:pPr>
      <w:r>
        <w:rPr>
          <w:rFonts w:hint="eastAsia" w:ascii="仿宋_GB2312" w:hAnsi="仿宋_GB2312" w:eastAsia="仿宋_GB2312" w:cs="仿宋_GB2312"/>
          <w:b/>
          <w:bCs/>
          <w:color w:val="000000" w:themeColor="text1"/>
          <w:highlight w:val="yellow"/>
          <w14:textFill>
            <w14:solidFill>
              <w14:schemeClr w14:val="tx1"/>
            </w14:solidFill>
          </w14:textFill>
        </w:rPr>
        <w:t>1、争议和解：</w:t>
      </w:r>
      <w:r>
        <w:rPr>
          <w:rFonts w:hint="eastAsia" w:ascii="仿宋_GB2312" w:hAnsi="仿宋_GB2312" w:eastAsia="仿宋_GB2312" w:cs="仿宋_GB2312"/>
          <w:color w:val="000000" w:themeColor="text1"/>
          <w:highlight w:val="yellow"/>
          <w14:textFill>
            <w14:solidFill>
              <w14:schemeClr w14:val="tx1"/>
            </w14:solidFill>
          </w14:textFill>
        </w:rPr>
        <w:t>对因本合同引起或与之相关的任何争议、纠纷或权利主张，任何一方如欲通过本条第2款约定的方式解决，须在提起第2款约定的争议解决方式前，向对方发出书面和解申请书，并告知对方争议、纠纷或权利主张之事实及依据。</w:t>
      </w:r>
    </w:p>
    <w:p w14:paraId="1A0C7F5B">
      <w:pPr>
        <w:pStyle w:val="12"/>
        <w:spacing w:line="400" w:lineRule="atLeast"/>
        <w:ind w:firstLine="480" w:firstLineChars="200"/>
        <w:rPr>
          <w:rFonts w:ascii="仿宋_GB2312" w:hAnsi="仿宋_GB2312" w:eastAsia="仿宋_GB2312" w:cs="仿宋_GB2312"/>
          <w:color w:val="000000" w:themeColor="text1"/>
          <w:highlight w:val="yellow"/>
          <w14:textFill>
            <w14:solidFill>
              <w14:schemeClr w14:val="tx1"/>
            </w14:solidFill>
          </w14:textFill>
        </w:rPr>
      </w:pPr>
      <w:r>
        <w:rPr>
          <w:rFonts w:hint="eastAsia" w:ascii="仿宋_GB2312" w:hAnsi="仿宋_GB2312" w:eastAsia="仿宋_GB2312" w:cs="仿宋_GB2312"/>
          <w:color w:val="000000" w:themeColor="text1"/>
          <w:highlight w:val="yellow"/>
          <w14:textFill>
            <w14:solidFill>
              <w14:schemeClr w14:val="tx1"/>
            </w14:solidFill>
          </w14:textFill>
        </w:rPr>
        <w:t>在对方收到上述通知之日起</w:t>
      </w:r>
      <w:r>
        <w:rPr>
          <w:rFonts w:hint="eastAsia" w:ascii="仿宋_GB2312" w:hAnsi="仿宋_GB2312" w:eastAsia="仿宋_GB2312" w:cs="仿宋_GB2312"/>
          <w:color w:val="000000" w:themeColor="text1"/>
          <w:highlight w:val="yellow"/>
          <w:u w:val="single"/>
          <w14:textFill>
            <w14:solidFill>
              <w14:schemeClr w14:val="tx1"/>
            </w14:solidFill>
          </w14:textFill>
        </w:rPr>
        <w:t>3个月</w:t>
      </w:r>
      <w:r>
        <w:rPr>
          <w:rFonts w:hint="eastAsia" w:ascii="仿宋_GB2312" w:hAnsi="仿宋_GB2312" w:eastAsia="仿宋_GB2312" w:cs="仿宋_GB2312"/>
          <w:color w:val="000000" w:themeColor="text1"/>
          <w:highlight w:val="yellow"/>
          <w14:textFill>
            <w14:solidFill>
              <w14:schemeClr w14:val="tx1"/>
            </w14:solidFill>
          </w14:textFill>
        </w:rPr>
        <w:t>为双方和解期限。在和解期限内，若双方达成和解协议的，双方的权利义务按照和解协议履行；若未达成和解协议的，任何一方可采取本条第2款约定的争议解决方式。</w:t>
      </w:r>
    </w:p>
    <w:p w14:paraId="36F5936A">
      <w:pPr>
        <w:pStyle w:val="12"/>
        <w:spacing w:line="400" w:lineRule="atLeast"/>
        <w:ind w:firstLine="482" w:firstLineChars="200"/>
        <w:rPr>
          <w:rFonts w:hint="eastAsia" w:ascii="仿宋_GB2312" w:hAnsi="仿宋_GB2312" w:eastAsia="仿宋_GB2312" w:cs="仿宋_GB2312"/>
          <w:color w:val="000000" w:themeColor="text1"/>
          <w:highlight w:val="yellow"/>
          <w:lang w:val="en-US" w:eastAsia="zh-CN"/>
          <w14:textFill>
            <w14:solidFill>
              <w14:schemeClr w14:val="tx1"/>
            </w14:solidFill>
          </w14:textFill>
        </w:rPr>
      </w:pPr>
      <w:bookmarkStart w:id="115" w:name="_Hlk126770481"/>
      <w:bookmarkStart w:id="116" w:name="_Hlk126830485"/>
      <w:bookmarkStart w:id="117" w:name="_Toc31739"/>
      <w:bookmarkStart w:id="118" w:name="_Toc18393"/>
      <w:bookmarkStart w:id="119" w:name="_Toc11207"/>
      <w:r>
        <w:rPr>
          <w:rFonts w:hint="eastAsia" w:ascii="仿宋_GB2312" w:hAnsi="仿宋_GB2312" w:eastAsia="仿宋_GB2312" w:cs="仿宋_GB2312"/>
          <w:b/>
          <w:bCs/>
          <w:color w:val="000000" w:themeColor="text1"/>
          <w:highlight w:val="yellow"/>
          <w14:textFill>
            <w14:solidFill>
              <w14:schemeClr w14:val="tx1"/>
            </w14:solidFill>
          </w14:textFill>
        </w:rPr>
        <w:t>2、</w:t>
      </w:r>
      <w:bookmarkEnd w:id="115"/>
      <w:bookmarkEnd w:id="116"/>
      <w:bookmarkStart w:id="120" w:name="_Hlk127194929"/>
      <w:r>
        <w:rPr>
          <w:rFonts w:hint="eastAsia" w:ascii="仿宋_GB2312" w:hAnsi="仿宋_GB2312" w:eastAsia="仿宋_GB2312" w:cs="仿宋_GB2312"/>
          <w:b/>
          <w:bCs/>
          <w:color w:val="000000" w:themeColor="text1"/>
          <w:kern w:val="0"/>
          <w:sz w:val="24"/>
          <w:szCs w:val="24"/>
          <w:highlight w:val="yellow"/>
          <w:lang w:val="en-US" w:eastAsia="zh-CN" w:bidi="ar-SA"/>
          <w14:textFill>
            <w14:solidFill>
              <w14:schemeClr w14:val="tx1"/>
            </w14:solidFill>
          </w14:textFill>
        </w:rPr>
        <w:t>争议仲裁：</w:t>
      </w:r>
      <w:r>
        <w:rPr>
          <w:rFonts w:hint="eastAsia" w:ascii="仿宋_GB2312" w:hAnsi="仿宋_GB2312" w:eastAsia="仿宋_GB2312" w:cs="仿宋_GB2312"/>
          <w:color w:val="000000" w:themeColor="text1"/>
          <w:kern w:val="0"/>
          <w:sz w:val="24"/>
          <w:szCs w:val="24"/>
          <w:highlight w:val="yellow"/>
          <w:lang w:val="en-US" w:eastAsia="zh-CN" w:bidi="ar-SA"/>
          <w14:textFill>
            <w14:solidFill>
              <w14:schemeClr w14:val="tx1"/>
            </w14:solidFill>
          </w14:textFill>
        </w:rPr>
        <w:t>因本合同引起或与之相关任何争议、纠纷或权利主张，和解不成且已超过和解期的,双方同意提交石家庄仲裁委员会裁决。</w:t>
      </w:r>
    </w:p>
    <w:p w14:paraId="229698EE">
      <w:pPr>
        <w:pStyle w:val="12"/>
        <w:spacing w:line="400" w:lineRule="atLeast"/>
        <w:ind w:firstLine="482" w:firstLineChars="200"/>
        <w:jc w:val="both"/>
        <w:rPr>
          <w:rFonts w:ascii="仿宋_GB2312" w:hAnsi="仿宋_GB2312" w:eastAsia="仿宋_GB2312" w:cs="仿宋_GB2312"/>
          <w:b/>
          <w:bCs/>
          <w:color w:val="000000" w:themeColor="text1"/>
          <w:highlight w:val="yellow"/>
          <w14:textFill>
            <w14:solidFill>
              <w14:schemeClr w14:val="tx1"/>
            </w14:solidFill>
          </w14:textFill>
        </w:rPr>
      </w:pPr>
      <w:r>
        <w:rPr>
          <w:rFonts w:hint="eastAsia" w:ascii="仿宋_GB2312" w:hAnsi="仿宋_GB2312" w:eastAsia="仿宋_GB2312" w:cs="仿宋_GB2312"/>
          <w:b/>
          <w:bCs/>
          <w:color w:val="000000" w:themeColor="text1"/>
          <w:highlight w:val="yellow"/>
          <w14:textFill>
            <w14:solidFill>
              <w14:schemeClr w14:val="tx1"/>
            </w14:solidFill>
          </w14:textFill>
        </w:rPr>
        <w:t>2.</w:t>
      </w:r>
      <w:r>
        <w:rPr>
          <w:rFonts w:hint="eastAsia" w:ascii="仿宋_GB2312" w:hAnsi="仿宋_GB2312" w:eastAsia="仿宋_GB2312" w:cs="仿宋_GB2312"/>
          <w:b/>
          <w:bCs/>
          <w:color w:val="000000" w:themeColor="text1"/>
          <w:highlight w:val="yellow"/>
          <w:lang w:val="en-US" w:eastAsia="zh-CN"/>
          <w14:textFill>
            <w14:solidFill>
              <w14:schemeClr w14:val="tx1"/>
            </w14:solidFill>
          </w14:textFill>
        </w:rPr>
        <w:t>1</w:t>
      </w:r>
      <w:r>
        <w:rPr>
          <w:rFonts w:hint="eastAsia" w:ascii="仿宋_GB2312" w:hAnsi="仿宋_GB2312" w:eastAsia="仿宋_GB2312" w:cs="仿宋_GB2312"/>
          <w:b/>
          <w:bCs/>
          <w:color w:val="000000" w:themeColor="text1"/>
          <w:highlight w:val="yellow"/>
          <w14:textFill>
            <w14:solidFill>
              <w14:schemeClr w14:val="tx1"/>
            </w14:solidFill>
          </w14:textFill>
        </w:rPr>
        <w:t>本合同中关于管辖权的约定是唯一的，任何一方不得通过债权转让或其它方式对涉及本合同约定事项或与之相关的事项的争议解决方式进行另行约定或对本合同关于管辖权的约定进行变更，如发生类似情形，该等约定亦属无效</w:t>
      </w:r>
      <w:bookmarkEnd w:id="120"/>
      <w:r>
        <w:rPr>
          <w:rFonts w:hint="eastAsia" w:ascii="仿宋_GB2312" w:hAnsi="仿宋_GB2312" w:eastAsia="仿宋_GB2312" w:cs="仿宋_GB2312"/>
          <w:b/>
          <w:bCs/>
          <w:color w:val="000000" w:themeColor="text1"/>
          <w:highlight w:val="yellow"/>
          <w14:textFill>
            <w14:solidFill>
              <w14:schemeClr w14:val="tx1"/>
            </w14:solidFill>
          </w14:textFill>
        </w:rPr>
        <w:t>。</w:t>
      </w:r>
    </w:p>
    <w:p w14:paraId="60A9FF2C">
      <w:pPr>
        <w:pStyle w:val="12"/>
        <w:spacing w:line="400" w:lineRule="atLeast"/>
        <w:ind w:firstLine="482" w:firstLineChars="200"/>
        <w:jc w:val="both"/>
        <w:rPr>
          <w:rFonts w:ascii="仿宋_GB2312" w:hAnsi="仿宋_GB2312" w:eastAsia="仿宋_GB2312" w:cs="仿宋_GB2312"/>
          <w:b/>
          <w:bCs/>
          <w:color w:val="000000" w:themeColor="text1"/>
          <w:highlight w:val="yellow"/>
          <w14:textFill>
            <w14:solidFill>
              <w14:schemeClr w14:val="tx1"/>
            </w14:solidFill>
          </w14:textFill>
        </w:rPr>
      </w:pPr>
      <w:r>
        <w:rPr>
          <w:rFonts w:hint="eastAsia" w:ascii="仿宋_GB2312" w:hAnsi="仿宋_GB2312" w:eastAsia="仿宋_GB2312" w:cs="仿宋_GB2312"/>
          <w:b/>
          <w:bCs/>
          <w:color w:val="000000" w:themeColor="text1"/>
          <w:highlight w:val="yellow"/>
          <w14:textFill>
            <w14:solidFill>
              <w14:schemeClr w14:val="tx1"/>
            </w14:solidFill>
          </w14:textFill>
        </w:rPr>
        <w:t>2.</w:t>
      </w:r>
      <w:r>
        <w:rPr>
          <w:rFonts w:hint="eastAsia" w:ascii="仿宋_GB2312" w:hAnsi="仿宋_GB2312" w:eastAsia="仿宋_GB2312" w:cs="仿宋_GB2312"/>
          <w:b/>
          <w:bCs/>
          <w:color w:val="000000" w:themeColor="text1"/>
          <w:highlight w:val="yellow"/>
          <w:lang w:val="en-US" w:eastAsia="zh-CN"/>
          <w14:textFill>
            <w14:solidFill>
              <w14:schemeClr w14:val="tx1"/>
            </w14:solidFill>
          </w14:textFill>
        </w:rPr>
        <w:t>2</w:t>
      </w:r>
      <w:r>
        <w:rPr>
          <w:rFonts w:hint="eastAsia" w:ascii="仿宋_GB2312" w:hAnsi="仿宋_GB2312" w:eastAsia="仿宋_GB2312" w:cs="仿宋_GB2312"/>
          <w:b/>
          <w:bCs/>
          <w:color w:val="000000" w:themeColor="text1"/>
          <w:highlight w:val="yellow"/>
          <w14:textFill>
            <w14:solidFill>
              <w14:schemeClr w14:val="tx1"/>
            </w14:solidFill>
          </w14:textFill>
        </w:rPr>
        <w:t>因仲裁产生的各项</w:t>
      </w:r>
      <w:r>
        <w:rPr>
          <w:rFonts w:hint="eastAsia" w:ascii="仿宋_GB2312" w:hAnsi="仿宋_GB2312" w:eastAsia="仿宋_GB2312" w:cs="仿宋_GB2312"/>
          <w:b/>
          <w:bCs/>
          <w:color w:val="000000" w:themeColor="text1"/>
          <w:highlight w:val="yellow"/>
          <w:lang w:val="en-US" w:eastAsia="zh-CN"/>
          <w14:textFill>
            <w14:solidFill>
              <w14:schemeClr w14:val="tx1"/>
            </w14:solidFill>
          </w14:textFill>
        </w:rPr>
        <w:t>合理</w:t>
      </w:r>
      <w:r>
        <w:rPr>
          <w:rFonts w:hint="eastAsia" w:ascii="仿宋_GB2312" w:hAnsi="仿宋_GB2312" w:eastAsia="仿宋_GB2312" w:cs="仿宋_GB2312"/>
          <w:b/>
          <w:bCs/>
          <w:color w:val="000000" w:themeColor="text1"/>
          <w:highlight w:val="yellow"/>
          <w14:textFill>
            <w14:solidFill>
              <w14:schemeClr w14:val="tx1"/>
            </w14:solidFill>
          </w14:textFill>
        </w:rPr>
        <w:t>费用由双方自行承担，包括但不限于</w:t>
      </w:r>
      <w:r>
        <w:rPr>
          <w:rFonts w:hint="eastAsia" w:ascii="仿宋_GB2312" w:hAnsi="仿宋_GB2312" w:eastAsia="仿宋_GB2312" w:cs="仿宋_GB2312"/>
          <w:b/>
          <w:bCs/>
          <w:color w:val="000000" w:themeColor="text1"/>
          <w:highlight w:val="yellow"/>
          <w:lang w:val="en-US" w:eastAsia="zh-CN"/>
          <w14:textFill>
            <w14:solidFill>
              <w14:schemeClr w14:val="tx1"/>
            </w14:solidFill>
          </w14:textFill>
        </w:rPr>
        <w:t>案件受理费、</w:t>
      </w:r>
      <w:r>
        <w:rPr>
          <w:rFonts w:hint="eastAsia" w:ascii="仿宋_GB2312" w:hAnsi="仿宋_GB2312" w:eastAsia="仿宋_GB2312" w:cs="仿宋_GB2312"/>
          <w:b/>
          <w:bCs/>
          <w:color w:val="000000" w:themeColor="text1"/>
          <w:highlight w:val="yellow"/>
          <w14:textFill>
            <w14:solidFill>
              <w14:schemeClr w14:val="tx1"/>
            </w14:solidFill>
          </w14:textFill>
        </w:rPr>
        <w:t>律师费、仲裁费、保全费、保全保险费、差旅费、公证费及鉴定费等因仲裁引发的费用。</w:t>
      </w:r>
    </w:p>
    <w:p w14:paraId="06CD15DC">
      <w:pPr>
        <w:pStyle w:val="12"/>
        <w:numPr>
          <w:ilvl w:val="0"/>
          <w:numId w:val="8"/>
        </w:numPr>
        <w:spacing w:before="120" w:beforeLines="50" w:after="120" w:afterLines="50" w:line="400" w:lineRule="atLeast"/>
        <w:ind w:firstLine="482" w:firstLineChars="200"/>
        <w:outlineLvl w:val="0"/>
        <w:rPr>
          <w:rFonts w:ascii="仿宋_GB2312" w:hAnsi="仿宋_GB2312" w:eastAsia="仿宋_GB2312" w:cs="仿宋_GB2312"/>
          <w:b/>
          <w:bCs/>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保密义务</w:t>
      </w:r>
      <w:bookmarkEnd w:id="117"/>
      <w:bookmarkEnd w:id="118"/>
      <w:bookmarkEnd w:id="119"/>
    </w:p>
    <w:p w14:paraId="068C82C2">
      <w:pPr>
        <w:pStyle w:val="12"/>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bookmarkStart w:id="121" w:name="_Toc12970"/>
      <w:r>
        <w:rPr>
          <w:rFonts w:hint="eastAsia" w:ascii="仿宋_GB2312" w:hAnsi="仿宋_GB2312" w:eastAsia="仿宋_GB2312" w:cs="仿宋_GB2312"/>
          <w:color w:val="000000" w:themeColor="text1"/>
          <w:highlight w:val="none"/>
          <w14:textFill>
            <w14:solidFill>
              <w14:schemeClr w14:val="tx1"/>
            </w14:solidFill>
          </w14:textFill>
        </w:rPr>
        <w:t>1、除乙方为执行合同所雇人员外，在未经甲方书面许可的情况下，乙方不得将合同中的规定、有关规格、计划、图纸、式样、样本或甲方为上述内容向乙方提供的资料向本协议以外的任何第三方披露。乙方须在对外保密的前提下，对其雇用人员提供相关资料仅限于执行合同必须提供的范围之内。</w:t>
      </w:r>
    </w:p>
    <w:p w14:paraId="323EF5DE">
      <w:pPr>
        <w:pStyle w:val="12"/>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2、除合同另有约定以外，本合同列明的所有资料始终为甲方财产，若甲方要求，乙方应于其合同义务履行完毕以后退还甲方相应资料（包括所有副本）。</w:t>
      </w:r>
    </w:p>
    <w:p w14:paraId="71633CCD">
      <w:pPr>
        <w:pStyle w:val="12"/>
        <w:numPr>
          <w:ilvl w:val="0"/>
          <w:numId w:val="8"/>
        </w:numPr>
        <w:spacing w:before="120" w:beforeLines="50" w:after="120" w:afterLines="50" w:line="400" w:lineRule="atLeast"/>
        <w:ind w:firstLine="482" w:firstLineChars="200"/>
        <w:outlineLvl w:val="0"/>
        <w:rPr>
          <w:rFonts w:ascii="仿宋_GB2312" w:hAnsi="仿宋_GB2312" w:eastAsia="仿宋_GB2312" w:cs="仿宋_GB2312"/>
          <w:b/>
          <w:bCs/>
          <w:color w:val="000000" w:themeColor="text1"/>
          <w:highlight w:val="none"/>
          <w14:textFill>
            <w14:solidFill>
              <w14:schemeClr w14:val="tx1"/>
            </w14:solidFill>
          </w14:textFill>
        </w:rPr>
      </w:pPr>
      <w:bookmarkStart w:id="122" w:name="_Toc14038"/>
      <w:bookmarkStart w:id="123" w:name="_Toc3848"/>
      <w:r>
        <w:rPr>
          <w:rFonts w:hint="eastAsia" w:ascii="仿宋_GB2312" w:hAnsi="仿宋_GB2312" w:eastAsia="仿宋_GB2312" w:cs="仿宋_GB2312"/>
          <w:b/>
          <w:bCs/>
          <w:color w:val="000000" w:themeColor="text1"/>
          <w:highlight w:val="none"/>
          <w14:textFill>
            <w14:solidFill>
              <w14:schemeClr w14:val="tx1"/>
            </w14:solidFill>
          </w14:textFill>
        </w:rPr>
        <w:t>其他条款</w:t>
      </w:r>
      <w:bookmarkEnd w:id="121"/>
      <w:bookmarkEnd w:id="122"/>
      <w:bookmarkEnd w:id="123"/>
    </w:p>
    <w:p w14:paraId="7381ED03">
      <w:pPr>
        <w:pStyle w:val="12"/>
        <w:numPr>
          <w:ilvl w:val="0"/>
          <w:numId w:val="13"/>
        </w:numPr>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本合同与甲方</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采购</w:t>
      </w:r>
      <w:r>
        <w:rPr>
          <w:rFonts w:hint="eastAsia" w:ascii="仿宋_GB2312" w:hAnsi="仿宋_GB2312" w:eastAsia="仿宋_GB2312" w:cs="仿宋_GB2312"/>
          <w:color w:val="000000" w:themeColor="text1"/>
          <w:highlight w:val="none"/>
          <w14:textFill>
            <w14:solidFill>
              <w14:schemeClr w14:val="tx1"/>
            </w14:solidFill>
          </w14:textFill>
        </w:rPr>
        <w:t>文件、乙方</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响应</w:t>
      </w:r>
      <w:r>
        <w:rPr>
          <w:rFonts w:hint="eastAsia" w:ascii="仿宋_GB2312" w:hAnsi="仿宋_GB2312" w:eastAsia="仿宋_GB2312" w:cs="仿宋_GB2312"/>
          <w:color w:val="000000" w:themeColor="text1"/>
          <w:highlight w:val="none"/>
          <w14:textFill>
            <w14:solidFill>
              <w14:schemeClr w14:val="tx1"/>
            </w14:solidFill>
          </w14:textFill>
        </w:rPr>
        <w:t>文件有相抵触之处，均以本合同条款为准。</w:t>
      </w:r>
    </w:p>
    <w:p w14:paraId="0D394E66">
      <w:pPr>
        <w:pStyle w:val="12"/>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2、本合同附件是本合同有效组成部分，与本合同具有同等效力。</w:t>
      </w:r>
    </w:p>
    <w:p w14:paraId="41512C47">
      <w:pPr>
        <w:pStyle w:val="12"/>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3、本合同未尽事宜，按《中华人民共和国民法典》有关规定执行。</w:t>
      </w:r>
    </w:p>
    <w:p w14:paraId="5E32DC3A">
      <w:pPr>
        <w:pStyle w:val="12"/>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4、其他约定</w:t>
      </w:r>
      <w:permStart w:id="113" w:edGrp="everyone"/>
      <w:r>
        <w:rPr>
          <w:rFonts w:hint="eastAsia" w:ascii="仿宋_GB2312" w:hAnsi="仿宋_GB2312" w:eastAsia="仿宋_GB2312" w:cs="仿宋_GB2312"/>
          <w:color w:val="000000" w:themeColor="text1"/>
          <w:highlight w:val="none"/>
          <w:u w:val="single"/>
          <w14:textFill>
            <w14:solidFill>
              <w14:schemeClr w14:val="tx1"/>
            </w14:solidFill>
          </w14:textFill>
        </w:rPr>
        <w:t xml:space="preserve">  /  </w:t>
      </w:r>
      <w:permEnd w:id="113"/>
      <w:r>
        <w:rPr>
          <w:rFonts w:hint="eastAsia" w:ascii="仿宋_GB2312" w:hAnsi="仿宋_GB2312" w:eastAsia="仿宋_GB2312" w:cs="仿宋_GB2312"/>
          <w:color w:val="000000" w:themeColor="text1"/>
          <w:highlight w:val="none"/>
          <w14:textFill>
            <w14:solidFill>
              <w14:schemeClr w14:val="tx1"/>
            </w14:solidFill>
          </w14:textFill>
        </w:rPr>
        <w:t>。</w:t>
      </w:r>
    </w:p>
    <w:p w14:paraId="02CC4D01">
      <w:pPr>
        <w:pStyle w:val="12"/>
        <w:spacing w:line="400" w:lineRule="atLeast"/>
        <w:ind w:firstLine="480" w:firstLineChars="200"/>
        <w:jc w:val="both"/>
        <w:rPr>
          <w:rFonts w:hint="eastAsia" w:ascii="仿宋_GB2312" w:hAnsi="仿宋_GB2312" w:eastAsia="仿宋_GB2312" w:cs="仿宋_GB2312"/>
          <w:color w:val="000000" w:themeColor="text1"/>
          <w:highlight w:val="none"/>
          <w14:textFill>
            <w14:solidFill>
              <w14:schemeClr w14:val="tx1"/>
            </w14:solidFill>
          </w14:textFill>
        </w:rPr>
      </w:pPr>
      <w:bookmarkStart w:id="124" w:name="_Toc20230"/>
      <w:r>
        <w:rPr>
          <w:rFonts w:hint="eastAsia" w:ascii="仿宋_GB2312" w:hAnsi="仿宋_GB2312" w:eastAsia="仿宋_GB2312" w:cs="仿宋_GB2312"/>
          <w:color w:val="000000" w:themeColor="text1"/>
          <w:highlight w:val="none"/>
          <w14:textFill>
            <w14:solidFill>
              <w14:schemeClr w14:val="tx1"/>
            </w14:solidFill>
          </w14:textFill>
        </w:rPr>
        <w:t>以下无正文</w:t>
      </w:r>
      <w:bookmarkEnd w:id="124"/>
    </w:p>
    <w:p w14:paraId="3622F8E4">
      <w:pPr>
        <w:pStyle w:val="12"/>
        <w:spacing w:line="400" w:lineRule="atLeast"/>
        <w:ind w:firstLine="480" w:firstLineChars="200"/>
        <w:jc w:val="both"/>
        <w:rPr>
          <w:rFonts w:hint="eastAsia" w:ascii="仿宋_GB2312" w:hAnsi="仿宋_GB2312" w:eastAsia="仿宋_GB2312" w:cs="仿宋_GB2312"/>
          <w:color w:val="000000" w:themeColor="text1"/>
          <w:highlight w:val="none"/>
          <w14:textFill>
            <w14:solidFill>
              <w14:schemeClr w14:val="tx1"/>
            </w14:solidFill>
          </w14:textFill>
        </w:rPr>
      </w:pPr>
    </w:p>
    <w:p w14:paraId="47AE43FE">
      <w:pPr>
        <w:pStyle w:val="12"/>
        <w:spacing w:line="400" w:lineRule="atLeast"/>
        <w:ind w:firstLine="480" w:firstLineChars="200"/>
        <w:jc w:val="both"/>
        <w:rPr>
          <w:rFonts w:hint="default" w:ascii="仿宋_GB2312" w:hAnsi="仿宋_GB2312" w:eastAsia="仿宋_GB2312" w:cs="仿宋_GB2312"/>
          <w:color w:val="000000" w:themeColor="text1"/>
          <w:highlight w:val="none"/>
          <w:lang w:val="en-US" w:eastAsia="zh-CN"/>
          <w14:textFill>
            <w14:solidFill>
              <w14:schemeClr w14:val="tx1"/>
            </w14:solidFill>
          </w14:textFill>
        </w:rPr>
      </w:pPr>
      <w:r>
        <w:rPr>
          <w:rFonts w:hint="eastAsia" w:ascii="仿宋_GB2312" w:hAnsi="仿宋_GB2312" w:eastAsia="仿宋_GB2312" w:cs="仿宋_GB2312"/>
          <w:color w:val="000000" w:themeColor="text1"/>
          <w:highlight w:val="none"/>
          <w:lang w:val="en-US" w:eastAsia="zh-CN"/>
          <w14:textFill>
            <w14:solidFill>
              <w14:schemeClr w14:val="tx1"/>
            </w14:solidFill>
          </w14:textFill>
        </w:rPr>
        <w:t xml:space="preserve">    甲  方：                               乙  方：</w:t>
      </w:r>
    </w:p>
    <w:p w14:paraId="404CBB75">
      <w:pPr>
        <w:autoSpaceDE w:val="0"/>
        <w:autoSpaceDN w:val="0"/>
        <w:adjustRightInd w:val="0"/>
        <w:spacing w:line="400" w:lineRule="atLeast"/>
        <w:ind w:firstLine="480" w:firstLineChars="200"/>
        <w:rPr>
          <w:rFonts w:ascii="仿宋_GB2312" w:hAnsi="仿宋_GB2312" w:eastAsia="仿宋_GB2312" w:cs="仿宋_GB2312"/>
          <w:color w:val="000000" w:themeColor="text1"/>
          <w:kern w:val="0"/>
          <w:sz w:val="24"/>
          <w:szCs w:val="24"/>
          <w:highlight w:val="none"/>
          <w14:textFill>
            <w14:solidFill>
              <w14:schemeClr w14:val="tx1"/>
            </w14:solidFill>
          </w14:textFill>
        </w:rPr>
      </w:pPr>
      <w:r>
        <w:rPr>
          <w:rFonts w:hint="eastAsia" w:ascii="仿宋_GB2312" w:hAnsi="仿宋_GB2312" w:eastAsia="仿宋_GB2312" w:cs="仿宋_GB2312"/>
          <w:color w:val="000000" w:themeColor="text1"/>
          <w:kern w:val="0"/>
          <w:sz w:val="24"/>
          <w:szCs w:val="24"/>
          <w:highlight w:val="none"/>
          <w14:textFill>
            <w14:solidFill>
              <w14:schemeClr w14:val="tx1"/>
            </w14:solidFill>
          </w14:textFill>
        </w:rPr>
        <w:t>法定代表人：                           法定代表人：</w:t>
      </w:r>
    </w:p>
    <w:p w14:paraId="42666428">
      <w:pPr>
        <w:autoSpaceDE w:val="0"/>
        <w:autoSpaceDN w:val="0"/>
        <w:adjustRightInd w:val="0"/>
        <w:spacing w:line="400" w:lineRule="atLeast"/>
        <w:ind w:firstLine="480" w:firstLineChars="200"/>
        <w:rPr>
          <w:rFonts w:ascii="仿宋_GB2312" w:hAnsi="仿宋_GB2312" w:eastAsia="仿宋_GB2312" w:cs="仿宋_GB2312"/>
          <w:color w:val="000000" w:themeColor="text1"/>
          <w:kern w:val="0"/>
          <w:sz w:val="24"/>
          <w:szCs w:val="24"/>
          <w:highlight w:val="none"/>
          <w14:textFill>
            <w14:solidFill>
              <w14:schemeClr w14:val="tx1"/>
            </w14:solidFill>
          </w14:textFill>
        </w:rPr>
      </w:pPr>
      <w:r>
        <w:rPr>
          <w:rFonts w:hint="eastAsia" w:ascii="仿宋_GB2312" w:hAnsi="仿宋_GB2312" w:eastAsia="仿宋_GB2312" w:cs="仿宋_GB2312"/>
          <w:color w:val="000000" w:themeColor="text1"/>
          <w:kern w:val="0"/>
          <w:sz w:val="24"/>
          <w:szCs w:val="24"/>
          <w:highlight w:val="none"/>
          <w14:textFill>
            <w14:solidFill>
              <w14:schemeClr w14:val="tx1"/>
            </w14:solidFill>
          </w14:textFill>
        </w:rPr>
        <w:t xml:space="preserve">    或                                   </w:t>
      </w:r>
      <w:r>
        <w:rPr>
          <w:rFonts w:hint="eastAsia" w:ascii="仿宋_GB2312" w:hAnsi="仿宋_GB2312" w:eastAsia="仿宋_GB2312" w:cs="仿宋_GB2312"/>
          <w:color w:val="000000" w:themeColor="text1"/>
          <w:kern w:val="0"/>
          <w:sz w:val="24"/>
          <w:szCs w:val="24"/>
          <w:highlight w:val="non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kern w:val="0"/>
          <w:sz w:val="24"/>
          <w:szCs w:val="24"/>
          <w:highlight w:val="none"/>
          <w14:textFill>
            <w14:solidFill>
              <w14:schemeClr w14:val="tx1"/>
            </w14:solidFill>
          </w14:textFill>
        </w:rPr>
        <w:t xml:space="preserve"> 或</w:t>
      </w:r>
    </w:p>
    <w:p w14:paraId="02C6BDEA">
      <w:pPr>
        <w:autoSpaceDE w:val="0"/>
        <w:autoSpaceDN w:val="0"/>
        <w:adjustRightInd w:val="0"/>
        <w:spacing w:line="400" w:lineRule="atLeast"/>
        <w:ind w:firstLine="720" w:firstLineChars="300"/>
        <w:rPr>
          <w:rFonts w:ascii="仿宋_GB2312" w:hAnsi="仿宋_GB2312" w:eastAsia="仿宋_GB2312" w:cs="仿宋_GB2312"/>
          <w:color w:val="000000" w:themeColor="text1"/>
          <w:kern w:val="0"/>
          <w:sz w:val="24"/>
          <w:szCs w:val="24"/>
          <w:highlight w:val="none"/>
          <w14:textFill>
            <w14:solidFill>
              <w14:schemeClr w14:val="tx1"/>
            </w14:solidFill>
          </w14:textFill>
        </w:rPr>
      </w:pPr>
      <w:r>
        <w:rPr>
          <w:rFonts w:hint="eastAsia" w:ascii="仿宋_GB2312" w:hAnsi="仿宋_GB2312" w:eastAsia="仿宋_GB2312" w:cs="仿宋_GB2312"/>
          <w:color w:val="000000" w:themeColor="text1"/>
          <w:kern w:val="0"/>
          <w:sz w:val="24"/>
          <w:szCs w:val="24"/>
          <w:highlight w:val="none"/>
          <w:lang w:val="en-US" w:eastAsia="zh-CN"/>
          <w14:textFill>
            <w14:solidFill>
              <w14:schemeClr w14:val="tx1"/>
            </w14:solidFill>
          </w14:textFill>
        </w:rPr>
        <w:t>被委托</w:t>
      </w:r>
      <w:r>
        <w:rPr>
          <w:rFonts w:hint="eastAsia" w:ascii="仿宋_GB2312" w:hAnsi="仿宋_GB2312" w:eastAsia="仿宋_GB2312" w:cs="仿宋_GB2312"/>
          <w:color w:val="000000" w:themeColor="text1"/>
          <w:kern w:val="0"/>
          <w:sz w:val="24"/>
          <w:szCs w:val="24"/>
          <w:highlight w:val="none"/>
          <w14:textFill>
            <w14:solidFill>
              <w14:schemeClr w14:val="tx1"/>
            </w14:solidFill>
          </w14:textFill>
        </w:rPr>
        <w:t xml:space="preserve">人：                           </w:t>
      </w:r>
      <w:r>
        <w:rPr>
          <w:rFonts w:hint="eastAsia" w:ascii="仿宋_GB2312" w:hAnsi="仿宋_GB2312" w:eastAsia="仿宋_GB2312" w:cs="仿宋_GB2312"/>
          <w:color w:val="000000" w:themeColor="text1"/>
          <w:kern w:val="0"/>
          <w:sz w:val="24"/>
          <w:szCs w:val="24"/>
          <w:highlight w:val="none"/>
          <w:lang w:val="en-US" w:eastAsia="zh-CN"/>
          <w14:textFill>
            <w14:solidFill>
              <w14:schemeClr w14:val="tx1"/>
            </w14:solidFill>
          </w14:textFill>
        </w:rPr>
        <w:t>被</w:t>
      </w:r>
      <w:r>
        <w:rPr>
          <w:rFonts w:hint="eastAsia" w:ascii="仿宋_GB2312" w:hAnsi="仿宋_GB2312" w:eastAsia="仿宋_GB2312" w:cs="仿宋_GB2312"/>
          <w:color w:val="000000" w:themeColor="text1"/>
          <w:kern w:val="0"/>
          <w:sz w:val="24"/>
          <w:szCs w:val="24"/>
          <w:highlight w:val="none"/>
          <w14:textFill>
            <w14:solidFill>
              <w14:schemeClr w14:val="tx1"/>
            </w14:solidFill>
          </w14:textFill>
        </w:rPr>
        <w:t>委托人：</w:t>
      </w:r>
    </w:p>
    <w:p w14:paraId="49F594FF">
      <w:pPr>
        <w:spacing w:line="400" w:lineRule="exact"/>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  </w:t>
      </w:r>
      <w:r>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年  月  日    </w:t>
      </w:r>
      <w:r>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  年  月  日 </w:t>
      </w:r>
    </w:p>
    <w:p w14:paraId="4A2C63CD">
      <w:pPr>
        <w:spacing w:line="400" w:lineRule="exact"/>
        <w:ind w:firstLine="5040" w:firstLineChars="2100"/>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 </w:t>
      </w:r>
    </w:p>
    <w:p w14:paraId="03073886">
      <w:pPr>
        <w:pStyle w:val="12"/>
        <w:spacing w:line="400" w:lineRule="atLeast"/>
        <w:ind w:firstLine="480" w:firstLineChars="200"/>
        <w:jc w:val="both"/>
        <w:rPr>
          <w:rFonts w:hint="eastAsia" w:ascii="仿宋_GB2312" w:hAnsi="仿宋_GB2312" w:eastAsia="仿宋_GB2312" w:cs="仿宋_GB2312"/>
          <w:color w:val="000000" w:themeColor="text1"/>
          <w:highlight w:val="none"/>
          <w14:textFill>
            <w14:solidFill>
              <w14:schemeClr w14:val="tx1"/>
            </w14:solidFill>
          </w14:textFill>
        </w:rPr>
      </w:pPr>
    </w:p>
    <w:p w14:paraId="010F0C5C">
      <w:pPr>
        <w:rPr>
          <w:rFonts w:ascii="仿宋_GB2312" w:hAnsi="仿宋_GB2312" w:eastAsia="仿宋_GB2312" w:cs="仿宋_GB2312"/>
          <w:color w:val="000000" w:themeColor="text1"/>
          <w:sz w:val="24"/>
          <w:highlight w:val="none"/>
          <w14:textFill>
            <w14:solidFill>
              <w14:schemeClr w14:val="tx1"/>
            </w14:solidFill>
          </w14:textFill>
        </w:rPr>
      </w:pPr>
    </w:p>
    <w:p w14:paraId="6B769C1F">
      <w:pPr>
        <w:rPr>
          <w:highlight w:val="none"/>
        </w:rPr>
      </w:pPr>
    </w:p>
    <w:sectPr>
      <w:pgSz w:w="11906" w:h="16838"/>
      <w:pgMar w:top="1440" w:right="1800" w:bottom="1440" w:left="1800" w:header="850" w:footer="975" w:gutter="0"/>
      <w:cols w:space="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0"/>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E450F143">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BEB115">
    <w:pPr>
      <w:pStyle w:val="6"/>
      <w:jc w:val="center"/>
      <w:rPr>
        <w:rFonts w:hint="eastAsia" w:ascii="仿宋" w:hAnsi="仿宋" w:eastAsia="仿宋" w:cs="仿宋"/>
        <w:sz w:val="24"/>
        <w:szCs w:val="36"/>
        <w:lang w:eastAsia="zh-CN"/>
      </w:rPr>
    </w:pPr>
    <w:r>
      <w:rPr>
        <w:rFonts w:hint="eastAsia" w:ascii="仿宋" w:hAnsi="仿宋" w:eastAsia="仿宋" w:cs="仿宋"/>
        <w:sz w:val="24"/>
        <w:szCs w:val="36"/>
        <w:lang w:eastAsia="zh-CN"/>
      </w:rPr>
      <w:t xml:space="preserve"> </w:t>
    </w:r>
  </w:p>
  <w:p w14:paraId="7C5172FE">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CBFFDE">
    <w:pPr>
      <w:pStyle w:val="6"/>
      <w:jc w:val="center"/>
      <w:rPr>
        <w:rFonts w:ascii="仿宋" w:hAnsi="仿宋" w:eastAsia="仿宋" w:cs="仿宋"/>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571094">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C982EB">
    <w:pPr>
      <w:pStyle w:val="6"/>
      <w:jc w:val="center"/>
      <w:rPr>
        <w:rFonts w:ascii="仿宋" w:hAnsi="仿宋" w:eastAsia="仿宋" w:cs="仿宋"/>
        <w:sz w:val="24"/>
        <w:szCs w:val="24"/>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2DD177">
    <w:pPr>
      <w:pStyle w:val="6"/>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903820">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7F903820">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6C080C">
    <w:pPr>
      <w:pStyle w:val="6"/>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C7FDCF">
                          <w:pPr>
                            <w:pStyle w:val="6"/>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11C7FDCF">
                    <w:pPr>
                      <w:pStyle w:val="6"/>
                    </w:pPr>
                    <w:r>
                      <w:fldChar w:fldCharType="begin"/>
                    </w:r>
                    <w:r>
                      <w:instrText xml:space="preserve"> PAGE  \* MERGEFORMAT </w:instrText>
                    </w:r>
                    <w:r>
                      <w:fldChar w:fldCharType="separate"/>
                    </w:r>
                    <w:r>
                      <w:t>12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4549B8">
    <w:pPr>
      <w:pStyle w:val="7"/>
    </w:pPr>
  </w:p>
  <w:p w14:paraId="545303D8">
    <w:pPr>
      <w:pStyle w:val="7"/>
    </w:pPr>
  </w:p>
  <w:p w14:paraId="7AE5AE10">
    <w:pPr>
      <w:pStyle w:val="7"/>
    </w:pPr>
  </w:p>
  <w:p w14:paraId="0A2D9CC1">
    <w:pPr>
      <w:pStyle w:val="7"/>
    </w:pPr>
  </w:p>
  <w:p w14:paraId="1DCB81E7">
    <w:pPr>
      <w:pStyle w:val="7"/>
      <w:jc w:val="left"/>
      <w:rPr>
        <w:b/>
        <w:bCs/>
      </w:rPr>
    </w:pPr>
    <w:r>
      <w:rPr>
        <w:b/>
        <w:bCs/>
      </w:rPr>
      <w:t>CSCEC</w:t>
    </w:r>
    <w:r>
      <w:t xml:space="preserve">  </w:t>
    </w:r>
    <w:r>
      <w:rPr>
        <w:rFonts w:hint="eastAsia"/>
        <w:b/>
        <w:bCs/>
      </w:rPr>
      <w:t xml:space="preserve">                                                                                 中建</w:t>
    </w:r>
  </w:p>
  <w:p w14:paraId="3479C5C7">
    <w:pPr>
      <w:pStyle w:val="7"/>
    </w:pPr>
  </w:p>
  <w:p w14:paraId="2CB33D2A">
    <w:pPr>
      <w:pStyle w:val="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5CFB31">
    <w:pPr>
      <w:pBdr>
        <w:top w:val="none" w:color="auto" w:sz="0" w:space="1"/>
        <w:left w:val="none" w:color="auto" w:sz="0" w:space="4"/>
        <w:bottom w:val="none" w:color="auto" w:sz="0" w:space="1"/>
        <w:right w:val="none" w:color="auto" w:sz="0" w:space="4"/>
      </w:pBdr>
      <w:tabs>
        <w:tab w:val="center" w:pos="4153"/>
        <w:tab w:val="right" w:pos="8306"/>
      </w:tabs>
      <w:wordWrap w:val="0"/>
      <w:snapToGrid w:val="0"/>
      <w:rPr>
        <w:rFonts w:ascii="仿宋_GB2312" w:hAnsi="仿宋_GB2312" w:eastAsia="仿宋_GB2312" w:cs="仿宋_GB2312"/>
        <w:b/>
        <w:bCs/>
      </w:rPr>
    </w:pPr>
    <w:r>
      <w:drawing>
        <wp:anchor distT="0" distB="0" distL="114300" distR="114300" simplePos="0" relativeHeight="251664384" behindDoc="0" locked="0" layoutInCell="1" allowOverlap="1">
          <wp:simplePos x="0" y="0"/>
          <wp:positionH relativeFrom="column">
            <wp:posOffset>7620</wp:posOffset>
          </wp:positionH>
          <wp:positionV relativeFrom="paragraph">
            <wp:posOffset>-11430</wp:posOffset>
          </wp:positionV>
          <wp:extent cx="377190" cy="144145"/>
          <wp:effectExtent l="0" t="0" r="3810" b="8255"/>
          <wp:wrapNone/>
          <wp:docPr id="7" name="图片 7" descr="说明: 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说明: 图片1"/>
                  <pic:cNvPicPr>
                    <a:picLocks noChangeAspect="1"/>
                  </pic:cNvPicPr>
                </pic:nvPicPr>
                <pic:blipFill>
                  <a:blip r:embed="rId1">
                    <a:clrChange>
                      <a:clrFrom>
                        <a:srgbClr val="FEFEFE"/>
                      </a:clrFrom>
                      <a:clrTo>
                        <a:srgbClr val="FEFEFE">
                          <a:alpha val="0"/>
                        </a:srgbClr>
                      </a:clrTo>
                    </a:clrChange>
                    <a:lum contrast="18000"/>
                  </a:blip>
                  <a:srcRect t="72632"/>
                  <a:stretch>
                    <a:fillRect/>
                  </a:stretch>
                </pic:blipFill>
                <pic:spPr>
                  <a:xfrm>
                    <a:off x="0" y="0"/>
                    <a:ext cx="377190" cy="144145"/>
                  </a:xfrm>
                  <a:prstGeom prst="rect">
                    <a:avLst/>
                  </a:prstGeom>
                  <a:noFill/>
                  <a:ln>
                    <a:noFill/>
                  </a:ln>
                </pic:spPr>
              </pic:pic>
            </a:graphicData>
          </a:graphic>
        </wp:anchor>
      </w:drawing>
    </w:r>
    <w:r>
      <w:rPr>
        <w:rFonts w:hint="eastAsia"/>
        <w:sz w:val="18"/>
        <w:szCs w:val="24"/>
      </w:rPr>
      <w:t xml:space="preserve">                                                                                     </w:t>
    </w:r>
    <w:r>
      <w:rPr>
        <w:rFonts w:hint="eastAsia" w:ascii="宋体" w:hAnsi="宋体" w:cs="宋体"/>
        <w:b/>
        <w:color w:val="000000"/>
        <w:szCs w:val="21"/>
      </w:rPr>
      <w:t>CSCEC</w:t>
    </w:r>
  </w:p>
  <w:p w14:paraId="0E39938B">
    <w:pPr>
      <w:pStyle w:val="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6ACC21">
    <w:pPr>
      <w:pBdr>
        <w:top w:val="none" w:color="auto" w:sz="0" w:space="1"/>
        <w:left w:val="none" w:color="auto" w:sz="0" w:space="4"/>
        <w:bottom w:val="none" w:color="auto" w:sz="0" w:space="1"/>
        <w:right w:val="none" w:color="auto" w:sz="0" w:space="4"/>
      </w:pBdr>
      <w:tabs>
        <w:tab w:val="center" w:pos="4153"/>
        <w:tab w:val="right" w:pos="8306"/>
      </w:tabs>
      <w:wordWrap w:val="0"/>
      <w:snapToGrid w:val="0"/>
      <w:rPr>
        <w:rFonts w:ascii="仿宋_GB2312" w:hAnsi="仿宋_GB2312" w:eastAsia="仿宋_GB2312" w:cs="仿宋_GB2312"/>
        <w:b/>
        <w:bCs/>
      </w:rPr>
    </w:pPr>
    <w:r>
      <w:drawing>
        <wp:anchor distT="0" distB="0" distL="114300" distR="114300" simplePos="0" relativeHeight="251665408" behindDoc="0" locked="0" layoutInCell="1" allowOverlap="1">
          <wp:simplePos x="0" y="0"/>
          <wp:positionH relativeFrom="column">
            <wp:posOffset>7620</wp:posOffset>
          </wp:positionH>
          <wp:positionV relativeFrom="paragraph">
            <wp:posOffset>-11430</wp:posOffset>
          </wp:positionV>
          <wp:extent cx="377190" cy="144145"/>
          <wp:effectExtent l="0" t="0" r="3810" b="8255"/>
          <wp:wrapNone/>
          <wp:docPr id="3" name="图片 3" descr="说明: 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说明: 图片1"/>
                  <pic:cNvPicPr>
                    <a:picLocks noChangeAspect="1"/>
                  </pic:cNvPicPr>
                </pic:nvPicPr>
                <pic:blipFill>
                  <a:blip r:embed="rId1">
                    <a:clrChange>
                      <a:clrFrom>
                        <a:srgbClr val="FEFEFE"/>
                      </a:clrFrom>
                      <a:clrTo>
                        <a:srgbClr val="FEFEFE">
                          <a:alpha val="0"/>
                        </a:srgbClr>
                      </a:clrTo>
                    </a:clrChange>
                    <a:lum contrast="18000"/>
                  </a:blip>
                  <a:srcRect t="72632"/>
                  <a:stretch>
                    <a:fillRect/>
                  </a:stretch>
                </pic:blipFill>
                <pic:spPr>
                  <a:xfrm>
                    <a:off x="0" y="0"/>
                    <a:ext cx="377190" cy="144145"/>
                  </a:xfrm>
                  <a:prstGeom prst="rect">
                    <a:avLst/>
                  </a:prstGeom>
                  <a:noFill/>
                  <a:ln>
                    <a:noFill/>
                  </a:ln>
                </pic:spPr>
              </pic:pic>
            </a:graphicData>
          </a:graphic>
        </wp:anchor>
      </w:drawing>
    </w:r>
    <w:r>
      <w:rPr>
        <w:rFonts w:hint="eastAsia"/>
        <w:sz w:val="18"/>
        <w:szCs w:val="24"/>
      </w:rPr>
      <w:t xml:space="preserve">                                                                                     </w:t>
    </w:r>
    <w:r>
      <w:rPr>
        <w:rFonts w:hint="eastAsia" w:ascii="宋体" w:hAnsi="宋体" w:cs="宋体"/>
        <w:b/>
        <w:color w:val="000000"/>
        <w:szCs w:val="21"/>
      </w:rPr>
      <w:t>CSCEC</w:t>
    </w:r>
  </w:p>
  <w:p w14:paraId="7F7CA813">
    <w:pPr>
      <w:pStyle w:val="7"/>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B908B4">
    <w:pPr>
      <w:pBdr>
        <w:top w:val="none" w:color="auto" w:sz="0" w:space="1"/>
        <w:left w:val="none" w:color="auto" w:sz="0" w:space="4"/>
        <w:bottom w:val="none" w:color="auto" w:sz="0" w:space="1"/>
        <w:right w:val="none" w:color="auto" w:sz="0" w:space="4"/>
      </w:pBdr>
      <w:tabs>
        <w:tab w:val="center" w:pos="4153"/>
        <w:tab w:val="right" w:pos="8306"/>
      </w:tabs>
      <w:wordWrap w:val="0"/>
      <w:snapToGrid w:val="0"/>
      <w:rPr>
        <w:rFonts w:ascii="仿宋_GB2312" w:hAnsi="仿宋_GB2312" w:eastAsia="仿宋_GB2312" w:cs="仿宋_GB2312"/>
        <w:b/>
        <w:bCs/>
      </w:rPr>
    </w:pPr>
    <w:r>
      <w:drawing>
        <wp:anchor distT="0" distB="0" distL="114300" distR="114300" simplePos="0" relativeHeight="251666432" behindDoc="0" locked="0" layoutInCell="1" allowOverlap="1">
          <wp:simplePos x="0" y="0"/>
          <wp:positionH relativeFrom="column">
            <wp:posOffset>7620</wp:posOffset>
          </wp:positionH>
          <wp:positionV relativeFrom="paragraph">
            <wp:posOffset>-11430</wp:posOffset>
          </wp:positionV>
          <wp:extent cx="377190" cy="144145"/>
          <wp:effectExtent l="0" t="0" r="3810" b="8255"/>
          <wp:wrapNone/>
          <wp:docPr id="8" name="图片 8" descr="说明: 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说明: 图片1"/>
                  <pic:cNvPicPr>
                    <a:picLocks noChangeAspect="1"/>
                  </pic:cNvPicPr>
                </pic:nvPicPr>
                <pic:blipFill>
                  <a:blip r:embed="rId1">
                    <a:clrChange>
                      <a:clrFrom>
                        <a:srgbClr val="FEFEFE"/>
                      </a:clrFrom>
                      <a:clrTo>
                        <a:srgbClr val="FEFEFE">
                          <a:alpha val="0"/>
                        </a:srgbClr>
                      </a:clrTo>
                    </a:clrChange>
                    <a:lum contrast="18000"/>
                  </a:blip>
                  <a:srcRect t="72632"/>
                  <a:stretch>
                    <a:fillRect/>
                  </a:stretch>
                </pic:blipFill>
                <pic:spPr>
                  <a:xfrm>
                    <a:off x="0" y="0"/>
                    <a:ext cx="377190" cy="144145"/>
                  </a:xfrm>
                  <a:prstGeom prst="rect">
                    <a:avLst/>
                  </a:prstGeom>
                  <a:noFill/>
                  <a:ln>
                    <a:noFill/>
                  </a:ln>
                </pic:spPr>
              </pic:pic>
            </a:graphicData>
          </a:graphic>
        </wp:anchor>
      </w:drawing>
    </w:r>
    <w:r>
      <w:rPr>
        <w:rFonts w:hint="eastAsia"/>
        <w:sz w:val="18"/>
        <w:szCs w:val="24"/>
      </w:rPr>
      <w:t xml:space="preserve">                                                                                     </w:t>
    </w:r>
    <w:r>
      <w:rPr>
        <w:rFonts w:hint="eastAsia" w:ascii="宋体" w:hAnsi="宋体" w:cs="宋体"/>
        <w:b/>
        <w:color w:val="000000"/>
        <w:szCs w:val="21"/>
      </w:rPr>
      <w:t>CSCEC</w:t>
    </w:r>
  </w:p>
  <w:p w14:paraId="2E51BD73">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525A6D"/>
    <w:multiLevelType w:val="singleLevel"/>
    <w:tmpl w:val="9C525A6D"/>
    <w:lvl w:ilvl="0" w:tentative="0">
      <w:start w:val="1"/>
      <w:numFmt w:val="decimal"/>
      <w:suff w:val="nothing"/>
      <w:lvlText w:val="%1、"/>
      <w:lvlJc w:val="left"/>
    </w:lvl>
  </w:abstractNum>
  <w:abstractNum w:abstractNumId="1">
    <w:nsid w:val="CDF988A0"/>
    <w:multiLevelType w:val="singleLevel"/>
    <w:tmpl w:val="CDF988A0"/>
    <w:lvl w:ilvl="0" w:tentative="0">
      <w:start w:val="1"/>
      <w:numFmt w:val="decimal"/>
      <w:suff w:val="nothing"/>
      <w:lvlText w:val="%1、"/>
      <w:lvlJc w:val="left"/>
    </w:lvl>
  </w:abstractNum>
  <w:abstractNum w:abstractNumId="2">
    <w:nsid w:val="D6CC21DA"/>
    <w:multiLevelType w:val="singleLevel"/>
    <w:tmpl w:val="D6CC21DA"/>
    <w:lvl w:ilvl="0" w:tentative="0">
      <w:start w:val="1"/>
      <w:numFmt w:val="decimal"/>
      <w:suff w:val="nothing"/>
      <w:lvlText w:val="%1、"/>
      <w:lvlJc w:val="left"/>
    </w:lvl>
  </w:abstractNum>
  <w:abstractNum w:abstractNumId="3">
    <w:nsid w:val="DA2CD928"/>
    <w:multiLevelType w:val="singleLevel"/>
    <w:tmpl w:val="DA2CD928"/>
    <w:lvl w:ilvl="0" w:tentative="0">
      <w:start w:val="1"/>
      <w:numFmt w:val="decimal"/>
      <w:suff w:val="nothing"/>
      <w:lvlText w:val="%1、"/>
      <w:lvlJc w:val="left"/>
    </w:lvl>
  </w:abstractNum>
  <w:abstractNum w:abstractNumId="4">
    <w:nsid w:val="E0133784"/>
    <w:multiLevelType w:val="singleLevel"/>
    <w:tmpl w:val="E0133784"/>
    <w:lvl w:ilvl="0" w:tentative="0">
      <w:start w:val="1"/>
      <w:numFmt w:val="decimal"/>
      <w:suff w:val="nothing"/>
      <w:lvlText w:val="%1、"/>
      <w:lvlJc w:val="left"/>
    </w:lvl>
  </w:abstractNum>
  <w:abstractNum w:abstractNumId="5">
    <w:nsid w:val="EEFD7662"/>
    <w:multiLevelType w:val="singleLevel"/>
    <w:tmpl w:val="EEFD7662"/>
    <w:lvl w:ilvl="0" w:tentative="0">
      <w:start w:val="1"/>
      <w:numFmt w:val="decimal"/>
      <w:suff w:val="nothing"/>
      <w:lvlText w:val="%1、"/>
      <w:lvlJc w:val="left"/>
    </w:lvl>
  </w:abstractNum>
  <w:abstractNum w:abstractNumId="6">
    <w:nsid w:val="EFACCE70"/>
    <w:multiLevelType w:val="singleLevel"/>
    <w:tmpl w:val="EFACCE70"/>
    <w:lvl w:ilvl="0" w:tentative="0">
      <w:start w:val="1"/>
      <w:numFmt w:val="chineseCounting"/>
      <w:suff w:val="nothing"/>
      <w:lvlText w:val="%1、"/>
      <w:lvlJc w:val="left"/>
      <w:rPr>
        <w:rFonts w:hint="eastAsia"/>
      </w:rPr>
    </w:lvl>
  </w:abstractNum>
  <w:abstractNum w:abstractNumId="7">
    <w:nsid w:val="F4B4D53B"/>
    <w:multiLevelType w:val="singleLevel"/>
    <w:tmpl w:val="F4B4D53B"/>
    <w:lvl w:ilvl="0" w:tentative="0">
      <w:start w:val="1"/>
      <w:numFmt w:val="decimal"/>
      <w:suff w:val="nothing"/>
      <w:lvlText w:val="%1、"/>
      <w:lvlJc w:val="left"/>
    </w:lvl>
  </w:abstractNum>
  <w:abstractNum w:abstractNumId="8">
    <w:nsid w:val="17E12B1E"/>
    <w:multiLevelType w:val="singleLevel"/>
    <w:tmpl w:val="17E12B1E"/>
    <w:lvl w:ilvl="0" w:tentative="0">
      <w:start w:val="6"/>
      <w:numFmt w:val="chineseCounting"/>
      <w:suff w:val="nothing"/>
      <w:lvlText w:val="%1、"/>
      <w:lvlJc w:val="left"/>
      <w:pPr>
        <w:ind w:left="480" w:firstLine="0"/>
      </w:pPr>
      <w:rPr>
        <w:rFonts w:hint="eastAsia"/>
      </w:rPr>
    </w:lvl>
  </w:abstractNum>
  <w:abstractNum w:abstractNumId="9">
    <w:nsid w:val="1C870535"/>
    <w:multiLevelType w:val="singleLevel"/>
    <w:tmpl w:val="1C870535"/>
    <w:lvl w:ilvl="0" w:tentative="0">
      <w:start w:val="1"/>
      <w:numFmt w:val="decimal"/>
      <w:suff w:val="nothing"/>
      <w:lvlText w:val="%1、"/>
      <w:lvlJc w:val="left"/>
      <w:rPr>
        <w:rFonts w:hint="default"/>
        <w:b/>
        <w:bCs/>
      </w:rPr>
    </w:lvl>
  </w:abstractNum>
  <w:abstractNum w:abstractNumId="10">
    <w:nsid w:val="1D9874AA"/>
    <w:multiLevelType w:val="singleLevel"/>
    <w:tmpl w:val="1D9874AA"/>
    <w:lvl w:ilvl="0" w:tentative="0">
      <w:start w:val="1"/>
      <w:numFmt w:val="chineseCounting"/>
      <w:suff w:val="nothing"/>
      <w:lvlText w:val="%1、"/>
      <w:lvlJc w:val="left"/>
      <w:rPr>
        <w:rFonts w:hint="eastAsia"/>
      </w:rPr>
    </w:lvl>
  </w:abstractNum>
  <w:abstractNum w:abstractNumId="11">
    <w:nsid w:val="567023B9"/>
    <w:multiLevelType w:val="singleLevel"/>
    <w:tmpl w:val="567023B9"/>
    <w:lvl w:ilvl="0" w:tentative="0">
      <w:start w:val="1"/>
      <w:numFmt w:val="decimal"/>
      <w:suff w:val="nothing"/>
      <w:lvlText w:val="%1、"/>
      <w:lvlJc w:val="left"/>
    </w:lvl>
  </w:abstractNum>
  <w:abstractNum w:abstractNumId="12">
    <w:nsid w:val="5A99D076"/>
    <w:multiLevelType w:val="singleLevel"/>
    <w:tmpl w:val="5A99D076"/>
    <w:lvl w:ilvl="0" w:tentative="0">
      <w:start w:val="2"/>
      <w:numFmt w:val="decimal"/>
      <w:lvlText w:val="%1."/>
      <w:lvlJc w:val="left"/>
      <w:pPr>
        <w:tabs>
          <w:tab w:val="left" w:pos="312"/>
        </w:tabs>
        <w:ind w:left="480" w:firstLine="0"/>
      </w:pPr>
    </w:lvl>
  </w:abstractNum>
  <w:num w:numId="1">
    <w:abstractNumId w:val="6"/>
  </w:num>
  <w:num w:numId="2">
    <w:abstractNumId w:val="3"/>
  </w:num>
  <w:num w:numId="3">
    <w:abstractNumId w:val="9"/>
  </w:num>
  <w:num w:numId="4">
    <w:abstractNumId w:val="5"/>
  </w:num>
  <w:num w:numId="5">
    <w:abstractNumId w:val="7"/>
  </w:num>
  <w:num w:numId="6">
    <w:abstractNumId w:val="12"/>
  </w:num>
  <w:num w:numId="7">
    <w:abstractNumId w:val="8"/>
  </w:num>
  <w:num w:numId="8">
    <w:abstractNumId w:val="10"/>
  </w:num>
  <w:num w:numId="9">
    <w:abstractNumId w:val="11"/>
  </w:num>
  <w:num w:numId="10">
    <w:abstractNumId w:val="2"/>
  </w:num>
  <w:num w:numId="11">
    <w:abstractNumId w:val="4"/>
  </w:num>
  <w:num w:numId="12">
    <w:abstractNumId w:val="1"/>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dit="readOnly" w:enforcement="1" w:cryptProviderType="rsaFull" w:cryptAlgorithmClass="hash" w:cryptAlgorithmType="typeAny" w:cryptAlgorithmSid="4" w:cryptSpinCount="0" w:hash="2mvmoiN7VG6ZfKLQVyffdVe+sVA=" w:salt="yVoIi+EH8+tWXLLNzHbKtQ=="/>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YzNjM5MWI5OTJlOWQxZDdiYTBmZGI3NTczYTVlNTUifQ=="/>
  </w:docVars>
  <w:rsids>
    <w:rsidRoot w:val="00000000"/>
    <w:rsid w:val="02005B8D"/>
    <w:rsid w:val="02C264F1"/>
    <w:rsid w:val="0560216C"/>
    <w:rsid w:val="06415CD9"/>
    <w:rsid w:val="07100CF1"/>
    <w:rsid w:val="07677F35"/>
    <w:rsid w:val="07E22A1E"/>
    <w:rsid w:val="087D170E"/>
    <w:rsid w:val="0B7C60D5"/>
    <w:rsid w:val="0C2C12C5"/>
    <w:rsid w:val="0C382749"/>
    <w:rsid w:val="0CDB347F"/>
    <w:rsid w:val="0DB8731C"/>
    <w:rsid w:val="0E9D1427"/>
    <w:rsid w:val="0F5D461F"/>
    <w:rsid w:val="0FB520AF"/>
    <w:rsid w:val="10122848"/>
    <w:rsid w:val="11A93B4C"/>
    <w:rsid w:val="14926CC5"/>
    <w:rsid w:val="15064E11"/>
    <w:rsid w:val="15F405EB"/>
    <w:rsid w:val="161401DB"/>
    <w:rsid w:val="194A79C2"/>
    <w:rsid w:val="199F06C1"/>
    <w:rsid w:val="1A866EA5"/>
    <w:rsid w:val="1BAA6208"/>
    <w:rsid w:val="1CCD2EB3"/>
    <w:rsid w:val="1DCE5781"/>
    <w:rsid w:val="1E8C6B08"/>
    <w:rsid w:val="1E9811D0"/>
    <w:rsid w:val="2005342C"/>
    <w:rsid w:val="20677AD3"/>
    <w:rsid w:val="20D34741"/>
    <w:rsid w:val="21BD2162"/>
    <w:rsid w:val="24E6773E"/>
    <w:rsid w:val="251A767D"/>
    <w:rsid w:val="2581497C"/>
    <w:rsid w:val="25AB6412"/>
    <w:rsid w:val="27001DCB"/>
    <w:rsid w:val="27044385"/>
    <w:rsid w:val="273D7445"/>
    <w:rsid w:val="27727469"/>
    <w:rsid w:val="2809000E"/>
    <w:rsid w:val="281C1F8A"/>
    <w:rsid w:val="282D2989"/>
    <w:rsid w:val="28A06C1C"/>
    <w:rsid w:val="29143B49"/>
    <w:rsid w:val="2B6B0C1C"/>
    <w:rsid w:val="2CF52523"/>
    <w:rsid w:val="2CFF55C1"/>
    <w:rsid w:val="2F363C4A"/>
    <w:rsid w:val="2F642E8E"/>
    <w:rsid w:val="2FD92135"/>
    <w:rsid w:val="2FF75092"/>
    <w:rsid w:val="329F4483"/>
    <w:rsid w:val="32D72F11"/>
    <w:rsid w:val="33134E71"/>
    <w:rsid w:val="358E7721"/>
    <w:rsid w:val="35966615"/>
    <w:rsid w:val="36E8561F"/>
    <w:rsid w:val="37A442EA"/>
    <w:rsid w:val="38C55C94"/>
    <w:rsid w:val="3A58061F"/>
    <w:rsid w:val="3D3424ED"/>
    <w:rsid w:val="3DDE2C63"/>
    <w:rsid w:val="3EA80078"/>
    <w:rsid w:val="3EF518D7"/>
    <w:rsid w:val="44702D73"/>
    <w:rsid w:val="448600AA"/>
    <w:rsid w:val="4493311A"/>
    <w:rsid w:val="47857C94"/>
    <w:rsid w:val="4B7613B8"/>
    <w:rsid w:val="4C03387D"/>
    <w:rsid w:val="4D7E765F"/>
    <w:rsid w:val="4DAC7892"/>
    <w:rsid w:val="4F461FE7"/>
    <w:rsid w:val="4F8151E4"/>
    <w:rsid w:val="4FB51761"/>
    <w:rsid w:val="52413DEC"/>
    <w:rsid w:val="55C3101A"/>
    <w:rsid w:val="57206CE0"/>
    <w:rsid w:val="57415D69"/>
    <w:rsid w:val="577657E8"/>
    <w:rsid w:val="57BF3D3D"/>
    <w:rsid w:val="57DB2421"/>
    <w:rsid w:val="5D403159"/>
    <w:rsid w:val="5E361890"/>
    <w:rsid w:val="5E4E17D8"/>
    <w:rsid w:val="5EE82A63"/>
    <w:rsid w:val="61891507"/>
    <w:rsid w:val="637A221F"/>
    <w:rsid w:val="66576686"/>
    <w:rsid w:val="66F260F2"/>
    <w:rsid w:val="68DE6863"/>
    <w:rsid w:val="697275C4"/>
    <w:rsid w:val="69F85DC8"/>
    <w:rsid w:val="6ADE3093"/>
    <w:rsid w:val="6BFE7C2B"/>
    <w:rsid w:val="6C537AB1"/>
    <w:rsid w:val="6D441D97"/>
    <w:rsid w:val="6E3470A8"/>
    <w:rsid w:val="6EEF5F38"/>
    <w:rsid w:val="6FA504B7"/>
    <w:rsid w:val="721414BF"/>
    <w:rsid w:val="733C129F"/>
    <w:rsid w:val="7474679E"/>
    <w:rsid w:val="74B25521"/>
    <w:rsid w:val="75723680"/>
    <w:rsid w:val="75F660B3"/>
    <w:rsid w:val="75F93477"/>
    <w:rsid w:val="784A2271"/>
    <w:rsid w:val="7C8A307B"/>
    <w:rsid w:val="7D4E22FA"/>
    <w:rsid w:val="7E55487E"/>
    <w:rsid w:val="7F4C316E"/>
    <w:rsid w:val="7F4C7E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autoRedefine/>
    <w:semiHidden/>
    <w:qFormat/>
    <w:uiPriority w:val="0"/>
  </w:style>
  <w:style w:type="table" w:default="1" w:styleId="9">
    <w:name w:val="Normal Table"/>
    <w:autoRedefine/>
    <w:semiHidden/>
    <w:qFormat/>
    <w:uiPriority w:val="0"/>
    <w:tblPr>
      <w:tblCellMar>
        <w:top w:w="0" w:type="dxa"/>
        <w:left w:w="108" w:type="dxa"/>
        <w:bottom w:w="0" w:type="dxa"/>
        <w:right w:w="108" w:type="dxa"/>
      </w:tblCellMar>
    </w:tblPr>
  </w:style>
  <w:style w:type="paragraph" w:styleId="2">
    <w:name w:val="Body Text"/>
    <w:basedOn w:val="1"/>
    <w:next w:val="1"/>
    <w:autoRedefine/>
    <w:qFormat/>
    <w:uiPriority w:val="0"/>
    <w:rPr>
      <w:szCs w:val="28"/>
    </w:rPr>
  </w:style>
  <w:style w:type="paragraph" w:styleId="3">
    <w:name w:val="annotation text"/>
    <w:basedOn w:val="1"/>
    <w:autoRedefine/>
    <w:qFormat/>
    <w:uiPriority w:val="0"/>
    <w:pPr>
      <w:jc w:val="left"/>
    </w:pPr>
  </w:style>
  <w:style w:type="paragraph" w:styleId="4">
    <w:name w:val="Plain Text"/>
    <w:basedOn w:val="1"/>
    <w:autoRedefine/>
    <w:qFormat/>
    <w:uiPriority w:val="0"/>
    <w:rPr>
      <w:rFonts w:ascii="黑体" w:hAnsi="Courier New" w:eastAsia="黑体" w:cs="Times New Roman"/>
      <w:szCs w:val="20"/>
    </w:rPr>
  </w:style>
  <w:style w:type="paragraph" w:styleId="5">
    <w:name w:val="Body Text Indent 2"/>
    <w:basedOn w:val="1"/>
    <w:autoRedefine/>
    <w:qFormat/>
    <w:uiPriority w:val="0"/>
    <w:pPr>
      <w:ind w:firstLine="540" w:firstLineChars="180"/>
    </w:pPr>
    <w:rPr>
      <w:rFonts w:ascii="仿宋_GB2312" w:hAnsi="Calibri" w:eastAsia="仿宋_GB2312" w:cs="Times New Roman"/>
      <w:sz w:val="30"/>
      <w:szCs w:val="24"/>
    </w:rPr>
  </w:style>
  <w:style w:type="paragraph" w:styleId="6">
    <w:name w:val="footer"/>
    <w:basedOn w:val="1"/>
    <w:autoRedefine/>
    <w:qFormat/>
    <w:uiPriority w:val="99"/>
    <w:pPr>
      <w:tabs>
        <w:tab w:val="center" w:pos="4153"/>
        <w:tab w:val="right" w:pos="8306"/>
      </w:tabs>
      <w:snapToGrid w:val="0"/>
      <w:jc w:val="left"/>
    </w:pPr>
    <w:rPr>
      <w:rFonts w:ascii="Calibri" w:hAnsi="Calibri" w:eastAsia="宋体" w:cs="Times New Roman"/>
      <w:sz w:val="18"/>
    </w:rPr>
  </w:style>
  <w:style w:type="paragraph" w:styleId="7">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Calibri" w:hAnsi="Calibri" w:eastAsia="宋体" w:cs="Times New Roman"/>
      <w:sz w:val="18"/>
    </w:rPr>
  </w:style>
  <w:style w:type="paragraph" w:styleId="8">
    <w:name w:val="toc 1"/>
    <w:basedOn w:val="1"/>
    <w:next w:val="1"/>
    <w:autoRedefine/>
    <w:qFormat/>
    <w:uiPriority w:val="0"/>
    <w:rPr>
      <w:rFonts w:ascii="Calibri" w:hAnsi="Calibri" w:eastAsia="宋体" w:cs="Times New Roman"/>
    </w:rPr>
  </w:style>
  <w:style w:type="character" w:styleId="11">
    <w:name w:val="Hyperlink"/>
    <w:basedOn w:val="10"/>
    <w:qFormat/>
    <w:uiPriority w:val="0"/>
    <w:rPr>
      <w:color w:val="0000FF"/>
      <w:u w:val="single"/>
    </w:rPr>
  </w:style>
  <w:style w:type="paragraph" w:customStyle="1" w:styleId="12">
    <w:name w:val="Default"/>
    <w:autoRedefine/>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paragraph" w:customStyle="1" w:styleId="13">
    <w:name w:val="。"/>
    <w:basedOn w:val="1"/>
    <w:autoRedefine/>
    <w:qFormat/>
    <w:uiPriority w:val="0"/>
    <w:pPr>
      <w:adjustRightInd w:val="0"/>
      <w:spacing w:line="312" w:lineRule="atLeast"/>
      <w:ind w:right="679"/>
      <w:textAlignment w:val="baseline"/>
    </w:pPr>
    <w:rPr>
      <w:rFonts w:ascii="宋体" w:hAnsi="Calibri" w:eastAsia="宋体" w:cs="Times New Roman"/>
      <w:kern w:val="0"/>
      <w:sz w:val="20"/>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39</Pages>
  <Words>89</Words>
  <Characters>100</Characters>
  <Lines>0</Lines>
  <Paragraphs>0</Paragraphs>
  <TotalTime>3</TotalTime>
  <ScaleCrop>false</ScaleCrop>
  <LinksUpToDate>false</LinksUpToDate>
  <CharactersWithSpaces>248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2023-11-09T02:14:00Z</dcterms:created>
  <dc:creator>周轶群</dc:creator>
  <cp:lastModifiedBy>雪域蓝色梦</cp:lastModifiedBy>
  <dcterms:modified xsi:type="dcterms:W3CDTF">2026-10-09T09:45:40Z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4BA1026335B341AE80CFBA51EEA600B0_13</vt:lpwstr>
  </property>
  <property fmtid="{D5CDD505-2E9C-101B-9397-08002B2CF9AE}" pid="4" name="KSOTemplateDocerSaveRecord">
    <vt:lpwstr>eyJoZGlkIjoiZjYwMjllMDIwMDk5ZWU3NTk1ZGM5MjVmNjMxZWI5OGIiLCJ1c2VySWQiOiIzMTgwMDIyMTYifQ==</vt:lpwstr>
  </property>
</Properties>
</file>