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11506">
      <w:pPr>
        <w:tabs>
          <w:tab w:val="left" w:pos="180"/>
        </w:tabs>
        <w:spacing w:line="600" w:lineRule="auto"/>
        <w:ind w:firstLine="138" w:firstLineChars="49"/>
        <w:rPr>
          <w:rFonts w:hint="eastAsia" w:hAnsi="宋体"/>
          <w:b/>
          <w:color w:val="auto"/>
          <w:sz w:val="28"/>
          <w:szCs w:val="28"/>
          <w:highlight w:val="none"/>
        </w:rPr>
      </w:pPr>
    </w:p>
    <w:p w14:paraId="47E4E2C5">
      <w:pPr>
        <w:tabs>
          <w:tab w:val="left" w:pos="180"/>
        </w:tabs>
        <w:spacing w:line="600" w:lineRule="auto"/>
        <w:ind w:firstLine="138" w:firstLineChars="49"/>
        <w:rPr>
          <w:rFonts w:hint="eastAsia" w:hAnsi="宋体"/>
          <w:b/>
          <w:color w:val="auto"/>
          <w:sz w:val="28"/>
          <w:szCs w:val="28"/>
          <w:highlight w:val="none"/>
        </w:rPr>
      </w:pPr>
    </w:p>
    <w:p w14:paraId="33057436">
      <w:pPr>
        <w:tabs>
          <w:tab w:val="left" w:pos="180"/>
        </w:tabs>
        <w:spacing w:line="600" w:lineRule="auto"/>
        <w:ind w:right="695" w:rightChars="331"/>
        <w:rPr>
          <w:rFonts w:hint="eastAsia" w:hAnsi="宋体"/>
          <w:b/>
          <w:color w:val="auto"/>
          <w:sz w:val="44"/>
          <w:szCs w:val="44"/>
          <w:highlight w:val="none"/>
          <w:u w:val="single"/>
        </w:rPr>
      </w:pPr>
    </w:p>
    <w:p w14:paraId="17DBA0A9">
      <w:pPr>
        <w:tabs>
          <w:tab w:val="left" w:pos="180"/>
        </w:tabs>
        <w:spacing w:line="360" w:lineRule="auto"/>
        <w:ind w:right="48" w:rightChars="23"/>
        <w:jc w:val="center"/>
        <w:rPr>
          <w:rFonts w:hint="default" w:hAnsi="宋体" w:eastAsia="宋体"/>
          <w:b/>
          <w:color w:val="auto"/>
          <w:sz w:val="52"/>
          <w:szCs w:val="52"/>
          <w:highlight w:val="none"/>
          <w:lang w:val="en-US" w:eastAsia="zh-CN"/>
        </w:rPr>
      </w:pPr>
      <w:r>
        <w:rPr>
          <w:rFonts w:hint="eastAsia" w:hAnsi="宋体"/>
          <w:b/>
          <w:color w:val="auto"/>
          <w:sz w:val="52"/>
          <w:szCs w:val="52"/>
          <w:highlight w:val="none"/>
          <w:lang w:val="en-US" w:eastAsia="zh-CN"/>
        </w:rPr>
        <w:t>海兴高速项目钢板桩施工</w:t>
      </w:r>
    </w:p>
    <w:p w14:paraId="08593BD5">
      <w:pPr>
        <w:jc w:val="center"/>
        <w:rPr>
          <w:b/>
          <w:color w:val="auto"/>
          <w:sz w:val="72"/>
          <w:szCs w:val="72"/>
          <w:highlight w:val="none"/>
        </w:rPr>
      </w:pPr>
    </w:p>
    <w:p w14:paraId="1D51976A">
      <w:pPr>
        <w:jc w:val="center"/>
        <w:rPr>
          <w:rFonts w:hint="eastAsia" w:hAnsi="宋体"/>
          <w:b/>
          <w:color w:val="auto"/>
          <w:sz w:val="72"/>
          <w:highlight w:val="none"/>
        </w:rPr>
      </w:pPr>
      <w:r>
        <w:rPr>
          <w:rFonts w:hint="eastAsia" w:hAnsi="宋体"/>
          <w:b/>
          <w:color w:val="auto"/>
          <w:sz w:val="72"/>
          <w:highlight w:val="none"/>
        </w:rPr>
        <w:t>采购文件</w:t>
      </w:r>
    </w:p>
    <w:p w14:paraId="6CE664F2">
      <w:pPr>
        <w:jc w:val="center"/>
        <w:rPr>
          <w:b/>
          <w:color w:val="auto"/>
          <w:sz w:val="36"/>
          <w:szCs w:val="36"/>
          <w:highlight w:val="none"/>
        </w:rPr>
      </w:pPr>
    </w:p>
    <w:p w14:paraId="349F8856">
      <w:pPr>
        <w:jc w:val="center"/>
        <w:rPr>
          <w:b/>
          <w:color w:val="auto"/>
          <w:sz w:val="36"/>
          <w:szCs w:val="36"/>
          <w:highlight w:val="none"/>
        </w:rPr>
      </w:pPr>
    </w:p>
    <w:p w14:paraId="31B426CE">
      <w:pPr>
        <w:jc w:val="center"/>
        <w:rPr>
          <w:b/>
          <w:color w:val="auto"/>
          <w:sz w:val="36"/>
          <w:szCs w:val="36"/>
          <w:highlight w:val="none"/>
        </w:rPr>
      </w:pPr>
    </w:p>
    <w:p w14:paraId="1F3E22B1">
      <w:pPr>
        <w:jc w:val="center"/>
        <w:rPr>
          <w:b/>
          <w:color w:val="auto"/>
          <w:sz w:val="36"/>
          <w:szCs w:val="36"/>
          <w:highlight w:val="none"/>
        </w:rPr>
      </w:pPr>
    </w:p>
    <w:p w14:paraId="74AC893E">
      <w:pPr>
        <w:tabs>
          <w:tab w:val="left" w:pos="180"/>
        </w:tabs>
        <w:spacing w:line="600" w:lineRule="auto"/>
        <w:ind w:firstLine="138" w:firstLineChars="49"/>
        <w:jc w:val="center"/>
        <w:rPr>
          <w:rFonts w:hint="default" w:hAnsi="宋体" w:eastAsia="宋体"/>
          <w:b/>
          <w:color w:val="auto"/>
          <w:sz w:val="28"/>
          <w:szCs w:val="28"/>
          <w:highlight w:val="none"/>
          <w:u w:val="single"/>
          <w:lang w:val="en-US" w:eastAsia="zh-CN"/>
        </w:rPr>
      </w:pPr>
      <w:r>
        <w:rPr>
          <w:rFonts w:hint="eastAsia" w:hAnsi="宋体"/>
          <w:b/>
          <w:color w:val="auto"/>
          <w:sz w:val="28"/>
          <w:szCs w:val="28"/>
          <w:highlight w:val="none"/>
        </w:rPr>
        <w:t>采购文件编号：</w:t>
      </w:r>
      <w:r>
        <w:rPr>
          <w:rFonts w:hint="eastAsia" w:hAnsi="宋体"/>
          <w:b/>
          <w:color w:val="auto"/>
          <w:sz w:val="28"/>
          <w:szCs w:val="28"/>
          <w:highlight w:val="none"/>
          <w:u w:val="single"/>
          <w:lang w:val="en-US" w:eastAsia="zh-CN"/>
        </w:rPr>
        <w:t>ZJLQ-FBCG-海兴项目-009</w:t>
      </w:r>
    </w:p>
    <w:p w14:paraId="7C2BDA41">
      <w:pPr>
        <w:jc w:val="center"/>
        <w:rPr>
          <w:b/>
          <w:color w:val="auto"/>
          <w:sz w:val="36"/>
          <w:szCs w:val="36"/>
          <w:highlight w:val="none"/>
        </w:rPr>
      </w:pPr>
    </w:p>
    <w:p w14:paraId="45D9E528">
      <w:pPr>
        <w:jc w:val="center"/>
        <w:rPr>
          <w:b/>
          <w:color w:val="auto"/>
          <w:sz w:val="36"/>
          <w:szCs w:val="36"/>
          <w:highlight w:val="none"/>
        </w:rPr>
      </w:pPr>
    </w:p>
    <w:p w14:paraId="4A193890">
      <w:pPr>
        <w:spacing w:line="360" w:lineRule="auto"/>
        <w:ind w:right="27" w:rightChars="13"/>
        <w:jc w:val="center"/>
        <w:rPr>
          <w:rFonts w:hint="eastAsia" w:eastAsia="宋体"/>
          <w:b/>
          <w:color w:val="auto"/>
          <w:sz w:val="36"/>
          <w:szCs w:val="36"/>
          <w:highlight w:val="none"/>
          <w:lang w:eastAsia="zh-CN"/>
        </w:rPr>
      </w:pPr>
      <w:r>
        <w:rPr>
          <w:rFonts w:hint="eastAsia"/>
          <w:b/>
          <w:color w:val="auto"/>
          <w:sz w:val="36"/>
          <w:szCs w:val="36"/>
          <w:highlight w:val="none"/>
          <w:lang w:eastAsia="zh-CN"/>
        </w:rPr>
        <w:t>中建路桥集团</w:t>
      </w:r>
      <w:r>
        <w:rPr>
          <w:rFonts w:hint="eastAsia"/>
          <w:b/>
          <w:color w:val="auto"/>
          <w:sz w:val="36"/>
          <w:szCs w:val="36"/>
          <w:highlight w:val="none"/>
          <w:lang w:val="en-US" w:eastAsia="zh-CN"/>
        </w:rPr>
        <w:t>第二工程</w:t>
      </w:r>
      <w:r>
        <w:rPr>
          <w:rFonts w:hint="eastAsia"/>
          <w:b/>
          <w:color w:val="auto"/>
          <w:sz w:val="36"/>
          <w:szCs w:val="36"/>
          <w:highlight w:val="none"/>
          <w:lang w:eastAsia="zh-CN"/>
        </w:rPr>
        <w:t>有限公司</w:t>
      </w:r>
    </w:p>
    <w:p w14:paraId="4C78B303">
      <w:pPr>
        <w:spacing w:line="360" w:lineRule="auto"/>
        <w:jc w:val="center"/>
        <w:rPr>
          <w:b/>
          <w:color w:val="auto"/>
          <w:sz w:val="36"/>
          <w:szCs w:val="36"/>
          <w:highlight w:val="none"/>
        </w:rPr>
      </w:pPr>
      <w:r>
        <w:rPr>
          <w:rFonts w:hint="eastAsia"/>
          <w:b/>
          <w:color w:val="auto"/>
          <w:sz w:val="36"/>
          <w:szCs w:val="36"/>
          <w:highlight w:val="none"/>
        </w:rPr>
        <w:t>2026年</w:t>
      </w:r>
      <w:r>
        <w:rPr>
          <w:rFonts w:hint="eastAsia"/>
          <w:b/>
          <w:color w:val="auto"/>
          <w:sz w:val="36"/>
          <w:szCs w:val="36"/>
          <w:highlight w:val="none"/>
          <w:lang w:val="en-US" w:eastAsia="zh-CN"/>
        </w:rPr>
        <w:t>09</w:t>
      </w:r>
      <w:r>
        <w:rPr>
          <w:rFonts w:hint="eastAsia"/>
          <w:b/>
          <w:color w:val="auto"/>
          <w:sz w:val="36"/>
          <w:szCs w:val="36"/>
          <w:highlight w:val="none"/>
        </w:rPr>
        <w:t>月</w:t>
      </w:r>
    </w:p>
    <w:p w14:paraId="2437316C">
      <w:pPr>
        <w:spacing w:line="360" w:lineRule="auto"/>
        <w:ind w:right="17" w:firstLine="1932"/>
        <w:rPr>
          <w:color w:val="auto"/>
          <w:sz w:val="24"/>
          <w:highlight w:val="none"/>
        </w:rPr>
      </w:pPr>
    </w:p>
    <w:p w14:paraId="303BA2E3">
      <w:pPr>
        <w:spacing w:line="360" w:lineRule="auto"/>
        <w:ind w:right="17" w:firstLine="1932"/>
        <w:rPr>
          <w:color w:val="auto"/>
          <w:sz w:val="24"/>
          <w:highlight w:val="none"/>
        </w:rPr>
        <w:sectPr>
          <w:headerReference r:id="rId5" w:type="first"/>
          <w:headerReference r:id="rId3" w:type="default"/>
          <w:footerReference r:id="rId6" w:type="default"/>
          <w:headerReference r:id="rId4" w:type="even"/>
          <w:footerReference r:id="rId7" w:type="even"/>
          <w:pgSz w:w="11907" w:h="16840"/>
          <w:pgMar w:top="1417" w:right="1701" w:bottom="1417" w:left="1701" w:header="850" w:footer="1134" w:gutter="0"/>
          <w:cols w:space="0" w:num="1"/>
          <w:rtlGutter w:val="0"/>
          <w:docGrid w:linePitch="312" w:charSpace="0"/>
        </w:sectPr>
      </w:pPr>
    </w:p>
    <w:p w14:paraId="4780E489">
      <w:pPr>
        <w:pStyle w:val="2"/>
        <w:rPr>
          <w:color w:val="auto"/>
          <w:highlight w:val="none"/>
        </w:rPr>
      </w:pPr>
      <w:bookmarkStart w:id="0" w:name="_Toc144872077"/>
      <w:bookmarkStart w:id="1" w:name="_Toc145426861"/>
      <w:bookmarkStart w:id="2" w:name="_Toc53948325"/>
      <w:bookmarkStart w:id="3" w:name="_Toc54280781"/>
      <w:bookmarkStart w:id="4" w:name="_Toc53916200"/>
      <w:bookmarkStart w:id="5" w:name="_Toc53918797"/>
      <w:bookmarkStart w:id="6" w:name="_Toc145499727"/>
      <w:bookmarkStart w:id="7" w:name="_Toc53945771"/>
      <w:bookmarkStart w:id="8" w:name="_Toc284135586"/>
      <w:bookmarkStart w:id="9" w:name="_Toc54281207"/>
      <w:bookmarkStart w:id="10" w:name="_Toc54280355"/>
      <w:bookmarkStart w:id="11" w:name="_Toc54279929"/>
      <w:bookmarkStart w:id="12" w:name="_Toc54291111"/>
      <w:bookmarkStart w:id="13" w:name="_Toc53949168"/>
      <w:bookmarkStart w:id="14" w:name="_Toc54278546"/>
      <w:bookmarkStart w:id="15" w:name="_Toc53936506"/>
      <w:bookmarkStart w:id="16" w:name="_Toc53939570"/>
      <w:r>
        <w:rPr>
          <w:rFonts w:hint="eastAsia"/>
          <w:color w:val="auto"/>
          <w:highlight w:val="none"/>
        </w:rPr>
        <w:t>第一篇  采购公告</w:t>
      </w:r>
    </w:p>
    <w:p w14:paraId="3A76F70B">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ascii="Times New Roman" w:hAnsi="Times New Roman" w:eastAsia="宋体" w:cs="Times New Roman"/>
          <w:b/>
          <w:color w:val="auto"/>
          <w:sz w:val="32"/>
          <w:szCs w:val="32"/>
          <w:highlight w:val="none"/>
        </w:rPr>
      </w:pPr>
      <w:r>
        <w:rPr>
          <w:rFonts w:hint="eastAsia" w:ascii="Times New Roman" w:hAnsi="Times New Roman" w:eastAsia="宋体" w:cs="Times New Roman"/>
          <w:b/>
          <w:color w:val="auto"/>
          <w:sz w:val="30"/>
          <w:szCs w:val="30"/>
          <w:highlight w:val="none"/>
          <w:u w:val="single"/>
          <w:lang w:val="en-US" w:eastAsia="zh-CN"/>
        </w:rPr>
        <w:t>海兴高速项目</w:t>
      </w:r>
      <w:r>
        <w:rPr>
          <w:rFonts w:hint="eastAsia" w:cs="Times New Roman"/>
          <w:b/>
          <w:color w:val="auto"/>
          <w:sz w:val="30"/>
          <w:szCs w:val="30"/>
          <w:highlight w:val="none"/>
          <w:u w:val="single"/>
          <w:lang w:eastAsia="zh-CN"/>
        </w:rPr>
        <w:t>钢板桩施工</w:t>
      </w:r>
      <w:r>
        <w:rPr>
          <w:rFonts w:hint="eastAsia" w:ascii="Times New Roman" w:hAnsi="Times New Roman" w:eastAsia="宋体" w:cs="Times New Roman"/>
          <w:b/>
          <w:color w:val="auto"/>
          <w:sz w:val="30"/>
          <w:szCs w:val="30"/>
          <w:highlight w:val="none"/>
        </w:rPr>
        <w:t>分包工程采购公告</w:t>
      </w:r>
    </w:p>
    <w:p w14:paraId="4AC72A51">
      <w:pPr>
        <w:spacing w:line="360" w:lineRule="auto"/>
        <w:rPr>
          <w:rFonts w:ascii="Times New Roman" w:hAnsi="Times New Roman" w:eastAsia="宋体" w:cs="Times New Roman"/>
          <w:b/>
          <w:color w:val="auto"/>
          <w:highlight w:val="none"/>
        </w:rPr>
      </w:pPr>
    </w:p>
    <w:p w14:paraId="2D5F64E4">
      <w:pPr>
        <w:spacing w:line="360" w:lineRule="auto"/>
        <w:rPr>
          <w:rFonts w:hint="eastAsia" w:ascii="宋体" w:hAnsi="宋体" w:eastAsia="宋体" w:cs="Times New Roman"/>
          <w:b/>
          <w:color w:val="auto"/>
          <w:sz w:val="28"/>
          <w:szCs w:val="28"/>
          <w:highlight w:val="none"/>
        </w:rPr>
      </w:pPr>
      <w:r>
        <w:rPr>
          <w:rFonts w:hint="eastAsia" w:ascii="宋体" w:hAnsi="宋体" w:eastAsia="宋体" w:cs="Times New Roman"/>
          <w:b/>
          <w:color w:val="auto"/>
          <w:sz w:val="28"/>
          <w:szCs w:val="28"/>
          <w:highlight w:val="none"/>
        </w:rPr>
        <w:t xml:space="preserve">1. </w:t>
      </w:r>
      <w:bookmarkStart w:id="17" w:name="_Toc326091674"/>
      <w:bookmarkStart w:id="18" w:name="_Toc321926658"/>
      <w:r>
        <w:rPr>
          <w:rFonts w:hint="eastAsia" w:ascii="宋体" w:hAnsi="宋体" w:eastAsia="宋体" w:cs="Times New Roman"/>
          <w:b/>
          <w:color w:val="auto"/>
          <w:sz w:val="28"/>
          <w:szCs w:val="28"/>
          <w:highlight w:val="none"/>
        </w:rPr>
        <w:t>采购条件</w:t>
      </w:r>
      <w:bookmarkEnd w:id="17"/>
      <w:bookmarkEnd w:id="18"/>
    </w:p>
    <w:p w14:paraId="186A0A81">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宋体"/>
          <w:color w:val="auto"/>
          <w:kern w:val="0"/>
          <w:sz w:val="24"/>
          <w:highlight w:val="none"/>
        </w:rPr>
        <w:t>坚持以习近平新时代中国特色社会主义思想为指导，全面贯彻党的二十大精神，遵守社会主义核心价值观。贯彻国家“双碳”战略，引领供应链上下游绿色低碳发展。根据中国建筑集团有限公司分包管理方针和中建路桥集团有限公司采购管理办法，</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u w:val="single"/>
          <w:lang w:val="en-US" w:eastAsia="zh-CN"/>
        </w:rPr>
        <w:t>海兴高速项目</w:t>
      </w:r>
      <w:r>
        <w:rPr>
          <w:rFonts w:hint="eastAsia" w:ascii="宋体" w:hAnsi="宋体" w:cs="宋体"/>
          <w:color w:val="auto"/>
          <w:sz w:val="24"/>
          <w:highlight w:val="none"/>
          <w:u w:val="single"/>
          <w:lang w:eastAsia="zh-CN"/>
        </w:rPr>
        <w:t>钢板桩</w:t>
      </w:r>
      <w:r>
        <w:rPr>
          <w:rFonts w:hint="eastAsia" w:ascii="宋体" w:hAnsi="宋体" w:eastAsia="宋体" w:cs="宋体"/>
          <w:color w:val="auto"/>
          <w:sz w:val="24"/>
          <w:highlight w:val="none"/>
          <w:u w:val="single"/>
        </w:rPr>
        <w:t>施工</w:t>
      </w:r>
      <w:r>
        <w:rPr>
          <w:rFonts w:hint="eastAsia" w:ascii="宋体" w:hAnsi="宋体" w:eastAsia="宋体" w:cs="宋体"/>
          <w:color w:val="auto"/>
          <w:kern w:val="0"/>
          <w:sz w:val="24"/>
          <w:highlight w:val="none"/>
        </w:rPr>
        <w:t>已具备采购条件，</w:t>
      </w:r>
      <w:r>
        <w:rPr>
          <w:rFonts w:hint="eastAsia" w:ascii="宋体" w:hAnsi="宋体" w:eastAsia="宋体" w:cs="宋体"/>
          <w:color w:val="auto"/>
          <w:sz w:val="24"/>
          <w:highlight w:val="none"/>
        </w:rPr>
        <w:t>采购人为</w:t>
      </w:r>
      <w:r>
        <w:rPr>
          <w:rFonts w:hint="eastAsia" w:ascii="宋体" w:hAnsi="宋体" w:eastAsia="宋体" w:cs="宋体"/>
          <w:color w:val="auto"/>
          <w:sz w:val="24"/>
          <w:highlight w:val="none"/>
          <w:u w:val="single"/>
        </w:rPr>
        <w:t>中建路桥集团</w:t>
      </w:r>
      <w:r>
        <w:rPr>
          <w:rFonts w:hint="eastAsia" w:ascii="宋体" w:hAnsi="宋体" w:eastAsia="宋体" w:cs="宋体"/>
          <w:color w:val="auto"/>
          <w:sz w:val="24"/>
          <w:highlight w:val="none"/>
          <w:u w:val="single"/>
          <w:lang w:val="en-US" w:eastAsia="zh-CN"/>
        </w:rPr>
        <w:t>第二工程</w:t>
      </w:r>
      <w:r>
        <w:rPr>
          <w:rFonts w:hint="eastAsia" w:ascii="宋体" w:hAnsi="宋体" w:eastAsia="宋体" w:cs="宋体"/>
          <w:color w:val="auto"/>
          <w:sz w:val="24"/>
          <w:highlight w:val="none"/>
          <w:u w:val="single"/>
        </w:rPr>
        <w:t>有限公司</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rPr>
        <w:t>现对该项目进行公开采购，诚邀符合资质要求、能提供优质服务的分供商参与项目采购活动。</w:t>
      </w:r>
    </w:p>
    <w:p w14:paraId="3221A5CA">
      <w:pPr>
        <w:spacing w:line="360" w:lineRule="auto"/>
        <w:rPr>
          <w:rFonts w:hint="eastAsia" w:ascii="宋体" w:hAnsi="宋体" w:eastAsia="宋体" w:cs="Times New Roman"/>
          <w:b/>
          <w:color w:val="auto"/>
          <w:sz w:val="28"/>
          <w:szCs w:val="28"/>
          <w:highlight w:val="none"/>
        </w:rPr>
      </w:pPr>
      <w:r>
        <w:rPr>
          <w:rFonts w:hint="eastAsia" w:ascii="宋体" w:hAnsi="宋体" w:eastAsia="宋体" w:cs="Times New Roman"/>
          <w:b/>
          <w:color w:val="auto"/>
          <w:sz w:val="28"/>
          <w:szCs w:val="28"/>
          <w:highlight w:val="none"/>
        </w:rPr>
        <w:t>2</w:t>
      </w:r>
      <w:r>
        <w:rPr>
          <w:rFonts w:ascii="宋体" w:hAnsi="宋体" w:eastAsia="宋体" w:cs="Times New Roman"/>
          <w:b/>
          <w:color w:val="auto"/>
          <w:sz w:val="28"/>
          <w:szCs w:val="28"/>
          <w:highlight w:val="none"/>
        </w:rPr>
        <w:t>．项目概况与采购范围</w:t>
      </w:r>
    </w:p>
    <w:p w14:paraId="47B52C21">
      <w:pPr>
        <w:autoSpaceDE w:val="0"/>
        <w:autoSpaceDN w:val="0"/>
        <w:spacing w:line="360" w:lineRule="auto"/>
        <w:ind w:firstLine="480" w:firstLineChars="200"/>
        <w:jc w:val="left"/>
        <w:rPr>
          <w:rFonts w:hint="eastAsia" w:ascii="宋体" w:hAnsi="宋体" w:eastAsia="宋体" w:cs="宋体"/>
          <w:color w:val="auto"/>
          <w:kern w:val="0"/>
          <w:sz w:val="24"/>
          <w:highlight w:val="none"/>
        </w:rPr>
      </w:pPr>
      <w:bookmarkStart w:id="19" w:name="_Toc235071704"/>
      <w:r>
        <w:rPr>
          <w:rFonts w:hint="eastAsia" w:ascii="宋体" w:hAnsi="宋体" w:eastAsia="宋体" w:cs="宋体"/>
          <w:color w:val="auto"/>
          <w:kern w:val="0"/>
          <w:sz w:val="24"/>
          <w:highlight w:val="none"/>
        </w:rPr>
        <w:t>建设地点：</w:t>
      </w:r>
      <w:r>
        <w:rPr>
          <w:rFonts w:hint="eastAsia" w:ascii="宋体" w:hAnsi="宋体" w:eastAsia="宋体" w:cs="宋体"/>
          <w:color w:val="auto"/>
          <w:kern w:val="0"/>
          <w:sz w:val="24"/>
          <w:highlight w:val="none"/>
          <w:lang w:val="en-US" w:eastAsia="zh-CN"/>
        </w:rPr>
        <w:t>沧州市海兴县</w:t>
      </w:r>
    </w:p>
    <w:p w14:paraId="24637BA6">
      <w:pPr>
        <w:autoSpaceDE w:val="0"/>
        <w:autoSpaceDN w:val="0"/>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规模：</w:t>
      </w:r>
      <w:r>
        <w:rPr>
          <w:rFonts w:hint="eastAsia" w:ascii="宋体" w:hAnsi="宋体" w:eastAsia="宋体" w:cs="宋体"/>
          <w:color w:val="auto"/>
          <w:kern w:val="0"/>
          <w:sz w:val="24"/>
          <w:highlight w:val="none"/>
          <w:lang w:val="en-US" w:eastAsia="zh-CN"/>
        </w:rPr>
        <w:t>本</w:t>
      </w:r>
      <w:r>
        <w:rPr>
          <w:rFonts w:hint="eastAsia" w:ascii="宋体" w:hAnsi="宋体" w:eastAsia="宋体" w:cs="宋体"/>
          <w:color w:val="auto"/>
          <w:kern w:val="0"/>
          <w:sz w:val="24"/>
          <w:highlight w:val="none"/>
          <w:lang w:val="en-US" w:eastAsia="zh-CN"/>
        </w:rPr>
        <w:t>项目为海兴盐场特大桥</w:t>
      </w:r>
      <w:r>
        <w:rPr>
          <w:rFonts w:hint="eastAsia" w:ascii="宋体" w:hAnsi="宋体" w:cs="宋体"/>
          <w:color w:val="auto"/>
          <w:kern w:val="0"/>
          <w:sz w:val="24"/>
          <w:highlight w:val="none"/>
          <w:lang w:val="en-US" w:eastAsia="zh-CN"/>
        </w:rPr>
        <w:t>和青锋互通枢纽</w:t>
      </w:r>
      <w:r>
        <w:rPr>
          <w:rFonts w:hint="eastAsia" w:ascii="宋体" w:hAnsi="宋体" w:eastAsia="宋体" w:cs="宋体"/>
          <w:color w:val="auto"/>
          <w:kern w:val="0"/>
          <w:sz w:val="24"/>
          <w:highlight w:val="none"/>
          <w:lang w:val="en-US" w:eastAsia="zh-CN"/>
        </w:rPr>
        <w:t>范围内</w:t>
      </w:r>
      <w:r>
        <w:rPr>
          <w:rFonts w:hint="eastAsia" w:ascii="宋体" w:hAnsi="宋体" w:cs="宋体"/>
          <w:color w:val="auto"/>
          <w:kern w:val="0"/>
          <w:sz w:val="24"/>
          <w:highlight w:val="none"/>
          <w:lang w:val="en-US" w:eastAsia="zh-CN"/>
        </w:rPr>
        <w:t>钢板桩施工</w:t>
      </w:r>
      <w:r>
        <w:rPr>
          <w:rFonts w:hint="eastAsia" w:ascii="宋体" w:hAnsi="宋体" w:eastAsia="宋体" w:cs="宋体"/>
          <w:color w:val="auto"/>
          <w:kern w:val="0"/>
          <w:sz w:val="24"/>
          <w:highlight w:val="none"/>
          <w:lang w:val="en-US" w:eastAsia="zh-CN"/>
        </w:rPr>
        <w:t>。</w:t>
      </w:r>
    </w:p>
    <w:p w14:paraId="264137E6">
      <w:pPr>
        <w:autoSpaceDE w:val="0"/>
        <w:autoSpaceDN w:val="0"/>
        <w:spacing w:line="360" w:lineRule="auto"/>
        <w:ind w:firstLine="480" w:firstLineChars="200"/>
        <w:jc w:val="left"/>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计划工期：</w:t>
      </w:r>
      <w:r>
        <w:rPr>
          <w:rFonts w:hint="eastAsia" w:ascii="宋体" w:hAnsi="宋体" w:cs="宋体"/>
          <w:color w:val="auto"/>
          <w:kern w:val="0"/>
          <w:sz w:val="24"/>
          <w:highlight w:val="none"/>
          <w:lang w:val="en-US" w:eastAsia="zh-CN"/>
        </w:rPr>
        <w:t>9</w:t>
      </w:r>
      <w:r>
        <w:rPr>
          <w:rFonts w:hint="eastAsia" w:ascii="宋体" w:hAnsi="宋体" w:eastAsia="宋体" w:cs="宋体"/>
          <w:color w:val="auto"/>
          <w:kern w:val="0"/>
          <w:sz w:val="24"/>
          <w:highlight w:val="none"/>
          <w:lang w:val="en-US" w:eastAsia="zh-CN"/>
        </w:rPr>
        <w:t>0天</w:t>
      </w:r>
    </w:p>
    <w:p w14:paraId="4F2F1113">
      <w:pPr>
        <w:autoSpaceDE w:val="0"/>
        <w:autoSpaceDN w:val="0"/>
        <w:spacing w:line="360" w:lineRule="auto"/>
        <w:ind w:firstLine="480" w:firstLineChars="200"/>
        <w:jc w:val="left"/>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采购范围：</w:t>
      </w:r>
      <w:r>
        <w:rPr>
          <w:rFonts w:hint="eastAsia" w:ascii="宋体" w:hAnsi="宋体" w:cs="宋体"/>
          <w:color w:val="auto"/>
          <w:kern w:val="0"/>
          <w:sz w:val="24"/>
          <w:highlight w:val="none"/>
          <w:lang w:eastAsia="zh-CN"/>
        </w:rPr>
        <w:t>钢板桩施工</w:t>
      </w:r>
      <w:r>
        <w:rPr>
          <w:rFonts w:hint="eastAsia" w:ascii="宋体" w:hAnsi="宋体" w:eastAsia="宋体" w:cs="宋体"/>
          <w:color w:val="auto"/>
          <w:kern w:val="0"/>
          <w:sz w:val="24"/>
          <w:highlight w:val="none"/>
          <w:lang w:val="en-US" w:eastAsia="zh-CN"/>
        </w:rPr>
        <w:t>；</w:t>
      </w:r>
    </w:p>
    <w:p w14:paraId="6D88B6C1">
      <w:pPr>
        <w:autoSpaceDE w:val="0"/>
        <w:autoSpaceDN w:val="0"/>
        <w:spacing w:line="360" w:lineRule="auto"/>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段落划分：</w:t>
      </w:r>
      <w:r>
        <w:rPr>
          <w:rFonts w:hint="eastAsia" w:ascii="宋体" w:hAnsi="宋体" w:eastAsia="宋体" w:cs="宋体"/>
          <w:color w:val="auto"/>
          <w:kern w:val="0"/>
          <w:sz w:val="24"/>
          <w:highlight w:val="none"/>
          <w:lang w:val="en-US" w:eastAsia="zh-CN"/>
        </w:rPr>
        <w:t>无</w:t>
      </w:r>
    </w:p>
    <w:p w14:paraId="34913982">
      <w:pPr>
        <w:autoSpaceDE w:val="0"/>
        <w:autoSpaceDN w:val="0"/>
        <w:spacing w:line="360" w:lineRule="auto"/>
        <w:ind w:firstLine="480" w:firstLineChars="20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rPr>
        <w:t>其他：</w:t>
      </w:r>
      <w:r>
        <w:rPr>
          <w:rFonts w:hint="eastAsia" w:ascii="宋体" w:hAnsi="宋体" w:eastAsia="宋体" w:cs="宋体"/>
          <w:color w:val="auto"/>
          <w:kern w:val="0"/>
          <w:sz w:val="24"/>
          <w:highlight w:val="none"/>
          <w:lang w:val="en-US" w:eastAsia="zh-CN"/>
        </w:rPr>
        <w:t>无</w:t>
      </w:r>
    </w:p>
    <w:p w14:paraId="5FFC3FC3">
      <w:pPr>
        <w:spacing w:line="360" w:lineRule="auto"/>
        <w:rPr>
          <w:rFonts w:hint="eastAsia" w:ascii="宋体" w:hAnsi="宋体" w:eastAsia="宋体" w:cs="Times New Roman"/>
          <w:b/>
          <w:color w:val="auto"/>
          <w:sz w:val="28"/>
          <w:szCs w:val="28"/>
          <w:highlight w:val="none"/>
        </w:rPr>
      </w:pPr>
      <w:r>
        <w:rPr>
          <w:rFonts w:hint="eastAsia" w:ascii="宋体" w:hAnsi="宋体" w:eastAsia="宋体" w:cs="Times New Roman"/>
          <w:b/>
          <w:color w:val="auto"/>
          <w:sz w:val="28"/>
          <w:szCs w:val="28"/>
          <w:highlight w:val="none"/>
        </w:rPr>
        <w:t>3．响应单位资格要求</w:t>
      </w:r>
      <w:bookmarkEnd w:id="19"/>
    </w:p>
    <w:p w14:paraId="08B4F4CD">
      <w:pPr>
        <w:spacing w:line="360" w:lineRule="auto"/>
        <w:ind w:firstLine="480" w:firstLineChars="200"/>
        <w:rPr>
          <w:rFonts w:hint="eastAsia" w:ascii="宋体" w:hAnsi="宋体" w:eastAsia="宋体" w:cs="Times New Roman"/>
          <w:color w:val="auto"/>
          <w:sz w:val="24"/>
          <w:highlight w:val="none"/>
        </w:rPr>
      </w:pPr>
      <w:bookmarkStart w:id="20" w:name="_Toc234932518"/>
      <w:bookmarkStart w:id="21" w:name="_Toc184704557"/>
      <w:bookmarkStart w:id="22" w:name="_Toc235071706"/>
      <w:bookmarkStart w:id="23" w:name="_Toc232836822"/>
      <w:r>
        <w:rPr>
          <w:rFonts w:hint="eastAsia" w:ascii="宋体" w:hAnsi="宋体" w:eastAsia="宋体" w:cs="Times New Roman"/>
          <w:color w:val="auto"/>
          <w:sz w:val="24"/>
          <w:highlight w:val="none"/>
        </w:rPr>
        <w:t>3.1本次采购要求响应单位须具备</w:t>
      </w:r>
      <w:r>
        <w:rPr>
          <w:rFonts w:hint="eastAsia" w:ascii="宋体" w:hAnsi="宋体" w:eastAsia="宋体" w:cs="Times New Roman"/>
          <w:color w:val="auto"/>
          <w:sz w:val="24"/>
          <w:highlight w:val="none"/>
          <w:u w:val="single"/>
        </w:rPr>
        <w:t xml:space="preserve"> 施工劳务不分等级 </w:t>
      </w:r>
      <w:r>
        <w:rPr>
          <w:rFonts w:hint="eastAsia" w:ascii="宋体" w:hAnsi="宋体" w:eastAsia="宋体" w:cs="Times New Roman"/>
          <w:color w:val="auto"/>
          <w:sz w:val="24"/>
          <w:highlight w:val="none"/>
        </w:rPr>
        <w:t>资质、</w:t>
      </w:r>
      <w:r>
        <w:rPr>
          <w:rFonts w:hint="eastAsia" w:ascii="宋体" w:hAnsi="宋体" w:eastAsia="宋体" w:cs="Times New Roman"/>
          <w:color w:val="auto"/>
          <w:sz w:val="24"/>
          <w:highlight w:val="none"/>
          <w:u w:val="single"/>
        </w:rPr>
        <w:t xml:space="preserve"> 5年内1个类似工程 </w:t>
      </w:r>
      <w:r>
        <w:rPr>
          <w:rFonts w:hint="eastAsia" w:ascii="宋体" w:hAnsi="宋体" w:eastAsia="宋体" w:cs="Times New Roman"/>
          <w:color w:val="auto"/>
          <w:sz w:val="24"/>
          <w:highlight w:val="none"/>
        </w:rPr>
        <w:t>业绩，响应单位需在中建路桥集团合格分供商名录中，未在中建系统不合格（含不良行为）名册中，并在人员、设备、资金等方面具备相应的施工能力。</w:t>
      </w:r>
    </w:p>
    <w:p w14:paraId="2386134D">
      <w:pPr>
        <w:widowControl w:val="0"/>
        <w:spacing w:line="360" w:lineRule="auto"/>
        <w:ind w:firstLine="480" w:firstLineChars="200"/>
        <w:jc w:val="both"/>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0"/>
          <w:highlight w:val="none"/>
          <w:lang w:val="en-US" w:eastAsia="zh-CN" w:bidi="ar-SA"/>
        </w:rPr>
        <w:t>3.2本次采购不接受联合体形式参与采购活动。</w:t>
      </w:r>
    </w:p>
    <w:p w14:paraId="17DF2AED">
      <w:pPr>
        <w:widowControl w:val="0"/>
        <w:spacing w:line="360" w:lineRule="auto"/>
        <w:ind w:firstLine="480"/>
        <w:jc w:val="both"/>
        <w:rPr>
          <w:rFonts w:hint="eastAsia" w:ascii="宋体" w:hAnsi="宋体" w:eastAsia="宋体" w:cs="Times New Roman"/>
          <w:color w:val="auto"/>
          <w:kern w:val="2"/>
          <w:sz w:val="24"/>
          <w:szCs w:val="20"/>
          <w:highlight w:val="none"/>
          <w:lang w:val="en-US" w:eastAsia="zh-CN" w:bidi="ar-SA"/>
        </w:rPr>
      </w:pPr>
      <w:r>
        <w:rPr>
          <w:rFonts w:hint="eastAsia" w:ascii="宋体" w:hAnsi="宋体" w:eastAsia="宋体" w:cs="Times New Roman"/>
          <w:color w:val="auto"/>
          <w:kern w:val="2"/>
          <w:sz w:val="24"/>
          <w:szCs w:val="20"/>
          <w:highlight w:val="none"/>
          <w:lang w:val="en-US" w:eastAsia="zh-CN" w:bidi="ar-SA"/>
        </w:rPr>
        <w:t>3.3每个响应单位最多可参与</w:t>
      </w:r>
      <w:r>
        <w:rPr>
          <w:rFonts w:hint="eastAsia" w:ascii="宋体" w:hAnsi="宋体" w:eastAsia="宋体" w:cs="Times New Roman"/>
          <w:color w:val="auto"/>
          <w:kern w:val="2"/>
          <w:sz w:val="24"/>
          <w:szCs w:val="20"/>
          <w:highlight w:val="none"/>
          <w:u w:val="single"/>
          <w:lang w:val="en-US" w:eastAsia="zh-CN" w:bidi="ar-SA"/>
        </w:rPr>
        <w:t xml:space="preserve">  /  </w:t>
      </w:r>
      <w:r>
        <w:rPr>
          <w:rFonts w:hint="eastAsia" w:ascii="宋体" w:hAnsi="宋体" w:eastAsia="宋体" w:cs="Times New Roman"/>
          <w:color w:val="auto"/>
          <w:kern w:val="2"/>
          <w:sz w:val="24"/>
          <w:szCs w:val="20"/>
          <w:highlight w:val="none"/>
          <w:lang w:val="en-US" w:eastAsia="zh-CN" w:bidi="ar-SA"/>
        </w:rPr>
        <w:t>个段落施工采购活动。</w:t>
      </w:r>
    </w:p>
    <w:p w14:paraId="48F9BE1E">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3.4与采购人存在利害关系可能影响采购公正性的单位，不得参与采购活动。单位负责人为同一人或者存在控股、管理关系的不同单位，不得同时参与同一标段采购活动。采购人在采购过程任何阶段发现响应单位存在相互关联情形的，均将取消其参与资格。响应单位关联关系认定详见附件《关于响应单位关联关系的认定说明》。</w:t>
      </w:r>
    </w:p>
    <w:p w14:paraId="0EDA0420">
      <w:pPr>
        <w:spacing w:line="360" w:lineRule="auto"/>
        <w:rPr>
          <w:rFonts w:hint="eastAsia" w:ascii="宋体" w:hAnsi="宋体" w:eastAsia="宋体" w:cs="Times New Roman"/>
          <w:b/>
          <w:color w:val="auto"/>
          <w:sz w:val="28"/>
          <w:szCs w:val="28"/>
          <w:highlight w:val="none"/>
        </w:rPr>
      </w:pPr>
      <w:r>
        <w:rPr>
          <w:rFonts w:hint="eastAsia" w:ascii="宋体" w:hAnsi="宋体" w:eastAsia="宋体" w:cs="Times New Roman"/>
          <w:b/>
          <w:color w:val="auto"/>
          <w:sz w:val="28"/>
          <w:szCs w:val="28"/>
          <w:highlight w:val="none"/>
        </w:rPr>
        <w:t>4．采购文件的获取</w:t>
      </w:r>
      <w:bookmarkEnd w:id="20"/>
      <w:bookmarkEnd w:id="21"/>
      <w:bookmarkEnd w:id="22"/>
      <w:bookmarkEnd w:id="23"/>
    </w:p>
    <w:p w14:paraId="75323BA9">
      <w:pPr>
        <w:spacing w:line="360" w:lineRule="auto"/>
        <w:ind w:firstLine="480" w:firstLineChars="200"/>
        <w:rPr>
          <w:rFonts w:hint="eastAsia" w:ascii="宋体" w:hAnsi="宋体" w:eastAsia="宋体" w:cs="Times New Roman"/>
          <w:color w:val="auto"/>
          <w:sz w:val="24"/>
          <w:szCs w:val="21"/>
          <w:highlight w:val="none"/>
        </w:rPr>
      </w:pPr>
      <w:r>
        <w:rPr>
          <w:rFonts w:hint="eastAsia" w:ascii="宋体" w:hAnsi="宋体" w:eastAsia="宋体" w:cs="Times New Roman"/>
          <w:color w:val="auto"/>
          <w:sz w:val="24"/>
          <w:highlight w:val="none"/>
        </w:rPr>
        <w:t>凡有意参与采购活动者，请于</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u w:val="single"/>
          <w:lang w:val="en-US" w:eastAsia="zh-CN"/>
        </w:rPr>
        <w:t>2026</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年</w:t>
      </w:r>
      <w:r>
        <w:rPr>
          <w:rFonts w:hint="eastAsia" w:ascii="宋体" w:hAnsi="宋体" w:eastAsia="宋体" w:cs="Times New Roman"/>
          <w:color w:val="auto"/>
          <w:sz w:val="24"/>
          <w:highlight w:val="none"/>
          <w:u w:val="single"/>
        </w:rPr>
        <w:t xml:space="preserve"> </w:t>
      </w:r>
      <w:r>
        <w:rPr>
          <w:rFonts w:hint="eastAsia" w:ascii="宋体" w:hAnsi="宋体" w:cs="Times New Roman"/>
          <w:color w:val="auto"/>
          <w:sz w:val="24"/>
          <w:highlight w:val="none"/>
          <w:u w:val="single"/>
          <w:lang w:val="en-US" w:eastAsia="zh-CN"/>
        </w:rPr>
        <w:t>10</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月</w:t>
      </w:r>
      <w:r>
        <w:rPr>
          <w:rFonts w:hint="eastAsia" w:ascii="宋体" w:hAnsi="宋体" w:eastAsia="宋体" w:cs="Times New Roman"/>
          <w:color w:val="auto"/>
          <w:sz w:val="24"/>
          <w:highlight w:val="none"/>
          <w:u w:val="single"/>
        </w:rPr>
        <w:t xml:space="preserve"> </w:t>
      </w:r>
      <w:r>
        <w:rPr>
          <w:rFonts w:hint="eastAsia" w:ascii="宋体" w:hAnsi="宋体" w:cs="Times New Roman"/>
          <w:color w:val="auto"/>
          <w:sz w:val="24"/>
          <w:highlight w:val="none"/>
          <w:u w:val="single"/>
          <w:lang w:val="en-US" w:eastAsia="zh-CN"/>
        </w:rPr>
        <w:t>24</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日至</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u w:val="single"/>
          <w:lang w:val="en-US" w:eastAsia="zh-CN"/>
        </w:rPr>
        <w:t>2026</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年</w:t>
      </w:r>
      <w:r>
        <w:rPr>
          <w:rFonts w:hint="eastAsia" w:ascii="宋体" w:hAnsi="宋体" w:eastAsia="宋体" w:cs="Times New Roman"/>
          <w:color w:val="auto"/>
          <w:sz w:val="24"/>
          <w:highlight w:val="none"/>
          <w:u w:val="single"/>
        </w:rPr>
        <w:t xml:space="preserve"> </w:t>
      </w:r>
      <w:r>
        <w:rPr>
          <w:rFonts w:hint="eastAsia" w:ascii="宋体" w:hAnsi="宋体" w:cs="Times New Roman"/>
          <w:color w:val="auto"/>
          <w:sz w:val="24"/>
          <w:highlight w:val="none"/>
          <w:u w:val="single"/>
          <w:lang w:val="en-US" w:eastAsia="zh-CN"/>
        </w:rPr>
        <w:t>10</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月</w:t>
      </w:r>
      <w:r>
        <w:rPr>
          <w:rFonts w:hint="eastAsia" w:ascii="宋体" w:hAnsi="宋体" w:eastAsia="宋体" w:cs="Times New Roman"/>
          <w:color w:val="auto"/>
          <w:sz w:val="24"/>
          <w:highlight w:val="none"/>
          <w:u w:val="single"/>
        </w:rPr>
        <w:t xml:space="preserve"> </w:t>
      </w:r>
      <w:r>
        <w:rPr>
          <w:rFonts w:hint="eastAsia" w:ascii="宋体" w:hAnsi="宋体" w:cs="Times New Roman"/>
          <w:color w:val="auto"/>
          <w:sz w:val="24"/>
          <w:highlight w:val="none"/>
          <w:u w:val="single"/>
          <w:lang w:val="en-US" w:eastAsia="zh-CN"/>
        </w:rPr>
        <w:t>26</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日，（法定公休日、法定节假日正常上班)，每日上午</w:t>
      </w:r>
      <w:r>
        <w:rPr>
          <w:rFonts w:hint="eastAsia" w:ascii="宋体" w:hAnsi="宋体" w:eastAsia="宋体" w:cs="Times New Roman"/>
          <w:color w:val="auto"/>
          <w:sz w:val="24"/>
          <w:highlight w:val="none"/>
          <w:u w:val="single"/>
        </w:rPr>
        <w:t xml:space="preserve"> 8 </w:t>
      </w:r>
      <w:r>
        <w:rPr>
          <w:rFonts w:hint="eastAsia" w:ascii="宋体" w:hAnsi="宋体" w:eastAsia="宋体" w:cs="Times New Roman"/>
          <w:color w:val="auto"/>
          <w:sz w:val="24"/>
          <w:highlight w:val="none"/>
        </w:rPr>
        <w:t>时至</w:t>
      </w:r>
      <w:r>
        <w:rPr>
          <w:rFonts w:hint="eastAsia" w:ascii="宋体" w:hAnsi="宋体" w:eastAsia="宋体" w:cs="Times New Roman"/>
          <w:color w:val="auto"/>
          <w:sz w:val="24"/>
          <w:highlight w:val="none"/>
          <w:u w:val="single"/>
        </w:rPr>
        <w:t xml:space="preserve"> 11 </w:t>
      </w:r>
      <w:r>
        <w:rPr>
          <w:rFonts w:hint="eastAsia" w:ascii="宋体" w:hAnsi="宋体" w:eastAsia="宋体" w:cs="Times New Roman"/>
          <w:color w:val="auto"/>
          <w:sz w:val="24"/>
          <w:highlight w:val="none"/>
        </w:rPr>
        <w:t>时，下午</w:t>
      </w:r>
      <w:r>
        <w:rPr>
          <w:rFonts w:hint="eastAsia" w:ascii="宋体" w:hAnsi="宋体" w:eastAsia="宋体" w:cs="Times New Roman"/>
          <w:color w:val="auto"/>
          <w:sz w:val="24"/>
          <w:highlight w:val="none"/>
          <w:u w:val="single"/>
        </w:rPr>
        <w:t xml:space="preserve"> 14 </w:t>
      </w:r>
      <w:r>
        <w:rPr>
          <w:rFonts w:hint="eastAsia" w:ascii="宋体" w:hAnsi="宋体" w:eastAsia="宋体" w:cs="Times New Roman"/>
          <w:color w:val="auto"/>
          <w:sz w:val="24"/>
          <w:highlight w:val="none"/>
        </w:rPr>
        <w:t>时至</w:t>
      </w:r>
      <w:r>
        <w:rPr>
          <w:rFonts w:hint="eastAsia" w:ascii="宋体" w:hAnsi="宋体" w:eastAsia="宋体" w:cs="Times New Roman"/>
          <w:color w:val="auto"/>
          <w:sz w:val="24"/>
          <w:highlight w:val="none"/>
          <w:u w:val="single"/>
        </w:rPr>
        <w:t xml:space="preserve"> 17 </w:t>
      </w:r>
      <w:r>
        <w:rPr>
          <w:rFonts w:hint="eastAsia" w:ascii="宋体" w:hAnsi="宋体" w:eastAsia="宋体" w:cs="Times New Roman"/>
          <w:color w:val="auto"/>
          <w:sz w:val="24"/>
          <w:highlight w:val="none"/>
        </w:rPr>
        <w:t>时持单位介绍信或授权书、经办人或被授权人的身份证到河北省石家庄市桥西区新石北路362号中建路桥</w:t>
      </w:r>
      <w:r>
        <w:rPr>
          <w:rFonts w:hint="eastAsia" w:ascii="宋体" w:hAnsi="宋体" w:cs="Times New Roman"/>
          <w:color w:val="auto"/>
          <w:sz w:val="24"/>
          <w:highlight w:val="none"/>
          <w:lang w:eastAsia="zh-CN"/>
        </w:rPr>
        <w:t>第二工程</w:t>
      </w:r>
      <w:r>
        <w:rPr>
          <w:rFonts w:hint="eastAsia" w:ascii="宋体" w:hAnsi="宋体" w:eastAsia="宋体" w:cs="Times New Roman"/>
          <w:color w:val="auto"/>
          <w:sz w:val="24"/>
          <w:highlight w:val="none"/>
        </w:rPr>
        <w:t>有限公司报名并领取采购文件</w:t>
      </w:r>
      <w:r>
        <w:rPr>
          <w:rFonts w:hint="eastAsia" w:ascii="宋体" w:hAnsi="宋体" w:eastAsia="宋体" w:cs="Times New Roman"/>
          <w:color w:val="auto"/>
          <w:sz w:val="24"/>
          <w:szCs w:val="21"/>
          <w:highlight w:val="none"/>
        </w:rPr>
        <w:t>。</w:t>
      </w:r>
    </w:p>
    <w:p w14:paraId="42C0BAC3">
      <w:pPr>
        <w:spacing w:line="360" w:lineRule="auto"/>
        <w:rPr>
          <w:rFonts w:hint="eastAsia" w:ascii="宋体" w:hAnsi="宋体" w:eastAsia="宋体" w:cs="Times New Roman"/>
          <w:b/>
          <w:color w:val="auto"/>
          <w:sz w:val="28"/>
          <w:szCs w:val="28"/>
          <w:highlight w:val="none"/>
        </w:rPr>
      </w:pPr>
      <w:bookmarkStart w:id="24" w:name="_Toc235071707"/>
      <w:bookmarkStart w:id="25" w:name="_Toc232836823"/>
      <w:bookmarkStart w:id="26" w:name="_Toc234932519"/>
      <w:bookmarkStart w:id="27" w:name="_Toc184704558"/>
      <w:r>
        <w:rPr>
          <w:rFonts w:hint="eastAsia" w:ascii="宋体" w:hAnsi="宋体" w:eastAsia="宋体" w:cs="Times New Roman"/>
          <w:b/>
          <w:color w:val="auto"/>
          <w:sz w:val="28"/>
          <w:szCs w:val="28"/>
          <w:highlight w:val="none"/>
        </w:rPr>
        <w:t>5．响应文件的递交</w:t>
      </w:r>
      <w:bookmarkEnd w:id="24"/>
      <w:bookmarkEnd w:id="25"/>
      <w:bookmarkEnd w:id="26"/>
      <w:bookmarkEnd w:id="27"/>
    </w:p>
    <w:p w14:paraId="22AF36BA">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5.1 递交响应文件截止时间（响应截止时间，下同）为</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u w:val="single"/>
          <w:lang w:val="en-US" w:eastAsia="zh-CN"/>
        </w:rPr>
        <w:t>2026</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年</w:t>
      </w:r>
      <w:r>
        <w:rPr>
          <w:rFonts w:hint="eastAsia" w:ascii="宋体" w:hAnsi="宋体" w:eastAsia="宋体" w:cs="Times New Roman"/>
          <w:color w:val="auto"/>
          <w:sz w:val="24"/>
          <w:highlight w:val="none"/>
          <w:u w:val="single"/>
        </w:rPr>
        <w:t xml:space="preserve"> </w:t>
      </w:r>
      <w:r>
        <w:rPr>
          <w:rFonts w:hint="eastAsia" w:ascii="宋体" w:hAnsi="宋体" w:cs="Times New Roman"/>
          <w:color w:val="auto"/>
          <w:sz w:val="24"/>
          <w:highlight w:val="none"/>
          <w:u w:val="single"/>
          <w:lang w:val="en-US" w:eastAsia="zh-CN"/>
        </w:rPr>
        <w:t>10</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月</w:t>
      </w:r>
      <w:r>
        <w:rPr>
          <w:rFonts w:hint="eastAsia" w:ascii="宋体" w:hAnsi="宋体" w:eastAsia="宋体" w:cs="Times New Roman"/>
          <w:color w:val="auto"/>
          <w:sz w:val="24"/>
          <w:highlight w:val="none"/>
          <w:u w:val="single"/>
        </w:rPr>
        <w:t xml:space="preserve"> </w:t>
      </w:r>
      <w:r>
        <w:rPr>
          <w:rFonts w:hint="eastAsia" w:ascii="宋体" w:hAnsi="宋体" w:cs="Times New Roman"/>
          <w:color w:val="auto"/>
          <w:sz w:val="24"/>
          <w:highlight w:val="none"/>
          <w:u w:val="single"/>
          <w:lang w:val="en-US" w:eastAsia="zh-CN"/>
        </w:rPr>
        <w:t>30</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日</w:t>
      </w:r>
    </w:p>
    <w:p w14:paraId="368C33C6">
      <w:pPr>
        <w:spacing w:line="360" w:lineRule="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u w:val="single"/>
          <w:lang w:val="en-US" w:eastAsia="zh-CN"/>
        </w:rPr>
        <w:t>15</w:t>
      </w:r>
      <w:r>
        <w:rPr>
          <w:rFonts w:hint="eastAsia" w:ascii="宋体" w:hAnsi="宋体" w:eastAsia="宋体" w:cs="Times New Roman"/>
          <w:color w:val="auto"/>
          <w:sz w:val="24"/>
          <w:highlight w:val="none"/>
          <w:u w:val="single"/>
        </w:rPr>
        <w:t xml:space="preserve"> </w:t>
      </w:r>
      <w:r>
        <w:rPr>
          <w:rFonts w:hint="eastAsia" w:ascii="宋体" w:hAnsi="宋体" w:eastAsia="宋体" w:cs="Times New Roman"/>
          <w:color w:val="auto"/>
          <w:sz w:val="24"/>
          <w:highlight w:val="none"/>
        </w:rPr>
        <w:t>时，</w:t>
      </w:r>
      <w:r>
        <w:rPr>
          <w:rFonts w:hint="eastAsia" w:ascii="宋体" w:hAnsi="宋体" w:eastAsia="宋体" w:cs="Times New Roman"/>
          <w:color w:val="auto"/>
          <w:sz w:val="24"/>
          <w:highlight w:val="none"/>
          <w:lang w:val="en-US" w:eastAsia="zh-CN"/>
        </w:rPr>
        <w:t>响应</w:t>
      </w:r>
      <w:r>
        <w:rPr>
          <w:rFonts w:hint="eastAsia" w:ascii="宋体" w:hAnsi="宋体" w:eastAsia="宋体" w:cs="Times New Roman"/>
          <w:color w:val="auto"/>
          <w:sz w:val="24"/>
          <w:highlight w:val="none"/>
        </w:rPr>
        <w:t>人应于当日</w:t>
      </w:r>
      <w:r>
        <w:rPr>
          <w:rFonts w:hint="eastAsia" w:ascii="宋体" w:hAnsi="宋体" w:eastAsia="宋体" w:cs="Times New Roman"/>
          <w:color w:val="auto"/>
          <w:sz w:val="24"/>
          <w:highlight w:val="none"/>
          <w:u w:val="single"/>
        </w:rPr>
        <w:t xml:space="preserve"> 8 </w:t>
      </w:r>
      <w:r>
        <w:rPr>
          <w:rFonts w:hint="eastAsia" w:ascii="宋体" w:hAnsi="宋体" w:eastAsia="宋体" w:cs="Times New Roman"/>
          <w:color w:val="auto"/>
          <w:sz w:val="24"/>
          <w:highlight w:val="none"/>
        </w:rPr>
        <w:t>时</w:t>
      </w:r>
      <w:r>
        <w:rPr>
          <w:rFonts w:hint="eastAsia" w:ascii="宋体" w:hAnsi="宋体" w:eastAsia="宋体" w:cs="Times New Roman"/>
          <w:color w:val="auto"/>
          <w:sz w:val="24"/>
          <w:highlight w:val="none"/>
          <w:u w:val="single"/>
        </w:rPr>
        <w:t xml:space="preserve"> 30 </w:t>
      </w:r>
      <w:r>
        <w:rPr>
          <w:rFonts w:hint="eastAsia" w:ascii="宋体" w:hAnsi="宋体" w:eastAsia="宋体" w:cs="Times New Roman"/>
          <w:color w:val="auto"/>
          <w:sz w:val="24"/>
          <w:highlight w:val="none"/>
        </w:rPr>
        <w:t>分至</w:t>
      </w:r>
      <w:r>
        <w:rPr>
          <w:rFonts w:hint="eastAsia" w:ascii="宋体" w:hAnsi="宋体" w:eastAsia="宋体" w:cs="Times New Roman"/>
          <w:color w:val="auto"/>
          <w:sz w:val="24"/>
          <w:highlight w:val="none"/>
          <w:u w:val="single"/>
        </w:rPr>
        <w:t xml:space="preserve"> 15 </w:t>
      </w:r>
      <w:r>
        <w:rPr>
          <w:rFonts w:hint="eastAsia" w:ascii="宋体" w:hAnsi="宋体" w:eastAsia="宋体" w:cs="Times New Roman"/>
          <w:color w:val="auto"/>
          <w:sz w:val="24"/>
          <w:highlight w:val="none"/>
        </w:rPr>
        <w:t>时 00 分将</w:t>
      </w:r>
      <w:r>
        <w:rPr>
          <w:rFonts w:hint="eastAsia" w:ascii="宋体" w:hAnsi="宋体" w:eastAsia="宋体" w:cs="Times New Roman"/>
          <w:color w:val="auto"/>
          <w:sz w:val="24"/>
          <w:highlight w:val="none"/>
          <w:lang w:val="en-US" w:eastAsia="zh-CN"/>
        </w:rPr>
        <w:t>响应</w:t>
      </w:r>
      <w:r>
        <w:rPr>
          <w:rFonts w:hint="eastAsia" w:ascii="宋体" w:hAnsi="宋体" w:eastAsia="宋体" w:cs="Times New Roman"/>
          <w:color w:val="auto"/>
          <w:sz w:val="24"/>
          <w:highlight w:val="none"/>
        </w:rPr>
        <w:t>文件递交至</w:t>
      </w:r>
      <w:r>
        <w:rPr>
          <w:rFonts w:hint="eastAsia" w:ascii="宋体" w:hAnsi="宋体" w:eastAsia="宋体" w:cs="Times New Roman"/>
          <w:color w:val="auto"/>
          <w:sz w:val="24"/>
          <w:highlight w:val="none"/>
          <w:u w:val="single"/>
        </w:rPr>
        <w:t>河北省沧州市黄骅市渤海新区馨民佳苑飞英搏击112室</w:t>
      </w:r>
      <w:r>
        <w:rPr>
          <w:rFonts w:hint="eastAsia" w:ascii="宋体" w:hAnsi="宋体" w:eastAsia="宋体" w:cs="Times New Roman"/>
          <w:color w:val="auto"/>
          <w:sz w:val="24"/>
          <w:highlight w:val="none"/>
        </w:rPr>
        <w:t>。</w:t>
      </w:r>
    </w:p>
    <w:p w14:paraId="462E76B8">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5</w:t>
      </w:r>
      <w:r>
        <w:rPr>
          <w:rFonts w:ascii="宋体" w:hAnsi="宋体" w:eastAsia="宋体" w:cs="Times New Roman"/>
          <w:color w:val="auto"/>
          <w:sz w:val="24"/>
          <w:highlight w:val="none"/>
        </w:rPr>
        <w:t xml:space="preserve">.2 </w:t>
      </w:r>
      <w:r>
        <w:rPr>
          <w:rFonts w:hint="eastAsia" w:ascii="宋体" w:hAnsi="宋体" w:eastAsia="宋体" w:cs="Times New Roman"/>
          <w:color w:val="auto"/>
          <w:sz w:val="24"/>
          <w:highlight w:val="none"/>
        </w:rPr>
        <w:t>逾期送达或者未送达指定地点的、未按采购文件要求密封、未按采购文件要求提交</w:t>
      </w:r>
      <w:r>
        <w:rPr>
          <w:rFonts w:hint="eastAsia" w:ascii="宋体" w:hAnsi="宋体" w:eastAsia="宋体" w:cs="Times New Roman"/>
          <w:color w:val="auto"/>
          <w:sz w:val="24"/>
          <w:highlight w:val="none"/>
          <w:lang w:val="en-US" w:eastAsia="zh-CN"/>
        </w:rPr>
        <w:t>响应</w:t>
      </w:r>
      <w:r>
        <w:rPr>
          <w:rFonts w:hint="eastAsia" w:ascii="宋体" w:hAnsi="宋体" w:eastAsia="宋体" w:cs="Times New Roman"/>
          <w:color w:val="auto"/>
          <w:sz w:val="24"/>
          <w:highlight w:val="none"/>
        </w:rPr>
        <w:t>担保的</w:t>
      </w:r>
      <w:r>
        <w:rPr>
          <w:rFonts w:hint="eastAsia" w:ascii="宋体" w:hAnsi="宋体" w:eastAsia="宋体" w:cs="Times New Roman"/>
          <w:color w:val="auto"/>
          <w:sz w:val="24"/>
          <w:highlight w:val="none"/>
          <w:lang w:val="en-US" w:eastAsia="zh-CN"/>
        </w:rPr>
        <w:t>响应</w:t>
      </w:r>
      <w:r>
        <w:rPr>
          <w:rFonts w:hint="eastAsia" w:ascii="宋体" w:hAnsi="宋体" w:eastAsia="宋体" w:cs="Times New Roman"/>
          <w:color w:val="auto"/>
          <w:sz w:val="24"/>
          <w:highlight w:val="none"/>
        </w:rPr>
        <w:t>文件，采购人不予受理。</w:t>
      </w:r>
    </w:p>
    <w:p w14:paraId="73718E1D">
      <w:pPr>
        <w:spacing w:line="360" w:lineRule="auto"/>
        <w:ind w:firstLine="480" w:firstLineChars="200"/>
        <w:rPr>
          <w:rFonts w:hint="eastAsia" w:ascii="宋体" w:hAnsi="宋体" w:eastAsia="宋体" w:cs="Times New Roman"/>
          <w:color w:val="auto"/>
          <w:sz w:val="24"/>
          <w:highlight w:val="none"/>
        </w:rPr>
      </w:pPr>
      <w:r>
        <w:rPr>
          <w:rFonts w:ascii="宋体" w:hAnsi="宋体" w:eastAsia="宋体" w:cs="Times New Roman"/>
          <w:color w:val="auto"/>
          <w:sz w:val="24"/>
          <w:highlight w:val="none"/>
        </w:rPr>
        <w:t>5</w:t>
      </w:r>
      <w:r>
        <w:rPr>
          <w:rFonts w:hint="eastAsia" w:ascii="宋体" w:hAnsi="宋体" w:eastAsia="宋体" w:cs="Times New Roman"/>
          <w:color w:val="auto"/>
          <w:sz w:val="24"/>
          <w:highlight w:val="none"/>
        </w:rPr>
        <w:t>.3 响应文件应符合采购文件所列其他要求。</w:t>
      </w:r>
    </w:p>
    <w:p w14:paraId="51E6EAFF">
      <w:pPr>
        <w:spacing w:line="360" w:lineRule="auto"/>
        <w:rPr>
          <w:rFonts w:hint="eastAsia" w:ascii="宋体" w:hAnsi="宋体" w:eastAsia="宋体" w:cs="Times New Roman"/>
          <w:b/>
          <w:color w:val="auto"/>
          <w:sz w:val="28"/>
          <w:szCs w:val="28"/>
          <w:highlight w:val="none"/>
        </w:rPr>
      </w:pPr>
      <w:bookmarkStart w:id="28" w:name="_Toc234932520"/>
      <w:bookmarkStart w:id="29" w:name="_Toc184704559"/>
      <w:bookmarkStart w:id="30" w:name="_Toc235071708"/>
      <w:bookmarkStart w:id="31" w:name="_Toc232836824"/>
      <w:r>
        <w:rPr>
          <w:rFonts w:hint="eastAsia" w:ascii="宋体" w:hAnsi="宋体" w:eastAsia="宋体" w:cs="Times New Roman"/>
          <w:b/>
          <w:color w:val="auto"/>
          <w:sz w:val="28"/>
          <w:szCs w:val="28"/>
          <w:highlight w:val="none"/>
        </w:rPr>
        <w:t>6. 发布公告的媒介</w:t>
      </w:r>
      <w:bookmarkEnd w:id="28"/>
      <w:bookmarkEnd w:id="29"/>
      <w:bookmarkEnd w:id="30"/>
      <w:bookmarkEnd w:id="31"/>
    </w:p>
    <w:p w14:paraId="29797899">
      <w:pPr>
        <w:spacing w:line="360" w:lineRule="auto"/>
        <w:ind w:firstLine="480" w:firstLineChars="200"/>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本次采购公告同时在</w:t>
      </w:r>
      <w:r>
        <w:rPr>
          <w:rFonts w:hint="eastAsia" w:ascii="宋体" w:hAnsi="宋体" w:eastAsia="宋体" w:cs="Times New Roman"/>
          <w:color w:val="auto"/>
          <w:sz w:val="24"/>
          <w:highlight w:val="none"/>
          <w:u w:val="single"/>
        </w:rPr>
        <w:t xml:space="preserve"> 中建路桥集团官方网站</w:t>
      </w:r>
      <w:r>
        <w:rPr>
          <w:rFonts w:hint="eastAsia" w:ascii="宋体" w:hAnsi="宋体" w:eastAsia="宋体" w:cs="Times New Roman"/>
          <w:color w:val="auto"/>
          <w:sz w:val="24"/>
          <w:highlight w:val="none"/>
        </w:rPr>
        <w:t>上发布。</w:t>
      </w:r>
    </w:p>
    <w:p w14:paraId="11D3DC7E">
      <w:pPr>
        <w:spacing w:line="360" w:lineRule="auto"/>
        <w:rPr>
          <w:rFonts w:hint="eastAsia" w:ascii="宋体" w:hAnsi="宋体" w:eastAsia="宋体" w:cs="Times New Roman"/>
          <w:b/>
          <w:color w:val="auto"/>
          <w:sz w:val="28"/>
          <w:szCs w:val="28"/>
          <w:highlight w:val="none"/>
        </w:rPr>
      </w:pPr>
      <w:r>
        <w:rPr>
          <w:rFonts w:hint="eastAsia" w:ascii="宋体" w:hAnsi="宋体" w:eastAsia="宋体" w:cs="Times New Roman"/>
          <w:b/>
          <w:color w:val="auto"/>
          <w:sz w:val="28"/>
          <w:szCs w:val="28"/>
          <w:highlight w:val="none"/>
        </w:rPr>
        <w:t>7. 联系方式</w:t>
      </w:r>
    </w:p>
    <w:p w14:paraId="63EEEA96">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 购 人：</w:t>
      </w:r>
      <w:r>
        <w:rPr>
          <w:rFonts w:hint="eastAsia" w:ascii="宋体" w:hAnsi="宋体" w:eastAsia="宋体" w:cs="宋体"/>
          <w:color w:val="auto"/>
          <w:sz w:val="24"/>
          <w:highlight w:val="none"/>
          <w:u w:val="single"/>
        </w:rPr>
        <w:t xml:space="preserve"> 中建路桥集团</w:t>
      </w:r>
      <w:r>
        <w:rPr>
          <w:rFonts w:hint="eastAsia" w:ascii="宋体" w:hAnsi="宋体" w:eastAsia="宋体" w:cs="宋体"/>
          <w:color w:val="auto"/>
          <w:sz w:val="24"/>
          <w:highlight w:val="none"/>
          <w:u w:val="single"/>
          <w:lang w:val="en-US" w:eastAsia="zh-CN"/>
        </w:rPr>
        <w:t>第二工程</w:t>
      </w:r>
      <w:r>
        <w:rPr>
          <w:rFonts w:hint="eastAsia" w:ascii="宋体" w:hAnsi="宋体" w:eastAsia="宋体" w:cs="宋体"/>
          <w:color w:val="auto"/>
          <w:sz w:val="24"/>
          <w:highlight w:val="none"/>
          <w:u w:val="single"/>
        </w:rPr>
        <w:t xml:space="preserve">有限公司 </w:t>
      </w:r>
    </w:p>
    <w:p w14:paraId="0B3E19D9">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邮    编：</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050090</w:t>
      </w:r>
      <w:r>
        <w:rPr>
          <w:rFonts w:hint="eastAsia" w:ascii="宋体" w:hAnsi="宋体" w:eastAsia="宋体" w:cs="宋体"/>
          <w:color w:val="auto"/>
          <w:sz w:val="24"/>
          <w:highlight w:val="none"/>
          <w:u w:val="single"/>
        </w:rPr>
        <w:t xml:space="preserve">         </w:t>
      </w:r>
    </w:p>
    <w:p w14:paraId="4AA66DA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single"/>
        </w:rPr>
        <w:t xml:space="preserve"> 河北省石家庄市桥西区新石北路362号 </w:t>
      </w:r>
    </w:p>
    <w:p w14:paraId="166503F1">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电    话：</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13501301834</w:t>
      </w:r>
      <w:r>
        <w:rPr>
          <w:rFonts w:hint="eastAsia" w:ascii="宋体" w:hAnsi="宋体" w:eastAsia="宋体" w:cs="宋体"/>
          <w:color w:val="auto"/>
          <w:sz w:val="24"/>
          <w:highlight w:val="none"/>
          <w:u w:val="single"/>
        </w:rPr>
        <w:t xml:space="preserve">       </w:t>
      </w:r>
    </w:p>
    <w:p w14:paraId="0FBAFC34">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联 系 人：</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孙文特</w:t>
      </w:r>
      <w:r>
        <w:rPr>
          <w:rFonts w:hint="eastAsia" w:ascii="宋体" w:hAnsi="宋体" w:eastAsia="宋体" w:cs="宋体"/>
          <w:color w:val="auto"/>
          <w:sz w:val="24"/>
          <w:highlight w:val="none"/>
          <w:u w:val="single"/>
        </w:rPr>
        <w:t xml:space="preserve">        </w:t>
      </w:r>
    </w:p>
    <w:p w14:paraId="28F6A85C">
      <w:pPr>
        <w:rPr>
          <w:color w:val="auto"/>
          <w:highlight w:val="none"/>
        </w:rPr>
      </w:pPr>
      <w:r>
        <w:rPr>
          <w:rFonts w:hint="eastAsia" w:ascii="Times New Roman" w:hAnsi="Times New Roman" w:eastAsia="宋体" w:cs="Times New Roman"/>
          <w:b/>
          <w:color w:val="auto"/>
          <w:highlight w:val="none"/>
        </w:rPr>
        <w:t xml:space="preserve">                                                   </w:t>
      </w:r>
      <w:r>
        <w:rPr>
          <w:rFonts w:hint="eastAsia" w:ascii="Times New Roman" w:hAnsi="Times New Roman" w:eastAsia="宋体" w:cs="Times New Roman"/>
          <w:color w:val="auto"/>
          <w:highlight w:val="none"/>
          <w:u w:val="single"/>
        </w:rPr>
        <w:t xml:space="preserve">  </w:t>
      </w:r>
      <w:r>
        <w:rPr>
          <w:rFonts w:hint="eastAsia" w:ascii="Times New Roman" w:hAnsi="Times New Roman" w:eastAsia="宋体" w:cs="Times New Roman"/>
          <w:color w:val="auto"/>
          <w:highlight w:val="none"/>
          <w:u w:val="single"/>
          <w:lang w:val="en-US" w:eastAsia="zh-CN"/>
        </w:rPr>
        <w:t>2026</w:t>
      </w:r>
      <w:r>
        <w:rPr>
          <w:rFonts w:hint="eastAsia" w:ascii="Times New Roman" w:hAnsi="Times New Roman" w:eastAsia="宋体" w:cs="Times New Roman"/>
          <w:color w:val="auto"/>
          <w:highlight w:val="none"/>
          <w:u w:val="single"/>
        </w:rPr>
        <w:t xml:space="preserve"> </w:t>
      </w:r>
      <w:r>
        <w:rPr>
          <w:rFonts w:hint="eastAsia" w:ascii="Times New Roman" w:hAnsi="Times New Roman" w:eastAsia="宋体" w:cs="Times New Roman"/>
          <w:color w:val="auto"/>
          <w:highlight w:val="none"/>
        </w:rPr>
        <w:t xml:space="preserve"> 年</w:t>
      </w:r>
      <w:r>
        <w:rPr>
          <w:rFonts w:hint="eastAsia" w:ascii="Times New Roman" w:hAnsi="Times New Roman" w:eastAsia="宋体" w:cs="Times New Roman"/>
          <w:color w:val="auto"/>
          <w:highlight w:val="none"/>
          <w:u w:val="single"/>
        </w:rPr>
        <w:t xml:space="preserve">  </w:t>
      </w:r>
      <w:r>
        <w:rPr>
          <w:rFonts w:hint="eastAsia" w:cs="Times New Roman"/>
          <w:color w:val="auto"/>
          <w:highlight w:val="none"/>
          <w:u w:val="single"/>
          <w:lang w:val="en-US" w:eastAsia="zh-CN"/>
        </w:rPr>
        <w:t>10</w:t>
      </w:r>
      <w:r>
        <w:rPr>
          <w:rFonts w:hint="eastAsia" w:ascii="Times New Roman" w:hAnsi="Times New Roman" w:eastAsia="宋体" w:cs="Times New Roman"/>
          <w:color w:val="auto"/>
          <w:highlight w:val="none"/>
          <w:u w:val="single"/>
        </w:rPr>
        <w:t xml:space="preserve"> </w:t>
      </w:r>
      <w:r>
        <w:rPr>
          <w:rFonts w:hint="eastAsia" w:ascii="Times New Roman" w:hAnsi="Times New Roman" w:eastAsia="宋体" w:cs="Times New Roman"/>
          <w:color w:val="auto"/>
          <w:highlight w:val="none"/>
        </w:rPr>
        <w:t>月</w:t>
      </w:r>
      <w:r>
        <w:rPr>
          <w:rFonts w:hint="eastAsia" w:ascii="Times New Roman" w:hAnsi="Times New Roman" w:eastAsia="宋体" w:cs="Times New Roman"/>
          <w:color w:val="auto"/>
          <w:highlight w:val="none"/>
          <w:u w:val="single"/>
        </w:rPr>
        <w:t xml:space="preserve"> </w:t>
      </w:r>
      <w:r>
        <w:rPr>
          <w:rFonts w:hint="eastAsia" w:cs="Times New Roman"/>
          <w:color w:val="auto"/>
          <w:highlight w:val="none"/>
          <w:u w:val="single"/>
          <w:lang w:val="en-US" w:eastAsia="zh-CN"/>
        </w:rPr>
        <w:t xml:space="preserve">8 </w:t>
      </w:r>
      <w:r>
        <w:rPr>
          <w:rFonts w:hint="eastAsia" w:ascii="Times New Roman" w:hAnsi="Times New Roman" w:eastAsia="宋体" w:cs="Times New Roman"/>
          <w:color w:val="auto"/>
          <w:highlight w:val="none"/>
        </w:rPr>
        <w:t>日</w:t>
      </w:r>
    </w:p>
    <w:p w14:paraId="52A2CFA4">
      <w:pPr>
        <w:pStyle w:val="2"/>
        <w:rPr>
          <w:color w:val="auto"/>
          <w:highlight w:val="none"/>
        </w:rPr>
      </w:pPr>
      <w:r>
        <w:rPr>
          <w:color w:val="auto"/>
          <w:highlight w:val="none"/>
        </w:rPr>
        <w:t>第</w:t>
      </w:r>
      <w:r>
        <w:rPr>
          <w:rFonts w:hint="eastAsia"/>
          <w:color w:val="auto"/>
          <w:highlight w:val="none"/>
        </w:rPr>
        <w:t>二</w:t>
      </w:r>
      <w:r>
        <w:rPr>
          <w:color w:val="auto"/>
          <w:highlight w:val="none"/>
        </w:rPr>
        <w:t xml:space="preserve">篇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color w:val="auto"/>
          <w:highlight w:val="none"/>
        </w:rPr>
        <w:t>响应单位须知</w:t>
      </w:r>
    </w:p>
    <w:p w14:paraId="782FAB16">
      <w:pPr>
        <w:pStyle w:val="3"/>
        <w:tabs>
          <w:tab w:val="center" w:pos="4513"/>
          <w:tab w:val="left" w:pos="6930"/>
        </w:tabs>
        <w:spacing w:before="240" w:beforeLines="100" w:after="0" w:line="360" w:lineRule="auto"/>
        <w:jc w:val="center"/>
        <w:rPr>
          <w:rFonts w:ascii="Times New Roman" w:hAnsi="Times New Roman" w:eastAsia="宋体"/>
          <w:bCs w:val="0"/>
          <w:color w:val="auto"/>
          <w:sz w:val="28"/>
          <w:szCs w:val="28"/>
          <w:highlight w:val="none"/>
        </w:rPr>
      </w:pPr>
      <w:bookmarkStart w:id="32" w:name="_Toc145499728"/>
      <w:bookmarkStart w:id="33" w:name="_Toc284135587"/>
      <w:r>
        <w:rPr>
          <w:rStyle w:val="46"/>
          <w:rFonts w:ascii="Times New Roman" w:hAnsi="宋体" w:eastAsia="宋体"/>
          <w:b/>
          <w:bCs w:val="0"/>
          <w:color w:val="auto"/>
          <w:sz w:val="28"/>
          <w:szCs w:val="28"/>
          <w:highlight w:val="none"/>
        </w:rPr>
        <w:t>响应单位须知前附表</w:t>
      </w:r>
      <w:bookmarkEnd w:id="32"/>
      <w:bookmarkEnd w:id="33"/>
    </w:p>
    <w:tbl>
      <w:tblPr>
        <w:tblStyle w:val="31"/>
        <w:tblW w:w="858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308"/>
        <w:gridCol w:w="6478"/>
      </w:tblGrid>
      <w:tr w14:paraId="2CA7BC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53" w:hRule="atLeast"/>
          <w:tblHeader/>
          <w:jc w:val="center"/>
        </w:trPr>
        <w:tc>
          <w:tcPr>
            <w:tcW w:w="798" w:type="dxa"/>
            <w:vAlign w:val="center"/>
          </w:tcPr>
          <w:p w14:paraId="13FAA82B">
            <w:pPr>
              <w:ind w:left="-105" w:leftChars="-50" w:right="-105" w:rightChars="-50"/>
              <w:jc w:val="center"/>
              <w:rPr>
                <w:b/>
                <w:color w:val="auto"/>
                <w:szCs w:val="21"/>
                <w:highlight w:val="none"/>
              </w:rPr>
            </w:pPr>
            <w:r>
              <w:rPr>
                <w:rFonts w:hAnsi="宋体"/>
                <w:b/>
                <w:color w:val="auto"/>
                <w:szCs w:val="21"/>
                <w:highlight w:val="none"/>
              </w:rPr>
              <w:t>项号</w:t>
            </w:r>
          </w:p>
        </w:tc>
        <w:tc>
          <w:tcPr>
            <w:tcW w:w="1308" w:type="dxa"/>
            <w:vAlign w:val="center"/>
          </w:tcPr>
          <w:p w14:paraId="32BDE719">
            <w:pPr>
              <w:ind w:left="-42" w:leftChars="-20" w:right="-42" w:rightChars="-20"/>
              <w:jc w:val="center"/>
              <w:rPr>
                <w:b/>
                <w:color w:val="auto"/>
                <w:szCs w:val="21"/>
                <w:highlight w:val="none"/>
              </w:rPr>
            </w:pPr>
            <w:r>
              <w:rPr>
                <w:rFonts w:hAnsi="宋体"/>
                <w:b/>
                <w:color w:val="auto"/>
                <w:szCs w:val="21"/>
                <w:highlight w:val="none"/>
              </w:rPr>
              <w:t>内容</w:t>
            </w:r>
          </w:p>
        </w:tc>
        <w:tc>
          <w:tcPr>
            <w:tcW w:w="6478" w:type="dxa"/>
            <w:vAlign w:val="center"/>
          </w:tcPr>
          <w:p w14:paraId="2E3B7418">
            <w:pPr>
              <w:jc w:val="center"/>
              <w:rPr>
                <w:b/>
                <w:color w:val="auto"/>
                <w:szCs w:val="21"/>
                <w:highlight w:val="none"/>
              </w:rPr>
            </w:pPr>
            <w:r>
              <w:rPr>
                <w:rFonts w:hAnsi="宋体"/>
                <w:b/>
                <w:color w:val="auto"/>
                <w:szCs w:val="21"/>
                <w:highlight w:val="none"/>
              </w:rPr>
              <w:t>说明与要求</w:t>
            </w:r>
          </w:p>
        </w:tc>
      </w:tr>
      <w:tr w14:paraId="445C43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798" w:type="dxa"/>
            <w:vAlign w:val="center"/>
          </w:tcPr>
          <w:p w14:paraId="20E82488">
            <w:pPr>
              <w:jc w:val="center"/>
              <w:rPr>
                <w:color w:val="auto"/>
                <w:szCs w:val="21"/>
                <w:highlight w:val="none"/>
              </w:rPr>
            </w:pPr>
            <w:r>
              <w:rPr>
                <w:color w:val="auto"/>
                <w:szCs w:val="21"/>
                <w:highlight w:val="none"/>
              </w:rPr>
              <w:t>1</w:t>
            </w:r>
          </w:p>
        </w:tc>
        <w:tc>
          <w:tcPr>
            <w:tcW w:w="1308" w:type="dxa"/>
            <w:vAlign w:val="center"/>
          </w:tcPr>
          <w:p w14:paraId="17F85683">
            <w:pPr>
              <w:ind w:right="-42" w:rightChars="-20"/>
              <w:jc w:val="center"/>
              <w:rPr>
                <w:bCs/>
                <w:color w:val="auto"/>
                <w:szCs w:val="21"/>
                <w:highlight w:val="none"/>
              </w:rPr>
            </w:pPr>
            <w:r>
              <w:rPr>
                <w:rFonts w:hAnsi="宋体"/>
                <w:bCs/>
                <w:color w:val="auto"/>
                <w:szCs w:val="21"/>
                <w:highlight w:val="none"/>
              </w:rPr>
              <w:t>名</w:t>
            </w:r>
            <w:r>
              <w:rPr>
                <w:bCs/>
                <w:color w:val="auto"/>
                <w:szCs w:val="21"/>
                <w:highlight w:val="none"/>
              </w:rPr>
              <w:t xml:space="preserve">  </w:t>
            </w:r>
            <w:r>
              <w:rPr>
                <w:rFonts w:hAnsi="宋体"/>
                <w:bCs/>
                <w:color w:val="auto"/>
                <w:szCs w:val="21"/>
                <w:highlight w:val="none"/>
              </w:rPr>
              <w:t>称</w:t>
            </w:r>
          </w:p>
        </w:tc>
        <w:tc>
          <w:tcPr>
            <w:tcW w:w="6478" w:type="dxa"/>
            <w:vAlign w:val="center"/>
          </w:tcPr>
          <w:p w14:paraId="514099DF">
            <w:pPr>
              <w:rPr>
                <w:bCs/>
                <w:color w:val="auto"/>
                <w:szCs w:val="21"/>
                <w:highlight w:val="none"/>
              </w:rPr>
            </w:pPr>
            <w:r>
              <w:rPr>
                <w:rFonts w:hAnsi="宋体"/>
                <w:bCs/>
                <w:color w:val="auto"/>
                <w:szCs w:val="21"/>
                <w:highlight w:val="none"/>
              </w:rPr>
              <w:t>项目名称：</w:t>
            </w:r>
            <w:r>
              <w:rPr>
                <w:rFonts w:hint="eastAsia" w:hAnsi="宋体"/>
                <w:bCs/>
                <w:color w:val="auto"/>
                <w:szCs w:val="21"/>
                <w:highlight w:val="none"/>
                <w:lang w:eastAsia="zh-CN"/>
              </w:rPr>
              <w:t>海兴高速项目</w:t>
            </w:r>
          </w:p>
          <w:p w14:paraId="72C5D5EA">
            <w:pPr>
              <w:rPr>
                <w:bCs/>
                <w:color w:val="auto"/>
                <w:szCs w:val="21"/>
                <w:highlight w:val="none"/>
              </w:rPr>
            </w:pPr>
            <w:r>
              <w:rPr>
                <w:rFonts w:hAnsi="宋体"/>
                <w:bCs/>
                <w:color w:val="auto"/>
                <w:szCs w:val="21"/>
                <w:highlight w:val="none"/>
              </w:rPr>
              <w:t>采购</w:t>
            </w:r>
            <w:r>
              <w:rPr>
                <w:rFonts w:hint="eastAsia" w:hAnsi="宋体"/>
                <w:bCs/>
                <w:color w:val="auto"/>
                <w:szCs w:val="21"/>
                <w:highlight w:val="none"/>
              </w:rPr>
              <w:t>分包</w:t>
            </w:r>
            <w:r>
              <w:rPr>
                <w:rFonts w:hAnsi="宋体"/>
                <w:bCs/>
                <w:color w:val="auto"/>
                <w:szCs w:val="21"/>
                <w:highlight w:val="none"/>
              </w:rPr>
              <w:t>工程名称：</w:t>
            </w:r>
            <w:r>
              <w:rPr>
                <w:rFonts w:hint="eastAsia" w:hAnsi="宋体"/>
                <w:bCs/>
                <w:color w:val="auto"/>
                <w:szCs w:val="21"/>
                <w:highlight w:val="none"/>
                <w:lang w:eastAsia="zh-CN"/>
              </w:rPr>
              <w:t>钢板桩施工</w:t>
            </w:r>
          </w:p>
        </w:tc>
      </w:tr>
      <w:tr w14:paraId="052530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696" w:hRule="atLeast"/>
          <w:jc w:val="center"/>
        </w:trPr>
        <w:tc>
          <w:tcPr>
            <w:tcW w:w="798" w:type="dxa"/>
            <w:vAlign w:val="center"/>
          </w:tcPr>
          <w:p w14:paraId="4FAD3011">
            <w:pPr>
              <w:jc w:val="center"/>
              <w:rPr>
                <w:color w:val="auto"/>
                <w:szCs w:val="21"/>
                <w:highlight w:val="none"/>
              </w:rPr>
            </w:pPr>
            <w:r>
              <w:rPr>
                <w:rFonts w:hint="eastAsia"/>
                <w:color w:val="auto"/>
                <w:szCs w:val="21"/>
                <w:highlight w:val="none"/>
              </w:rPr>
              <w:t>2</w:t>
            </w:r>
          </w:p>
        </w:tc>
        <w:tc>
          <w:tcPr>
            <w:tcW w:w="1308" w:type="dxa"/>
            <w:vAlign w:val="center"/>
          </w:tcPr>
          <w:p w14:paraId="55E00D64">
            <w:pPr>
              <w:ind w:left="-42" w:leftChars="-20" w:right="-42" w:rightChars="-20"/>
              <w:jc w:val="center"/>
              <w:rPr>
                <w:bCs/>
                <w:color w:val="auto"/>
                <w:szCs w:val="21"/>
                <w:highlight w:val="none"/>
              </w:rPr>
            </w:pPr>
            <w:r>
              <w:rPr>
                <w:rFonts w:hAnsi="宋体"/>
                <w:bCs/>
                <w:color w:val="auto"/>
                <w:szCs w:val="21"/>
                <w:highlight w:val="none"/>
              </w:rPr>
              <w:t>采购人</w:t>
            </w:r>
          </w:p>
        </w:tc>
        <w:tc>
          <w:tcPr>
            <w:tcW w:w="6478" w:type="dxa"/>
            <w:vAlign w:val="center"/>
          </w:tcPr>
          <w:p w14:paraId="53554137">
            <w:pPr>
              <w:rPr>
                <w:rFonts w:hint="default" w:hAnsi="宋体" w:eastAsia="宋体"/>
                <w:bCs/>
                <w:color w:val="auto"/>
                <w:szCs w:val="21"/>
                <w:highlight w:val="none"/>
                <w:lang w:val="en-US" w:eastAsia="zh-CN"/>
              </w:rPr>
            </w:pPr>
            <w:r>
              <w:rPr>
                <w:rFonts w:hAnsi="宋体"/>
                <w:bCs/>
                <w:color w:val="auto"/>
                <w:szCs w:val="21"/>
                <w:highlight w:val="none"/>
              </w:rPr>
              <w:t>名称：</w:t>
            </w:r>
            <w:r>
              <w:rPr>
                <w:rFonts w:hint="eastAsia" w:hAnsi="宋体"/>
                <w:bCs/>
                <w:color w:val="auto"/>
                <w:szCs w:val="21"/>
                <w:highlight w:val="none"/>
                <w:lang w:val="en-US" w:eastAsia="zh-CN"/>
              </w:rPr>
              <w:t>中建路桥集团第二工程有限公司</w:t>
            </w:r>
          </w:p>
          <w:p w14:paraId="20595593">
            <w:pPr>
              <w:rPr>
                <w:rFonts w:hint="default" w:ascii="Arial" w:hAnsi="Arial" w:eastAsia="宋体" w:cs="Arial"/>
                <w:color w:val="auto"/>
                <w:szCs w:val="21"/>
                <w:highlight w:val="none"/>
                <w:lang w:val="en-US" w:eastAsia="zh-CN"/>
              </w:rPr>
            </w:pPr>
            <w:r>
              <w:rPr>
                <w:rFonts w:hAnsi="宋体"/>
                <w:bCs/>
                <w:color w:val="auto"/>
                <w:szCs w:val="21"/>
                <w:highlight w:val="none"/>
              </w:rPr>
              <w:t>地址：</w:t>
            </w:r>
            <w:r>
              <w:rPr>
                <w:rFonts w:hint="eastAsia" w:hAnsi="宋体"/>
                <w:bCs/>
                <w:color w:val="auto"/>
                <w:szCs w:val="21"/>
                <w:highlight w:val="none"/>
                <w:lang w:val="en-US" w:eastAsia="zh-CN"/>
              </w:rPr>
              <w:t>河北省、石家庄市</w:t>
            </w:r>
          </w:p>
          <w:p w14:paraId="2C965784">
            <w:pPr>
              <w:rPr>
                <w:rFonts w:hint="default" w:eastAsia="宋体"/>
                <w:bCs/>
                <w:color w:val="auto"/>
                <w:szCs w:val="21"/>
                <w:highlight w:val="none"/>
                <w:lang w:val="en-US" w:eastAsia="zh-CN"/>
              </w:rPr>
            </w:pPr>
            <w:r>
              <w:rPr>
                <w:rFonts w:hAnsi="宋体"/>
                <w:bCs/>
                <w:color w:val="auto"/>
                <w:szCs w:val="21"/>
                <w:highlight w:val="none"/>
              </w:rPr>
              <w:t>邮编：</w:t>
            </w:r>
            <w:r>
              <w:rPr>
                <w:rFonts w:hint="eastAsia" w:hAnsi="宋体"/>
                <w:bCs/>
                <w:color w:val="auto"/>
                <w:szCs w:val="21"/>
                <w:highlight w:val="none"/>
                <w:lang w:val="en-US" w:eastAsia="zh-CN"/>
              </w:rPr>
              <w:t>050090</w:t>
            </w:r>
          </w:p>
          <w:p w14:paraId="5E99AA20">
            <w:pPr>
              <w:rPr>
                <w:bCs/>
                <w:color w:val="auto"/>
                <w:szCs w:val="21"/>
                <w:highlight w:val="none"/>
              </w:rPr>
            </w:pPr>
            <w:r>
              <w:rPr>
                <w:rFonts w:hAnsi="宋体"/>
                <w:bCs/>
                <w:color w:val="auto"/>
                <w:szCs w:val="21"/>
                <w:highlight w:val="none"/>
              </w:rPr>
              <w:t>电话：</w:t>
            </w:r>
            <w:r>
              <w:rPr>
                <w:rFonts w:hint="eastAsia" w:hAnsi="宋体"/>
                <w:bCs/>
                <w:color w:val="auto"/>
                <w:szCs w:val="21"/>
                <w:highlight w:val="none"/>
              </w:rPr>
              <w:t>13501301834</w:t>
            </w:r>
            <w:r>
              <w:rPr>
                <w:rFonts w:hint="eastAsia"/>
                <w:bCs/>
                <w:color w:val="auto"/>
                <w:szCs w:val="21"/>
                <w:highlight w:val="none"/>
              </w:rPr>
              <w:t xml:space="preserve">              </w:t>
            </w:r>
            <w:r>
              <w:rPr>
                <w:bCs/>
                <w:color w:val="auto"/>
                <w:szCs w:val="21"/>
                <w:highlight w:val="none"/>
              </w:rPr>
              <w:t xml:space="preserve">  </w:t>
            </w:r>
            <w:r>
              <w:rPr>
                <w:rFonts w:hAnsi="宋体"/>
                <w:bCs/>
                <w:color w:val="auto"/>
                <w:szCs w:val="21"/>
                <w:highlight w:val="none"/>
              </w:rPr>
              <w:t>联系人：</w:t>
            </w:r>
            <w:r>
              <w:rPr>
                <w:rFonts w:hint="eastAsia" w:hAnsi="宋体"/>
                <w:bCs/>
                <w:color w:val="auto"/>
                <w:szCs w:val="21"/>
                <w:highlight w:val="none"/>
                <w:lang w:val="en-US" w:eastAsia="zh-CN"/>
              </w:rPr>
              <w:t>孙文特</w:t>
            </w:r>
          </w:p>
        </w:tc>
      </w:tr>
      <w:tr w14:paraId="0DA4D9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90" w:hRule="atLeast"/>
          <w:jc w:val="center"/>
        </w:trPr>
        <w:tc>
          <w:tcPr>
            <w:tcW w:w="798" w:type="dxa"/>
            <w:vAlign w:val="center"/>
          </w:tcPr>
          <w:p w14:paraId="7CF259AE">
            <w:pPr>
              <w:jc w:val="center"/>
              <w:rPr>
                <w:color w:val="auto"/>
                <w:szCs w:val="21"/>
                <w:highlight w:val="none"/>
              </w:rPr>
            </w:pPr>
            <w:r>
              <w:rPr>
                <w:rFonts w:hint="eastAsia"/>
                <w:color w:val="auto"/>
                <w:szCs w:val="21"/>
                <w:highlight w:val="none"/>
              </w:rPr>
              <w:t>3</w:t>
            </w:r>
          </w:p>
        </w:tc>
        <w:tc>
          <w:tcPr>
            <w:tcW w:w="1308" w:type="dxa"/>
            <w:vAlign w:val="center"/>
          </w:tcPr>
          <w:p w14:paraId="6738025C">
            <w:pPr>
              <w:ind w:left="-42" w:leftChars="-20" w:right="-42" w:rightChars="-20"/>
              <w:jc w:val="center"/>
              <w:rPr>
                <w:bCs/>
                <w:color w:val="auto"/>
                <w:szCs w:val="21"/>
                <w:highlight w:val="none"/>
              </w:rPr>
            </w:pPr>
            <w:r>
              <w:rPr>
                <w:rFonts w:hAnsi="宋体"/>
                <w:bCs/>
                <w:color w:val="auto"/>
                <w:szCs w:val="21"/>
                <w:highlight w:val="none"/>
              </w:rPr>
              <w:t>现场</w:t>
            </w:r>
            <w:r>
              <w:rPr>
                <w:rFonts w:hint="eastAsia" w:hAnsi="宋体"/>
                <w:bCs/>
                <w:color w:val="auto"/>
                <w:szCs w:val="21"/>
                <w:highlight w:val="none"/>
              </w:rPr>
              <w:t>踏勘</w:t>
            </w:r>
          </w:p>
        </w:tc>
        <w:tc>
          <w:tcPr>
            <w:tcW w:w="6478" w:type="dxa"/>
            <w:vAlign w:val="center"/>
          </w:tcPr>
          <w:p w14:paraId="74AB5F18">
            <w:pPr>
              <w:rPr>
                <w:rFonts w:hint="eastAsia" w:hAnsi="宋体"/>
                <w:bCs/>
                <w:color w:val="auto"/>
                <w:szCs w:val="21"/>
                <w:highlight w:val="none"/>
              </w:rPr>
            </w:pPr>
            <w:r>
              <w:rPr>
                <w:rFonts w:hint="eastAsia" w:ascii="宋体" w:hAnsi="宋体" w:cs="宋体"/>
                <w:bCs/>
                <w:color w:val="auto"/>
                <w:szCs w:val="21"/>
                <w:highlight w:val="none"/>
                <w:lang w:eastAsia="zh-CN"/>
              </w:rPr>
              <w:t>☑</w:t>
            </w:r>
            <w:r>
              <w:rPr>
                <w:rFonts w:hint="eastAsia" w:hAnsi="宋体"/>
                <w:bCs/>
                <w:color w:val="auto"/>
                <w:szCs w:val="21"/>
                <w:highlight w:val="none"/>
              </w:rPr>
              <w:t>不组织，各</w:t>
            </w:r>
            <w:r>
              <w:rPr>
                <w:rFonts w:hint="eastAsia" w:hAnsi="宋体"/>
                <w:bCs/>
                <w:color w:val="auto"/>
                <w:szCs w:val="21"/>
                <w:highlight w:val="none"/>
                <w:lang w:val="en-US" w:eastAsia="zh-CN"/>
              </w:rPr>
              <w:t>响应单位</w:t>
            </w:r>
            <w:r>
              <w:rPr>
                <w:rFonts w:hint="eastAsia" w:hAnsi="宋体"/>
                <w:bCs/>
                <w:color w:val="auto"/>
                <w:szCs w:val="21"/>
                <w:highlight w:val="none"/>
              </w:rPr>
              <w:t>可自行前往。</w:t>
            </w:r>
          </w:p>
          <w:p w14:paraId="32B9F3CA">
            <w:pPr>
              <w:rPr>
                <w:rFonts w:hint="eastAsia"/>
                <w:bCs/>
                <w:color w:val="auto"/>
                <w:szCs w:val="21"/>
                <w:highlight w:val="none"/>
              </w:rPr>
            </w:pPr>
            <w:r>
              <w:rPr>
                <w:rFonts w:hint="eastAsia" w:ascii="宋体" w:hAnsi="宋体" w:cs="宋体"/>
                <w:bCs/>
                <w:color w:val="auto"/>
                <w:szCs w:val="21"/>
                <w:highlight w:val="none"/>
              </w:rPr>
              <w:t>□组织，</w:t>
            </w:r>
            <w:r>
              <w:rPr>
                <w:rFonts w:hint="eastAsia" w:hAnsi="宋体"/>
                <w:bCs/>
                <w:color w:val="auto"/>
                <w:szCs w:val="21"/>
                <w:highlight w:val="none"/>
              </w:rPr>
              <w:t>勘察</w:t>
            </w:r>
            <w:r>
              <w:rPr>
                <w:rFonts w:hAnsi="宋体"/>
                <w:bCs/>
                <w:color w:val="auto"/>
                <w:szCs w:val="21"/>
                <w:highlight w:val="none"/>
              </w:rPr>
              <w:t>时间：</w:t>
            </w:r>
            <w:r>
              <w:rPr>
                <w:rFonts w:hint="eastAsia" w:hAnsi="宋体"/>
                <w:bCs/>
                <w:color w:val="auto"/>
                <w:szCs w:val="21"/>
                <w:highlight w:val="none"/>
              </w:rPr>
              <w:t xml:space="preserve">  </w:t>
            </w:r>
            <w:r>
              <w:rPr>
                <w:rFonts w:hAnsi="宋体"/>
                <w:bCs/>
                <w:color w:val="auto"/>
                <w:szCs w:val="21"/>
                <w:highlight w:val="none"/>
              </w:rPr>
              <w:t>年</w:t>
            </w:r>
            <w:r>
              <w:rPr>
                <w:rFonts w:hint="eastAsia" w:hAnsi="宋体"/>
                <w:bCs/>
                <w:color w:val="auto"/>
                <w:szCs w:val="21"/>
                <w:highlight w:val="none"/>
              </w:rPr>
              <w:t xml:space="preserve">  </w:t>
            </w:r>
            <w:r>
              <w:rPr>
                <w:rFonts w:hAnsi="宋体"/>
                <w:bCs/>
                <w:color w:val="auto"/>
                <w:szCs w:val="21"/>
                <w:highlight w:val="none"/>
              </w:rPr>
              <w:t>月</w:t>
            </w:r>
            <w:r>
              <w:rPr>
                <w:rFonts w:hint="eastAsia" w:hAnsi="宋体"/>
                <w:bCs/>
                <w:color w:val="auto"/>
                <w:szCs w:val="21"/>
                <w:highlight w:val="none"/>
              </w:rPr>
              <w:t xml:space="preserve">  </w:t>
            </w:r>
            <w:r>
              <w:rPr>
                <w:rFonts w:hAnsi="宋体"/>
                <w:bCs/>
                <w:color w:val="auto"/>
                <w:szCs w:val="21"/>
                <w:highlight w:val="none"/>
              </w:rPr>
              <w:t>日</w:t>
            </w:r>
            <w:r>
              <w:rPr>
                <w:rFonts w:hint="eastAsia" w:hAnsi="宋体"/>
                <w:bCs/>
                <w:color w:val="auto"/>
                <w:szCs w:val="21"/>
                <w:highlight w:val="none"/>
              </w:rPr>
              <w:t xml:space="preserve">  </w:t>
            </w:r>
            <w:r>
              <w:rPr>
                <w:rFonts w:hAnsi="宋体"/>
                <w:bCs/>
                <w:color w:val="auto"/>
                <w:szCs w:val="21"/>
                <w:highlight w:val="none"/>
              </w:rPr>
              <w:t>时</w:t>
            </w:r>
          </w:p>
          <w:p w14:paraId="7C200BD3">
            <w:pPr>
              <w:pStyle w:val="8"/>
              <w:ind w:firstLine="0" w:firstLineChars="0"/>
              <w:rPr>
                <w:rFonts w:hint="eastAsia"/>
                <w:bCs/>
                <w:color w:val="auto"/>
                <w:szCs w:val="21"/>
                <w:highlight w:val="none"/>
              </w:rPr>
            </w:pPr>
            <w:r>
              <w:rPr>
                <w:rFonts w:hint="eastAsia" w:hAnsi="宋体"/>
                <w:bCs/>
                <w:color w:val="auto"/>
                <w:szCs w:val="21"/>
                <w:highlight w:val="none"/>
              </w:rPr>
              <w:t>勘察</w:t>
            </w:r>
            <w:r>
              <w:rPr>
                <w:rFonts w:hAnsi="宋体"/>
                <w:bCs/>
                <w:color w:val="auto"/>
                <w:szCs w:val="21"/>
                <w:highlight w:val="none"/>
              </w:rPr>
              <w:t>地点：</w:t>
            </w:r>
            <w:r>
              <w:rPr>
                <w:rFonts w:hint="eastAsia" w:hAnsi="宋体"/>
                <w:bCs/>
                <w:color w:val="auto"/>
                <w:szCs w:val="21"/>
                <w:highlight w:val="none"/>
                <w:lang w:val="en-US" w:eastAsia="zh-CN"/>
              </w:rPr>
              <w:t>河北省沧州市</w:t>
            </w:r>
            <w:r>
              <w:rPr>
                <w:rFonts w:hint="eastAsia"/>
                <w:bCs/>
                <w:color w:val="auto"/>
                <w:szCs w:val="21"/>
                <w:highlight w:val="none"/>
              </w:rPr>
              <w:t xml:space="preserve"> </w:t>
            </w:r>
          </w:p>
          <w:p w14:paraId="60CFA02E">
            <w:pPr>
              <w:rPr>
                <w:rFonts w:hint="eastAsia" w:hAnsi="宋体"/>
                <w:bCs/>
                <w:color w:val="auto"/>
                <w:szCs w:val="21"/>
                <w:highlight w:val="none"/>
              </w:rPr>
            </w:pPr>
            <w:r>
              <w:rPr>
                <w:rFonts w:hint="eastAsia" w:hAnsi="宋体"/>
                <w:bCs/>
                <w:color w:val="auto"/>
                <w:szCs w:val="21"/>
                <w:highlight w:val="none"/>
              </w:rPr>
              <w:t>勘察</w:t>
            </w:r>
            <w:r>
              <w:rPr>
                <w:color w:val="auto"/>
                <w:highlight w:val="none"/>
              </w:rPr>
              <w:t>联系人：</w:t>
            </w:r>
            <w:r>
              <w:rPr>
                <w:rFonts w:hint="eastAsia"/>
                <w:color w:val="auto"/>
                <w:highlight w:val="none"/>
                <w:lang w:val="en-US" w:eastAsia="zh-CN"/>
              </w:rPr>
              <w:t>孙新磊</w:t>
            </w:r>
            <w:r>
              <w:rPr>
                <w:rFonts w:hint="eastAsia"/>
                <w:color w:val="auto"/>
                <w:highlight w:val="none"/>
              </w:rPr>
              <w:t xml:space="preserve">         </w:t>
            </w:r>
            <w:r>
              <w:rPr>
                <w:color w:val="auto"/>
                <w:highlight w:val="none"/>
              </w:rPr>
              <w:t>电话：</w:t>
            </w:r>
            <w:r>
              <w:rPr>
                <w:rFonts w:hint="eastAsia"/>
                <w:color w:val="auto"/>
                <w:highlight w:val="none"/>
                <w:lang w:val="en-US" w:eastAsia="zh-CN"/>
              </w:rPr>
              <w:t>15100536339</w:t>
            </w:r>
            <w:r>
              <w:rPr>
                <w:color w:val="auto"/>
                <w:highlight w:val="none"/>
              </w:rPr>
              <w:t xml:space="preserve">   </w:t>
            </w:r>
          </w:p>
        </w:tc>
      </w:tr>
      <w:tr w14:paraId="33A3754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6319FAE8">
            <w:pPr>
              <w:jc w:val="center"/>
              <w:rPr>
                <w:color w:val="auto"/>
                <w:szCs w:val="21"/>
                <w:highlight w:val="none"/>
              </w:rPr>
            </w:pPr>
            <w:r>
              <w:rPr>
                <w:rFonts w:hint="eastAsia"/>
                <w:color w:val="auto"/>
                <w:szCs w:val="21"/>
                <w:highlight w:val="none"/>
              </w:rPr>
              <w:t>4</w:t>
            </w:r>
          </w:p>
        </w:tc>
        <w:tc>
          <w:tcPr>
            <w:tcW w:w="1308" w:type="dxa"/>
            <w:vAlign w:val="center"/>
          </w:tcPr>
          <w:p w14:paraId="763E9A18">
            <w:pPr>
              <w:ind w:left="-42" w:leftChars="-20" w:right="-42" w:rightChars="-20"/>
              <w:jc w:val="center"/>
              <w:rPr>
                <w:bCs/>
                <w:color w:val="auto"/>
                <w:szCs w:val="21"/>
                <w:highlight w:val="none"/>
              </w:rPr>
            </w:pPr>
            <w:r>
              <w:rPr>
                <w:rFonts w:hAnsi="宋体"/>
                <w:bCs/>
                <w:color w:val="auto"/>
                <w:szCs w:val="21"/>
                <w:highlight w:val="none"/>
              </w:rPr>
              <w:t>采购范围</w:t>
            </w:r>
          </w:p>
        </w:tc>
        <w:tc>
          <w:tcPr>
            <w:tcW w:w="6478" w:type="dxa"/>
            <w:vAlign w:val="center"/>
          </w:tcPr>
          <w:p w14:paraId="4BBDC918">
            <w:pPr>
              <w:rPr>
                <w:rFonts w:hint="eastAsia" w:hAnsi="宋体"/>
                <w:bCs/>
                <w:color w:val="auto"/>
                <w:szCs w:val="21"/>
                <w:highlight w:val="none"/>
              </w:rPr>
            </w:pPr>
            <w:r>
              <w:rPr>
                <w:rFonts w:hint="eastAsia" w:hAnsi="宋体"/>
                <w:bCs/>
                <w:color w:val="auto"/>
                <w:szCs w:val="21"/>
                <w:highlight w:val="none"/>
              </w:rPr>
              <w:t>本次</w:t>
            </w:r>
            <w:r>
              <w:rPr>
                <w:rFonts w:hint="eastAsia" w:hAnsi="宋体"/>
                <w:bCs/>
                <w:color w:val="auto"/>
                <w:szCs w:val="21"/>
                <w:highlight w:val="none"/>
                <w:lang w:eastAsia="zh-CN"/>
              </w:rPr>
              <w:t>采购</w:t>
            </w:r>
            <w:r>
              <w:rPr>
                <w:rFonts w:hint="eastAsia" w:ascii="Times New Roman" w:hAnsi="宋体" w:eastAsia="宋体" w:cs="Times New Roman"/>
                <w:bCs/>
                <w:color w:val="auto"/>
                <w:szCs w:val="21"/>
                <w:highlight w:val="none"/>
              </w:rPr>
              <w:t>为</w:t>
            </w:r>
            <w:r>
              <w:rPr>
                <w:rFonts w:hint="eastAsia" w:hAnsi="宋体"/>
                <w:bCs/>
                <w:color w:val="auto"/>
                <w:szCs w:val="21"/>
                <w:highlight w:val="none"/>
                <w:lang w:eastAsia="zh-CN"/>
              </w:rPr>
              <w:t>海兴高速项目钢板桩施工</w:t>
            </w:r>
            <w:r>
              <w:rPr>
                <w:rFonts w:hint="eastAsia" w:ascii="Times New Roman" w:hAnsi="宋体" w:eastAsia="宋体" w:cs="Times New Roman"/>
                <w:bCs/>
                <w:color w:val="auto"/>
                <w:szCs w:val="21"/>
                <w:highlight w:val="none"/>
              </w:rPr>
              <w:t>内容，具体内容详见施工图纸及施工</w:t>
            </w:r>
            <w:r>
              <w:rPr>
                <w:rFonts w:hint="eastAsia" w:hAnsi="宋体"/>
                <w:bCs/>
                <w:color w:val="auto"/>
                <w:szCs w:val="21"/>
                <w:highlight w:val="none"/>
              </w:rPr>
              <w:t>方案。</w:t>
            </w:r>
          </w:p>
        </w:tc>
      </w:tr>
      <w:tr w14:paraId="55B1E6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447" w:hRule="atLeast"/>
          <w:jc w:val="center"/>
        </w:trPr>
        <w:tc>
          <w:tcPr>
            <w:tcW w:w="798" w:type="dxa"/>
            <w:vAlign w:val="center"/>
          </w:tcPr>
          <w:p w14:paraId="6B30E11A">
            <w:pPr>
              <w:jc w:val="center"/>
              <w:rPr>
                <w:color w:val="auto"/>
                <w:szCs w:val="21"/>
                <w:highlight w:val="none"/>
              </w:rPr>
            </w:pPr>
            <w:r>
              <w:rPr>
                <w:rFonts w:hint="eastAsia"/>
                <w:color w:val="auto"/>
                <w:szCs w:val="21"/>
                <w:highlight w:val="none"/>
              </w:rPr>
              <w:t>5</w:t>
            </w:r>
          </w:p>
        </w:tc>
        <w:tc>
          <w:tcPr>
            <w:tcW w:w="1308" w:type="dxa"/>
            <w:vAlign w:val="center"/>
          </w:tcPr>
          <w:p w14:paraId="4725AB3C">
            <w:pPr>
              <w:ind w:left="-42" w:leftChars="-20" w:right="-42" w:rightChars="-20"/>
              <w:jc w:val="center"/>
              <w:rPr>
                <w:bCs/>
                <w:color w:val="auto"/>
                <w:szCs w:val="21"/>
                <w:highlight w:val="none"/>
              </w:rPr>
            </w:pPr>
            <w:r>
              <w:rPr>
                <w:rFonts w:hAnsi="宋体"/>
                <w:bCs/>
                <w:color w:val="auto"/>
                <w:szCs w:val="21"/>
                <w:highlight w:val="none"/>
              </w:rPr>
              <w:t>工期及</w:t>
            </w:r>
            <w:r>
              <w:rPr>
                <w:rFonts w:hint="eastAsia" w:hAnsi="宋体"/>
                <w:bCs/>
                <w:color w:val="auto"/>
                <w:szCs w:val="21"/>
                <w:highlight w:val="none"/>
              </w:rPr>
              <w:t>质量</w:t>
            </w:r>
            <w:r>
              <w:rPr>
                <w:rFonts w:hAnsi="宋体"/>
                <w:bCs/>
                <w:color w:val="auto"/>
                <w:szCs w:val="21"/>
                <w:highlight w:val="none"/>
              </w:rPr>
              <w:t>要求</w:t>
            </w:r>
          </w:p>
        </w:tc>
        <w:tc>
          <w:tcPr>
            <w:tcW w:w="6478" w:type="dxa"/>
            <w:vAlign w:val="center"/>
          </w:tcPr>
          <w:p w14:paraId="200623C4">
            <w:pPr>
              <w:rPr>
                <w:rFonts w:hint="eastAsia" w:eastAsia="宋体"/>
                <w:bCs/>
                <w:color w:val="auto"/>
                <w:szCs w:val="21"/>
                <w:highlight w:val="none"/>
                <w:lang w:eastAsia="zh-CN"/>
              </w:rPr>
            </w:pPr>
            <w:r>
              <w:rPr>
                <w:rFonts w:hAnsi="宋体"/>
                <w:bCs/>
                <w:color w:val="auto"/>
                <w:szCs w:val="21"/>
                <w:highlight w:val="none"/>
              </w:rPr>
              <w:t>计划开工日</w:t>
            </w:r>
            <w:r>
              <w:rPr>
                <w:rFonts w:hAnsi="宋体"/>
                <w:bCs/>
                <w:color w:val="auto"/>
                <w:szCs w:val="21"/>
                <w:highlight w:val="none"/>
              </w:rPr>
              <w:t>期：</w:t>
            </w:r>
            <w:r>
              <w:rPr>
                <w:rFonts w:hint="eastAsia" w:hAnsi="宋体"/>
                <w:bCs/>
                <w:color w:val="auto"/>
                <w:szCs w:val="21"/>
                <w:highlight w:val="none"/>
                <w:lang w:val="en-US" w:eastAsia="zh-CN"/>
              </w:rPr>
              <w:t>2026</w:t>
            </w:r>
            <w:r>
              <w:rPr>
                <w:rFonts w:hint="eastAsia" w:hAnsi="宋体"/>
                <w:bCs/>
                <w:color w:val="auto"/>
                <w:szCs w:val="21"/>
                <w:highlight w:val="none"/>
              </w:rPr>
              <w:t>年</w:t>
            </w:r>
            <w:r>
              <w:rPr>
                <w:rFonts w:hint="eastAsia" w:hAnsi="宋体"/>
                <w:bCs/>
                <w:color w:val="auto"/>
                <w:szCs w:val="21"/>
                <w:highlight w:val="none"/>
                <w:lang w:val="en-US" w:eastAsia="zh-CN"/>
              </w:rPr>
              <w:t>11</w:t>
            </w:r>
            <w:r>
              <w:rPr>
                <w:rFonts w:hint="eastAsia" w:hAnsi="宋体"/>
                <w:bCs/>
                <w:color w:val="auto"/>
                <w:szCs w:val="21"/>
                <w:highlight w:val="none"/>
              </w:rPr>
              <w:t>月</w:t>
            </w:r>
            <w:r>
              <w:rPr>
                <w:rFonts w:hint="eastAsia" w:hAnsi="宋体"/>
                <w:bCs/>
                <w:color w:val="auto"/>
                <w:szCs w:val="21"/>
                <w:highlight w:val="none"/>
                <w:lang w:val="en-US" w:eastAsia="zh-CN"/>
              </w:rPr>
              <w:t>1</w:t>
            </w:r>
            <w:r>
              <w:rPr>
                <w:rFonts w:hint="eastAsia" w:hAnsi="宋体"/>
                <w:bCs/>
                <w:color w:val="auto"/>
                <w:szCs w:val="21"/>
                <w:highlight w:val="none"/>
              </w:rPr>
              <w:t>日</w:t>
            </w:r>
            <w:r>
              <w:rPr>
                <w:rFonts w:hint="eastAsia" w:hAnsi="宋体"/>
                <w:bCs/>
                <w:color w:val="auto"/>
                <w:szCs w:val="21"/>
                <w:highlight w:val="none"/>
                <w:lang w:eastAsia="zh-CN"/>
              </w:rPr>
              <w:t>（</w:t>
            </w:r>
            <w:r>
              <w:rPr>
                <w:rFonts w:hint="eastAsia" w:hAnsi="宋体"/>
                <w:bCs/>
                <w:color w:val="auto"/>
                <w:szCs w:val="21"/>
                <w:highlight w:val="none"/>
                <w:lang w:val="en-US" w:eastAsia="zh-CN"/>
              </w:rPr>
              <w:t>暂定</w:t>
            </w:r>
            <w:r>
              <w:rPr>
                <w:rFonts w:hint="eastAsia" w:hAnsi="宋体"/>
                <w:bCs/>
                <w:color w:val="auto"/>
                <w:szCs w:val="21"/>
                <w:highlight w:val="none"/>
                <w:lang w:eastAsia="zh-CN"/>
              </w:rPr>
              <w:t>）</w:t>
            </w:r>
          </w:p>
          <w:p w14:paraId="3FEF5D52">
            <w:pPr>
              <w:rPr>
                <w:rFonts w:hint="eastAsia" w:hAnsi="宋体"/>
                <w:bCs/>
                <w:color w:val="auto"/>
                <w:szCs w:val="21"/>
                <w:highlight w:val="none"/>
              </w:rPr>
            </w:pPr>
            <w:r>
              <w:rPr>
                <w:rFonts w:hAnsi="宋体"/>
                <w:bCs/>
                <w:color w:val="auto"/>
                <w:szCs w:val="21"/>
                <w:highlight w:val="none"/>
              </w:rPr>
              <w:t>计划</w:t>
            </w:r>
            <w:r>
              <w:rPr>
                <w:rFonts w:hint="eastAsia" w:hAnsi="宋体"/>
                <w:bCs/>
                <w:color w:val="auto"/>
                <w:szCs w:val="21"/>
                <w:highlight w:val="none"/>
              </w:rPr>
              <w:t>完</w:t>
            </w:r>
            <w:r>
              <w:rPr>
                <w:rFonts w:hAnsi="宋体"/>
                <w:bCs/>
                <w:color w:val="auto"/>
                <w:szCs w:val="21"/>
                <w:highlight w:val="none"/>
              </w:rPr>
              <w:t>工日期：</w:t>
            </w:r>
            <w:r>
              <w:rPr>
                <w:rFonts w:hint="eastAsia" w:hAnsi="宋体"/>
                <w:bCs/>
                <w:color w:val="auto"/>
                <w:szCs w:val="21"/>
                <w:highlight w:val="none"/>
                <w:lang w:val="en-US" w:eastAsia="zh-CN"/>
              </w:rPr>
              <w:t>2027</w:t>
            </w:r>
            <w:r>
              <w:rPr>
                <w:rFonts w:hint="eastAsia" w:hAnsi="宋体"/>
                <w:bCs/>
                <w:color w:val="auto"/>
                <w:szCs w:val="21"/>
                <w:highlight w:val="none"/>
              </w:rPr>
              <w:t>年</w:t>
            </w:r>
            <w:r>
              <w:rPr>
                <w:rFonts w:hint="eastAsia" w:hAnsi="宋体"/>
                <w:bCs/>
                <w:color w:val="auto"/>
                <w:szCs w:val="21"/>
                <w:highlight w:val="none"/>
                <w:lang w:val="en-US" w:eastAsia="zh-CN"/>
              </w:rPr>
              <w:t>1</w:t>
            </w:r>
            <w:r>
              <w:rPr>
                <w:rFonts w:hint="eastAsia" w:hAnsi="宋体"/>
                <w:bCs/>
                <w:color w:val="auto"/>
                <w:szCs w:val="21"/>
                <w:highlight w:val="none"/>
              </w:rPr>
              <w:t>月</w:t>
            </w:r>
            <w:r>
              <w:rPr>
                <w:rFonts w:hint="eastAsia" w:hAnsi="宋体"/>
                <w:bCs/>
                <w:color w:val="auto"/>
                <w:szCs w:val="21"/>
                <w:highlight w:val="none"/>
                <w:lang w:val="en-US" w:eastAsia="zh-CN"/>
              </w:rPr>
              <w:t>14</w:t>
            </w:r>
            <w:r>
              <w:rPr>
                <w:rFonts w:hint="eastAsia" w:hAnsi="宋体"/>
                <w:bCs/>
                <w:color w:val="auto"/>
                <w:szCs w:val="21"/>
                <w:highlight w:val="none"/>
              </w:rPr>
              <w:t>日</w:t>
            </w:r>
            <w:r>
              <w:rPr>
                <w:rFonts w:hint="eastAsia" w:hAnsi="宋体"/>
                <w:bCs/>
                <w:color w:val="auto"/>
                <w:szCs w:val="21"/>
                <w:highlight w:val="none"/>
                <w:lang w:eastAsia="zh-CN"/>
              </w:rPr>
              <w:t>（</w:t>
            </w:r>
            <w:r>
              <w:rPr>
                <w:rFonts w:hint="eastAsia" w:hAnsi="宋体"/>
                <w:bCs/>
                <w:color w:val="auto"/>
                <w:szCs w:val="21"/>
                <w:highlight w:val="none"/>
                <w:lang w:val="en-US" w:eastAsia="zh-CN"/>
              </w:rPr>
              <w:t>暂定</w:t>
            </w:r>
            <w:r>
              <w:rPr>
                <w:rFonts w:hint="eastAsia" w:hAnsi="宋体"/>
                <w:bCs/>
                <w:color w:val="auto"/>
                <w:szCs w:val="21"/>
                <w:highlight w:val="none"/>
                <w:lang w:eastAsia="zh-CN"/>
              </w:rPr>
              <w:t>）</w:t>
            </w:r>
          </w:p>
          <w:p w14:paraId="30FB2C75">
            <w:pPr>
              <w:rPr>
                <w:rFonts w:hint="eastAsia" w:hAnsi="宋体"/>
                <w:bCs/>
                <w:color w:val="auto"/>
                <w:szCs w:val="21"/>
                <w:highlight w:val="none"/>
              </w:rPr>
            </w:pPr>
            <w:r>
              <w:rPr>
                <w:rFonts w:hAnsi="宋体"/>
                <w:bCs/>
                <w:color w:val="auto"/>
                <w:szCs w:val="21"/>
                <w:highlight w:val="none"/>
              </w:rPr>
              <w:t>计划合同工期：</w:t>
            </w:r>
            <w:r>
              <w:rPr>
                <w:rFonts w:hint="eastAsia" w:hAnsi="宋体"/>
                <w:bCs/>
                <w:color w:val="auto"/>
                <w:szCs w:val="21"/>
                <w:highlight w:val="none"/>
                <w:lang w:val="en-US" w:eastAsia="zh-CN"/>
              </w:rPr>
              <w:t>74</w:t>
            </w:r>
            <w:r>
              <w:rPr>
                <w:rFonts w:hint="eastAsia" w:hAnsi="宋体"/>
                <w:bCs/>
                <w:color w:val="auto"/>
                <w:szCs w:val="21"/>
                <w:highlight w:val="none"/>
              </w:rPr>
              <w:t>日历天</w:t>
            </w:r>
            <w:r>
              <w:rPr>
                <w:rFonts w:hint="eastAsia" w:hAnsi="宋体"/>
                <w:bCs/>
                <w:color w:val="auto"/>
                <w:szCs w:val="21"/>
                <w:highlight w:val="none"/>
                <w:lang w:eastAsia="zh-CN"/>
              </w:rPr>
              <w:t>（</w:t>
            </w:r>
            <w:r>
              <w:rPr>
                <w:rFonts w:hint="eastAsia" w:hAnsi="宋体"/>
                <w:bCs/>
                <w:color w:val="auto"/>
                <w:szCs w:val="21"/>
                <w:highlight w:val="none"/>
                <w:lang w:val="en-US" w:eastAsia="zh-CN"/>
              </w:rPr>
              <w:t>暂定</w:t>
            </w:r>
            <w:r>
              <w:rPr>
                <w:rFonts w:hint="eastAsia" w:hAnsi="宋体"/>
                <w:bCs/>
                <w:color w:val="auto"/>
                <w:szCs w:val="21"/>
                <w:highlight w:val="none"/>
                <w:lang w:eastAsia="zh-CN"/>
              </w:rPr>
              <w:t>）</w:t>
            </w:r>
          </w:p>
          <w:p w14:paraId="1EB2968C">
            <w:pPr>
              <w:rPr>
                <w:bCs/>
                <w:color w:val="auto"/>
                <w:szCs w:val="21"/>
                <w:highlight w:val="none"/>
              </w:rPr>
            </w:pPr>
            <w:r>
              <w:rPr>
                <w:rFonts w:hint="eastAsia" w:hAnsi="宋体"/>
                <w:bCs/>
                <w:color w:val="auto"/>
                <w:szCs w:val="21"/>
                <w:highlight w:val="none"/>
              </w:rPr>
              <w:t>质量要求：</w:t>
            </w:r>
            <w:r>
              <w:rPr>
                <w:rFonts w:hint="eastAsia" w:hAnsi="宋体"/>
                <w:bCs/>
                <w:color w:val="auto"/>
                <w:szCs w:val="21"/>
                <w:highlight w:val="none"/>
                <w:lang w:val="en-US" w:eastAsia="zh-CN"/>
              </w:rPr>
              <w:t>合格</w:t>
            </w:r>
          </w:p>
        </w:tc>
      </w:tr>
      <w:tr w14:paraId="1E0C44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2FAA55EA">
            <w:pPr>
              <w:jc w:val="center"/>
              <w:rPr>
                <w:color w:val="auto"/>
                <w:szCs w:val="21"/>
                <w:highlight w:val="none"/>
              </w:rPr>
            </w:pPr>
            <w:r>
              <w:rPr>
                <w:rFonts w:hint="eastAsia"/>
                <w:color w:val="auto"/>
                <w:szCs w:val="21"/>
                <w:highlight w:val="none"/>
              </w:rPr>
              <w:t>6</w:t>
            </w:r>
          </w:p>
        </w:tc>
        <w:tc>
          <w:tcPr>
            <w:tcW w:w="1308" w:type="dxa"/>
            <w:vAlign w:val="center"/>
          </w:tcPr>
          <w:p w14:paraId="41459CB9">
            <w:pPr>
              <w:ind w:left="-42" w:leftChars="-20" w:right="-42" w:rightChars="-20"/>
              <w:jc w:val="center"/>
              <w:rPr>
                <w:bCs/>
                <w:color w:val="auto"/>
                <w:szCs w:val="21"/>
                <w:highlight w:val="none"/>
              </w:rPr>
            </w:pPr>
            <w:r>
              <w:rPr>
                <w:rFonts w:hAnsi="宋体"/>
                <w:bCs/>
                <w:color w:val="auto"/>
                <w:szCs w:val="21"/>
                <w:highlight w:val="none"/>
              </w:rPr>
              <w:t>采购文件</w:t>
            </w:r>
          </w:p>
          <w:p w14:paraId="5FD66120">
            <w:pPr>
              <w:jc w:val="center"/>
              <w:rPr>
                <w:bCs/>
                <w:color w:val="auto"/>
                <w:szCs w:val="21"/>
                <w:highlight w:val="none"/>
              </w:rPr>
            </w:pPr>
            <w:r>
              <w:rPr>
                <w:rFonts w:hAnsi="宋体"/>
                <w:bCs/>
                <w:color w:val="auto"/>
                <w:szCs w:val="21"/>
                <w:highlight w:val="none"/>
              </w:rPr>
              <w:t>的澄清</w:t>
            </w:r>
          </w:p>
        </w:tc>
        <w:tc>
          <w:tcPr>
            <w:tcW w:w="6478" w:type="dxa"/>
            <w:vAlign w:val="center"/>
          </w:tcPr>
          <w:p w14:paraId="75A6AF3B">
            <w:pPr>
              <w:rPr>
                <w:rFonts w:hint="eastAsia"/>
                <w:bCs/>
                <w:color w:val="auto"/>
                <w:szCs w:val="21"/>
                <w:highlight w:val="none"/>
              </w:rPr>
            </w:pPr>
            <w:r>
              <w:rPr>
                <w:rFonts w:hint="eastAsia" w:hAnsi="宋体"/>
                <w:bCs/>
                <w:color w:val="auto"/>
                <w:szCs w:val="21"/>
                <w:highlight w:val="none"/>
              </w:rPr>
              <w:t>可以书面形式或致电质疑</w:t>
            </w:r>
            <w:r>
              <w:rPr>
                <w:rFonts w:hint="eastAsia"/>
                <w:bCs/>
                <w:color w:val="auto"/>
                <w:szCs w:val="21"/>
                <w:highlight w:val="none"/>
              </w:rPr>
              <w:t>，</w:t>
            </w:r>
            <w:r>
              <w:rPr>
                <w:rFonts w:hAnsi="宋体"/>
                <w:bCs/>
                <w:color w:val="auto"/>
                <w:szCs w:val="21"/>
                <w:highlight w:val="none"/>
              </w:rPr>
              <w:t>接收人</w:t>
            </w:r>
            <w:r>
              <w:rPr>
                <w:rFonts w:hint="eastAsia" w:hAnsi="宋体"/>
                <w:bCs/>
                <w:color w:val="auto"/>
                <w:szCs w:val="21"/>
                <w:highlight w:val="none"/>
                <w:lang w:eastAsia="zh-CN"/>
              </w:rPr>
              <w:t>：</w:t>
            </w:r>
            <w:r>
              <w:rPr>
                <w:rFonts w:hint="eastAsia" w:hAnsi="宋体"/>
                <w:bCs/>
                <w:color w:val="auto"/>
                <w:szCs w:val="21"/>
                <w:highlight w:val="none"/>
                <w:lang w:val="en-US" w:eastAsia="zh-CN"/>
              </w:rPr>
              <w:t>孙文特</w:t>
            </w:r>
            <w:r>
              <w:rPr>
                <w:rFonts w:hint="eastAsia"/>
                <w:bCs/>
                <w:color w:val="auto"/>
                <w:szCs w:val="21"/>
                <w:highlight w:val="none"/>
              </w:rPr>
              <w:t xml:space="preserve"> </w:t>
            </w:r>
            <w:r>
              <w:rPr>
                <w:bCs/>
                <w:color w:val="auto"/>
                <w:szCs w:val="21"/>
                <w:highlight w:val="none"/>
              </w:rPr>
              <w:t xml:space="preserve"> </w:t>
            </w:r>
            <w:r>
              <w:rPr>
                <w:rFonts w:hAnsi="宋体"/>
                <w:bCs/>
                <w:color w:val="auto"/>
                <w:szCs w:val="21"/>
                <w:highlight w:val="none"/>
              </w:rPr>
              <w:t>电话：</w:t>
            </w:r>
            <w:r>
              <w:rPr>
                <w:rFonts w:hint="eastAsia" w:hAnsi="宋体"/>
                <w:bCs/>
                <w:color w:val="auto"/>
                <w:szCs w:val="21"/>
                <w:highlight w:val="none"/>
              </w:rPr>
              <w:t>13501301834</w:t>
            </w:r>
            <w:r>
              <w:rPr>
                <w:bCs/>
                <w:color w:val="auto"/>
                <w:szCs w:val="21"/>
                <w:highlight w:val="none"/>
              </w:rPr>
              <w:t xml:space="preserve"> </w:t>
            </w:r>
          </w:p>
          <w:p w14:paraId="6B6FC455">
            <w:pPr>
              <w:rPr>
                <w:bCs/>
                <w:color w:val="auto"/>
                <w:szCs w:val="21"/>
                <w:highlight w:val="none"/>
              </w:rPr>
            </w:pPr>
            <w:r>
              <w:rPr>
                <w:rFonts w:hint="eastAsia"/>
                <w:bCs/>
                <w:color w:val="auto"/>
                <w:szCs w:val="21"/>
                <w:highlight w:val="none"/>
              </w:rPr>
              <w:t>澄清截止日期：</w:t>
            </w:r>
            <w:r>
              <w:rPr>
                <w:rFonts w:hint="eastAsia"/>
                <w:bCs/>
                <w:color w:val="auto"/>
                <w:szCs w:val="21"/>
                <w:highlight w:val="none"/>
                <w:lang w:val="en-US" w:eastAsia="zh-CN"/>
              </w:rPr>
              <w:t>2026</w:t>
            </w:r>
            <w:r>
              <w:rPr>
                <w:rFonts w:hint="eastAsia"/>
                <w:bCs/>
                <w:color w:val="auto"/>
                <w:szCs w:val="21"/>
                <w:highlight w:val="none"/>
              </w:rPr>
              <w:t>年</w:t>
            </w:r>
            <w:r>
              <w:rPr>
                <w:rFonts w:hint="eastAsia"/>
                <w:bCs/>
                <w:color w:val="auto"/>
                <w:szCs w:val="21"/>
                <w:highlight w:val="none"/>
                <w:lang w:val="en-US" w:eastAsia="zh-CN"/>
              </w:rPr>
              <w:t xml:space="preserve"> 10 </w:t>
            </w:r>
            <w:r>
              <w:rPr>
                <w:rFonts w:hint="eastAsia"/>
                <w:bCs/>
                <w:color w:val="auto"/>
                <w:szCs w:val="21"/>
                <w:highlight w:val="none"/>
              </w:rPr>
              <w:t xml:space="preserve">月 </w:t>
            </w:r>
            <w:r>
              <w:rPr>
                <w:rFonts w:hint="eastAsia"/>
                <w:bCs/>
                <w:color w:val="auto"/>
                <w:szCs w:val="21"/>
                <w:highlight w:val="none"/>
                <w:lang w:val="en-US" w:eastAsia="zh-CN"/>
              </w:rPr>
              <w:t xml:space="preserve">29 </w:t>
            </w:r>
            <w:r>
              <w:rPr>
                <w:rFonts w:hint="eastAsia"/>
                <w:bCs/>
                <w:color w:val="auto"/>
                <w:szCs w:val="21"/>
                <w:highlight w:val="none"/>
              </w:rPr>
              <w:t xml:space="preserve">日 </w:t>
            </w:r>
            <w:r>
              <w:rPr>
                <w:rFonts w:hint="eastAsia"/>
                <w:bCs/>
                <w:color w:val="auto"/>
                <w:szCs w:val="21"/>
                <w:highlight w:val="none"/>
                <w:lang w:val="en-US" w:eastAsia="zh-CN"/>
              </w:rPr>
              <w:t>15</w:t>
            </w:r>
            <w:r>
              <w:rPr>
                <w:rFonts w:hint="eastAsia"/>
                <w:bCs/>
                <w:color w:val="auto"/>
                <w:szCs w:val="21"/>
                <w:highlight w:val="none"/>
              </w:rPr>
              <w:t xml:space="preserve"> 时</w:t>
            </w:r>
          </w:p>
        </w:tc>
      </w:tr>
      <w:tr w14:paraId="70693A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33" w:hRule="atLeast"/>
          <w:jc w:val="center"/>
        </w:trPr>
        <w:tc>
          <w:tcPr>
            <w:tcW w:w="798" w:type="dxa"/>
            <w:vAlign w:val="center"/>
          </w:tcPr>
          <w:p w14:paraId="54134A26">
            <w:pPr>
              <w:jc w:val="center"/>
              <w:rPr>
                <w:color w:val="auto"/>
                <w:szCs w:val="21"/>
                <w:highlight w:val="none"/>
              </w:rPr>
            </w:pPr>
            <w:r>
              <w:rPr>
                <w:rFonts w:hint="eastAsia"/>
                <w:color w:val="auto"/>
                <w:szCs w:val="21"/>
                <w:highlight w:val="none"/>
              </w:rPr>
              <w:t>7</w:t>
            </w:r>
          </w:p>
        </w:tc>
        <w:tc>
          <w:tcPr>
            <w:tcW w:w="1308" w:type="dxa"/>
            <w:vAlign w:val="center"/>
          </w:tcPr>
          <w:p w14:paraId="786728B5">
            <w:pPr>
              <w:ind w:left="-42" w:leftChars="-20" w:right="-42" w:rightChars="-20"/>
              <w:jc w:val="center"/>
              <w:rPr>
                <w:bCs/>
                <w:color w:val="auto"/>
                <w:szCs w:val="21"/>
                <w:highlight w:val="none"/>
              </w:rPr>
            </w:pPr>
            <w:r>
              <w:rPr>
                <w:rFonts w:hAnsi="宋体"/>
                <w:bCs/>
                <w:color w:val="auto"/>
                <w:szCs w:val="21"/>
                <w:highlight w:val="none"/>
              </w:rPr>
              <w:t>采购文件的修改</w:t>
            </w:r>
          </w:p>
        </w:tc>
        <w:tc>
          <w:tcPr>
            <w:tcW w:w="6478" w:type="dxa"/>
            <w:vAlign w:val="center"/>
          </w:tcPr>
          <w:p w14:paraId="5F09F1D8">
            <w:pPr>
              <w:rPr>
                <w:bCs/>
                <w:color w:val="auto"/>
                <w:szCs w:val="21"/>
                <w:highlight w:val="none"/>
              </w:rPr>
            </w:pPr>
            <w:r>
              <w:rPr>
                <w:rFonts w:hAnsi="宋体"/>
                <w:bCs/>
                <w:color w:val="auto"/>
                <w:szCs w:val="21"/>
                <w:highlight w:val="none"/>
              </w:rPr>
              <w:t>采购人在响应文件递交截止日</w:t>
            </w:r>
            <w:r>
              <w:rPr>
                <w:bCs/>
                <w:color w:val="auto"/>
                <w:szCs w:val="21"/>
                <w:highlight w:val="none"/>
                <w:u w:val="single"/>
              </w:rPr>
              <w:t xml:space="preserve"> </w:t>
            </w:r>
            <w:r>
              <w:rPr>
                <w:rFonts w:hint="eastAsia"/>
                <w:bCs/>
                <w:color w:val="auto"/>
                <w:szCs w:val="21"/>
                <w:highlight w:val="none"/>
                <w:u w:val="single"/>
              </w:rPr>
              <w:t>1</w:t>
            </w:r>
            <w:r>
              <w:rPr>
                <w:rFonts w:hAnsi="宋体"/>
                <w:bCs/>
                <w:color w:val="auto"/>
                <w:szCs w:val="21"/>
                <w:highlight w:val="none"/>
                <w:u w:val="single"/>
              </w:rPr>
              <w:t>天</w:t>
            </w:r>
            <w:r>
              <w:rPr>
                <w:bCs/>
                <w:color w:val="auto"/>
                <w:szCs w:val="21"/>
                <w:highlight w:val="none"/>
                <w:u w:val="single"/>
              </w:rPr>
              <w:t xml:space="preserve"> </w:t>
            </w:r>
            <w:r>
              <w:rPr>
                <w:rFonts w:hAnsi="宋体"/>
                <w:bCs/>
                <w:color w:val="auto"/>
                <w:szCs w:val="21"/>
                <w:highlight w:val="none"/>
              </w:rPr>
              <w:t>前，可因任何原因，以</w:t>
            </w:r>
            <w:r>
              <w:rPr>
                <w:bCs/>
                <w:color w:val="auto"/>
                <w:szCs w:val="21"/>
                <w:highlight w:val="none"/>
              </w:rPr>
              <w:t>“</w:t>
            </w:r>
            <w:r>
              <w:rPr>
                <w:rFonts w:hAnsi="宋体"/>
                <w:bCs/>
                <w:color w:val="auto"/>
                <w:szCs w:val="21"/>
                <w:highlight w:val="none"/>
              </w:rPr>
              <w:t>补充采购文件</w:t>
            </w:r>
            <w:r>
              <w:rPr>
                <w:bCs/>
                <w:color w:val="auto"/>
                <w:szCs w:val="21"/>
                <w:highlight w:val="none"/>
              </w:rPr>
              <w:t>”</w:t>
            </w:r>
            <w:r>
              <w:rPr>
                <w:rFonts w:hAnsi="宋体"/>
                <w:bCs/>
                <w:color w:val="auto"/>
                <w:szCs w:val="21"/>
                <w:highlight w:val="none"/>
              </w:rPr>
              <w:t>形式对采购文件进行修改。</w:t>
            </w:r>
          </w:p>
        </w:tc>
      </w:tr>
      <w:tr w14:paraId="51AE5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26" w:hRule="atLeast"/>
          <w:jc w:val="center"/>
        </w:trPr>
        <w:tc>
          <w:tcPr>
            <w:tcW w:w="798" w:type="dxa"/>
            <w:vAlign w:val="center"/>
          </w:tcPr>
          <w:p w14:paraId="78511876">
            <w:pPr>
              <w:jc w:val="center"/>
              <w:rPr>
                <w:color w:val="auto"/>
                <w:szCs w:val="21"/>
                <w:highlight w:val="none"/>
              </w:rPr>
            </w:pPr>
            <w:r>
              <w:rPr>
                <w:rFonts w:hint="eastAsia"/>
                <w:color w:val="auto"/>
                <w:szCs w:val="21"/>
                <w:highlight w:val="none"/>
              </w:rPr>
              <w:t>8</w:t>
            </w:r>
          </w:p>
        </w:tc>
        <w:tc>
          <w:tcPr>
            <w:tcW w:w="1308" w:type="dxa"/>
            <w:vAlign w:val="center"/>
          </w:tcPr>
          <w:p w14:paraId="032C680A">
            <w:pPr>
              <w:ind w:left="-42" w:leftChars="-20" w:right="-42" w:rightChars="-20"/>
              <w:jc w:val="center"/>
              <w:rPr>
                <w:bCs/>
                <w:color w:val="auto"/>
                <w:szCs w:val="21"/>
                <w:highlight w:val="none"/>
              </w:rPr>
            </w:pPr>
            <w:r>
              <w:rPr>
                <w:rFonts w:hAnsi="宋体"/>
                <w:bCs/>
                <w:color w:val="auto"/>
                <w:szCs w:val="21"/>
                <w:highlight w:val="none"/>
              </w:rPr>
              <w:t>响应文件的份数</w:t>
            </w:r>
          </w:p>
        </w:tc>
        <w:tc>
          <w:tcPr>
            <w:tcW w:w="6478" w:type="dxa"/>
            <w:vAlign w:val="center"/>
          </w:tcPr>
          <w:p w14:paraId="411F98CE">
            <w:pPr>
              <w:rPr>
                <w:rFonts w:hint="eastAsia" w:hAnsi="宋体"/>
                <w:bCs/>
                <w:color w:val="auto"/>
                <w:szCs w:val="21"/>
                <w:highlight w:val="none"/>
              </w:rPr>
            </w:pPr>
            <w:r>
              <w:rPr>
                <w:rFonts w:hAnsi="宋体"/>
                <w:bCs/>
                <w:color w:val="auto"/>
                <w:szCs w:val="21"/>
                <w:highlight w:val="none"/>
              </w:rPr>
              <w:t>响应单位应按照</w:t>
            </w:r>
            <w:r>
              <w:rPr>
                <w:rFonts w:hint="eastAsia" w:hAnsi="宋体"/>
                <w:bCs/>
                <w:color w:val="auto"/>
                <w:szCs w:val="21"/>
                <w:highlight w:val="none"/>
              </w:rPr>
              <w:t>采购文件要求</w:t>
            </w:r>
            <w:r>
              <w:rPr>
                <w:rFonts w:hAnsi="宋体"/>
                <w:bCs/>
                <w:color w:val="auto"/>
                <w:szCs w:val="21"/>
                <w:highlight w:val="none"/>
              </w:rPr>
              <w:t>编制响应文件</w:t>
            </w:r>
            <w:r>
              <w:rPr>
                <w:rFonts w:hint="eastAsia" w:hAnsi="宋体"/>
                <w:bCs/>
                <w:color w:val="auto"/>
                <w:szCs w:val="21"/>
                <w:highlight w:val="none"/>
              </w:rPr>
              <w:t>。</w:t>
            </w:r>
          </w:p>
          <w:p w14:paraId="0F993E28">
            <w:pPr>
              <w:rPr>
                <w:bCs/>
                <w:color w:val="auto"/>
                <w:szCs w:val="21"/>
                <w:highlight w:val="none"/>
              </w:rPr>
            </w:pPr>
            <w:r>
              <w:rPr>
                <w:rFonts w:hint="eastAsia" w:hAnsi="宋体"/>
                <w:bCs/>
                <w:color w:val="auto"/>
                <w:szCs w:val="21"/>
                <w:highlight w:val="none"/>
              </w:rPr>
              <w:t>电子版响应文件要求：盖章签字响应文件完整扫描件（P</w:t>
            </w:r>
            <w:r>
              <w:rPr>
                <w:rFonts w:hAnsi="宋体"/>
                <w:bCs/>
                <w:color w:val="auto"/>
                <w:szCs w:val="21"/>
                <w:highlight w:val="none"/>
              </w:rPr>
              <w:t>DF</w:t>
            </w:r>
            <w:r>
              <w:rPr>
                <w:rFonts w:hint="eastAsia" w:hAnsi="宋体"/>
                <w:bCs/>
                <w:color w:val="auto"/>
                <w:szCs w:val="21"/>
                <w:highlight w:val="none"/>
              </w:rPr>
              <w:t>格式，彩色，清晰度不低于2</w:t>
            </w:r>
            <w:r>
              <w:rPr>
                <w:rFonts w:hAnsi="宋体"/>
                <w:bCs/>
                <w:color w:val="auto"/>
                <w:szCs w:val="21"/>
                <w:highlight w:val="none"/>
              </w:rPr>
              <w:t>00</w:t>
            </w:r>
            <w:r>
              <w:rPr>
                <w:rFonts w:hint="eastAsia" w:hAnsi="宋体"/>
                <w:bCs/>
                <w:color w:val="auto"/>
                <w:szCs w:val="21"/>
                <w:highlight w:val="none"/>
              </w:rPr>
              <w:t>dpi）</w:t>
            </w:r>
          </w:p>
        </w:tc>
      </w:tr>
      <w:tr w14:paraId="0D8EF1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39" w:hRule="atLeast"/>
          <w:jc w:val="center"/>
        </w:trPr>
        <w:tc>
          <w:tcPr>
            <w:tcW w:w="798" w:type="dxa"/>
            <w:vAlign w:val="center"/>
          </w:tcPr>
          <w:p w14:paraId="22A6E3B0">
            <w:pPr>
              <w:jc w:val="center"/>
              <w:rPr>
                <w:color w:val="auto"/>
                <w:szCs w:val="21"/>
                <w:highlight w:val="none"/>
              </w:rPr>
            </w:pPr>
            <w:r>
              <w:rPr>
                <w:rFonts w:hint="eastAsia"/>
                <w:color w:val="auto"/>
                <w:szCs w:val="21"/>
                <w:highlight w:val="none"/>
              </w:rPr>
              <w:t>9</w:t>
            </w:r>
          </w:p>
        </w:tc>
        <w:tc>
          <w:tcPr>
            <w:tcW w:w="1308" w:type="dxa"/>
            <w:vAlign w:val="center"/>
          </w:tcPr>
          <w:p w14:paraId="6D41FB29">
            <w:pPr>
              <w:ind w:left="-42" w:leftChars="-20" w:right="-42" w:rightChars="-20"/>
              <w:jc w:val="center"/>
              <w:rPr>
                <w:bCs/>
                <w:color w:val="auto"/>
                <w:szCs w:val="21"/>
                <w:highlight w:val="none"/>
              </w:rPr>
            </w:pPr>
            <w:r>
              <w:rPr>
                <w:rFonts w:hAnsi="宋体"/>
                <w:bCs/>
                <w:color w:val="auto"/>
                <w:szCs w:val="21"/>
                <w:highlight w:val="none"/>
              </w:rPr>
              <w:t>响应文件的封面</w:t>
            </w:r>
          </w:p>
        </w:tc>
        <w:tc>
          <w:tcPr>
            <w:tcW w:w="6478" w:type="dxa"/>
            <w:vAlign w:val="center"/>
          </w:tcPr>
          <w:p w14:paraId="2DC38082">
            <w:pPr>
              <w:rPr>
                <w:rFonts w:hint="eastAsia" w:hAnsi="宋体"/>
                <w:bCs/>
                <w:color w:val="auto"/>
                <w:szCs w:val="21"/>
                <w:highlight w:val="none"/>
              </w:rPr>
            </w:pPr>
            <w:r>
              <w:rPr>
                <w:rFonts w:hAnsi="宋体"/>
                <w:bCs/>
                <w:color w:val="auto"/>
                <w:szCs w:val="21"/>
                <w:highlight w:val="none"/>
              </w:rPr>
              <w:t>响应文件为A4大小</w:t>
            </w:r>
            <w:r>
              <w:rPr>
                <w:rFonts w:hint="eastAsia" w:hAnsi="宋体"/>
                <w:bCs/>
                <w:color w:val="auto"/>
                <w:szCs w:val="21"/>
                <w:highlight w:val="none"/>
              </w:rPr>
              <w:t>，采用胶装方式装订；</w:t>
            </w:r>
          </w:p>
          <w:p w14:paraId="1502E811">
            <w:pPr>
              <w:rPr>
                <w:rFonts w:hint="eastAsia" w:hAnsi="宋体"/>
                <w:bCs/>
                <w:color w:val="auto"/>
                <w:szCs w:val="21"/>
                <w:highlight w:val="none"/>
              </w:rPr>
            </w:pPr>
            <w:r>
              <w:rPr>
                <w:rFonts w:hAnsi="宋体"/>
                <w:bCs/>
                <w:color w:val="auto"/>
                <w:szCs w:val="21"/>
                <w:highlight w:val="none"/>
              </w:rPr>
              <w:t>封面均</w:t>
            </w:r>
            <w:r>
              <w:rPr>
                <w:rFonts w:hint="eastAsia" w:hAnsi="宋体"/>
                <w:bCs/>
                <w:color w:val="auto"/>
                <w:szCs w:val="21"/>
                <w:highlight w:val="none"/>
              </w:rPr>
              <w:t>按采购文件要求</w:t>
            </w:r>
            <w:r>
              <w:rPr>
                <w:rFonts w:hAnsi="宋体"/>
                <w:bCs/>
                <w:color w:val="auto"/>
                <w:szCs w:val="21"/>
                <w:highlight w:val="none"/>
              </w:rPr>
              <w:t>以</w:t>
            </w:r>
            <w:r>
              <w:rPr>
                <w:rFonts w:hint="eastAsia" w:hAnsi="宋体"/>
                <w:bCs/>
                <w:color w:val="auto"/>
                <w:szCs w:val="21"/>
                <w:highlight w:val="none"/>
              </w:rPr>
              <w:t>黑体字标明工程名称；</w:t>
            </w:r>
          </w:p>
          <w:p w14:paraId="490DDE27">
            <w:pPr>
              <w:rPr>
                <w:rFonts w:hint="eastAsia" w:hAnsi="宋体"/>
                <w:bCs/>
                <w:color w:val="auto"/>
                <w:szCs w:val="21"/>
                <w:highlight w:val="none"/>
              </w:rPr>
            </w:pPr>
            <w:r>
              <w:rPr>
                <w:rFonts w:hint="eastAsia" w:hAnsi="宋体"/>
                <w:bCs/>
                <w:color w:val="auto"/>
                <w:szCs w:val="21"/>
                <w:highlight w:val="none"/>
              </w:rPr>
              <w:t>封面内容、格式见“</w:t>
            </w:r>
            <w:r>
              <w:rPr>
                <w:color w:val="auto"/>
                <w:highlight w:val="none"/>
              </w:rPr>
              <w:t>第</w:t>
            </w:r>
            <w:r>
              <w:rPr>
                <w:rFonts w:hint="eastAsia"/>
                <w:color w:val="auto"/>
                <w:highlight w:val="none"/>
              </w:rPr>
              <w:t>六</w:t>
            </w:r>
            <w:r>
              <w:rPr>
                <w:color w:val="auto"/>
                <w:highlight w:val="none"/>
              </w:rPr>
              <w:t>篇  响应文件格式</w:t>
            </w:r>
            <w:r>
              <w:rPr>
                <w:rFonts w:hint="eastAsia"/>
                <w:color w:val="auto"/>
                <w:highlight w:val="none"/>
              </w:rPr>
              <w:t>”</w:t>
            </w:r>
          </w:p>
        </w:tc>
      </w:tr>
      <w:tr w14:paraId="2CDB3B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28" w:hRule="atLeast"/>
          <w:jc w:val="center"/>
        </w:trPr>
        <w:tc>
          <w:tcPr>
            <w:tcW w:w="798" w:type="dxa"/>
            <w:vAlign w:val="center"/>
          </w:tcPr>
          <w:p w14:paraId="087798D0">
            <w:pPr>
              <w:jc w:val="center"/>
              <w:rPr>
                <w:color w:val="auto"/>
                <w:szCs w:val="21"/>
                <w:highlight w:val="none"/>
              </w:rPr>
            </w:pPr>
            <w:r>
              <w:rPr>
                <w:color w:val="auto"/>
                <w:szCs w:val="21"/>
                <w:highlight w:val="none"/>
              </w:rPr>
              <w:t>1</w:t>
            </w:r>
            <w:r>
              <w:rPr>
                <w:rFonts w:hint="eastAsia"/>
                <w:color w:val="auto"/>
                <w:szCs w:val="21"/>
                <w:highlight w:val="none"/>
              </w:rPr>
              <w:t>0</w:t>
            </w:r>
          </w:p>
        </w:tc>
        <w:tc>
          <w:tcPr>
            <w:tcW w:w="1308" w:type="dxa"/>
            <w:vAlign w:val="center"/>
          </w:tcPr>
          <w:p w14:paraId="5BF990A8">
            <w:pPr>
              <w:ind w:left="-42" w:leftChars="-20" w:right="-42" w:rightChars="-20"/>
              <w:jc w:val="center"/>
              <w:rPr>
                <w:bCs/>
                <w:color w:val="auto"/>
                <w:szCs w:val="21"/>
                <w:highlight w:val="none"/>
              </w:rPr>
            </w:pPr>
            <w:r>
              <w:rPr>
                <w:rFonts w:hAnsi="宋体"/>
                <w:bCs/>
                <w:color w:val="auto"/>
                <w:szCs w:val="21"/>
                <w:highlight w:val="none"/>
              </w:rPr>
              <w:t>响应文件</w:t>
            </w:r>
          </w:p>
          <w:p w14:paraId="1D921F11">
            <w:pPr>
              <w:jc w:val="center"/>
              <w:rPr>
                <w:bCs/>
                <w:color w:val="auto"/>
                <w:szCs w:val="21"/>
                <w:highlight w:val="none"/>
              </w:rPr>
            </w:pPr>
            <w:r>
              <w:rPr>
                <w:rFonts w:hAnsi="宋体"/>
                <w:bCs/>
                <w:color w:val="auto"/>
                <w:szCs w:val="21"/>
                <w:highlight w:val="none"/>
              </w:rPr>
              <w:t>有效期</w:t>
            </w:r>
          </w:p>
        </w:tc>
        <w:tc>
          <w:tcPr>
            <w:tcW w:w="6478" w:type="dxa"/>
            <w:vAlign w:val="center"/>
          </w:tcPr>
          <w:p w14:paraId="7AAB2753">
            <w:pPr>
              <w:rPr>
                <w:bCs/>
                <w:color w:val="auto"/>
                <w:szCs w:val="21"/>
                <w:highlight w:val="none"/>
              </w:rPr>
            </w:pPr>
            <w:r>
              <w:rPr>
                <w:rFonts w:hAnsi="宋体"/>
                <w:bCs/>
                <w:color w:val="auto"/>
                <w:szCs w:val="21"/>
                <w:highlight w:val="none"/>
              </w:rPr>
              <w:t>自响应文件递交截止日后</w:t>
            </w:r>
            <w:r>
              <w:rPr>
                <w:rFonts w:hint="eastAsia"/>
                <w:bCs/>
                <w:color w:val="auto"/>
                <w:szCs w:val="21"/>
                <w:highlight w:val="none"/>
              </w:rPr>
              <w:t>90</w:t>
            </w:r>
            <w:r>
              <w:rPr>
                <w:rFonts w:hAnsi="宋体"/>
                <w:bCs/>
                <w:color w:val="auto"/>
                <w:szCs w:val="21"/>
                <w:highlight w:val="none"/>
              </w:rPr>
              <w:t>日历天。</w:t>
            </w:r>
          </w:p>
        </w:tc>
      </w:tr>
      <w:tr w14:paraId="432E2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750" w:hRule="atLeast"/>
          <w:jc w:val="center"/>
        </w:trPr>
        <w:tc>
          <w:tcPr>
            <w:tcW w:w="798" w:type="dxa"/>
            <w:vAlign w:val="center"/>
          </w:tcPr>
          <w:p w14:paraId="0CC0CDAD">
            <w:pPr>
              <w:jc w:val="center"/>
              <w:rPr>
                <w:color w:val="auto"/>
                <w:szCs w:val="21"/>
                <w:highlight w:val="none"/>
              </w:rPr>
            </w:pPr>
            <w:r>
              <w:rPr>
                <w:color w:val="auto"/>
                <w:szCs w:val="21"/>
                <w:highlight w:val="none"/>
              </w:rPr>
              <w:t>1</w:t>
            </w:r>
            <w:r>
              <w:rPr>
                <w:rFonts w:hint="eastAsia"/>
                <w:color w:val="auto"/>
                <w:szCs w:val="21"/>
                <w:highlight w:val="none"/>
              </w:rPr>
              <w:t>1</w:t>
            </w:r>
          </w:p>
        </w:tc>
        <w:tc>
          <w:tcPr>
            <w:tcW w:w="1308" w:type="dxa"/>
            <w:vAlign w:val="center"/>
          </w:tcPr>
          <w:p w14:paraId="1308A316">
            <w:pPr>
              <w:ind w:left="-42" w:leftChars="-20" w:right="-42" w:rightChars="-20"/>
              <w:jc w:val="center"/>
              <w:rPr>
                <w:bCs/>
                <w:color w:val="auto"/>
                <w:szCs w:val="21"/>
                <w:highlight w:val="none"/>
              </w:rPr>
            </w:pPr>
            <w:r>
              <w:rPr>
                <w:rFonts w:hAnsi="宋体"/>
                <w:bCs/>
                <w:color w:val="auto"/>
                <w:szCs w:val="21"/>
                <w:highlight w:val="none"/>
              </w:rPr>
              <w:t>响应担保</w:t>
            </w:r>
          </w:p>
        </w:tc>
        <w:tc>
          <w:tcPr>
            <w:tcW w:w="6478" w:type="dxa"/>
            <w:vAlign w:val="center"/>
          </w:tcPr>
          <w:p w14:paraId="7D666D21">
            <w:pPr>
              <w:rPr>
                <w:rFonts w:hint="eastAsia" w:hAnsi="宋体"/>
                <w:bCs/>
                <w:color w:val="auto"/>
                <w:szCs w:val="21"/>
                <w:highlight w:val="none"/>
              </w:rPr>
            </w:pPr>
            <w:r>
              <w:rPr>
                <w:rFonts w:hint="eastAsia" w:hAnsi="宋体"/>
                <w:bCs/>
                <w:color w:val="auto"/>
                <w:szCs w:val="21"/>
                <w:highlight w:val="none"/>
              </w:rPr>
              <w:t>响应担保金额：小写：</w:t>
            </w:r>
            <w:r>
              <w:rPr>
                <w:rFonts w:hint="eastAsia" w:hAnsi="宋体"/>
                <w:bCs/>
                <w:color w:val="auto"/>
                <w:szCs w:val="21"/>
                <w:highlight w:val="none"/>
                <w:lang w:val="en-US" w:eastAsia="zh-CN"/>
              </w:rPr>
              <w:t>20000</w:t>
            </w:r>
            <w:r>
              <w:rPr>
                <w:rFonts w:hint="eastAsia" w:hAnsi="宋体"/>
                <w:bCs/>
                <w:color w:val="auto"/>
                <w:szCs w:val="21"/>
                <w:highlight w:val="none"/>
              </w:rPr>
              <w:t>大写：</w:t>
            </w:r>
            <w:r>
              <w:rPr>
                <w:rFonts w:hint="eastAsia" w:hAnsi="宋体"/>
                <w:bCs/>
                <w:color w:val="auto"/>
                <w:szCs w:val="21"/>
                <w:highlight w:val="none"/>
                <w:u w:val="single"/>
              </w:rPr>
              <w:t xml:space="preserve"> </w:t>
            </w:r>
            <w:r>
              <w:rPr>
                <w:rFonts w:hint="eastAsia" w:hAnsi="宋体"/>
                <w:bCs/>
                <w:color w:val="auto"/>
                <w:szCs w:val="21"/>
                <w:highlight w:val="none"/>
                <w:u w:val="single"/>
                <w:lang w:val="en-US" w:eastAsia="zh-CN"/>
              </w:rPr>
              <w:t>贰</w:t>
            </w:r>
            <w:r>
              <w:rPr>
                <w:rFonts w:hint="eastAsia" w:hAnsi="宋体"/>
                <w:bCs/>
                <w:color w:val="auto"/>
                <w:szCs w:val="21"/>
                <w:highlight w:val="none"/>
                <w:u w:val="single"/>
              </w:rPr>
              <w:t>万元</w:t>
            </w:r>
            <w:r>
              <w:rPr>
                <w:rFonts w:hint="eastAsia" w:hAnsi="宋体"/>
                <w:bCs/>
                <w:color w:val="auto"/>
                <w:szCs w:val="21"/>
                <w:highlight w:val="none"/>
              </w:rPr>
              <w:t>整</w:t>
            </w:r>
          </w:p>
          <w:p w14:paraId="122EAC5C">
            <w:pPr>
              <w:rPr>
                <w:rFonts w:hint="eastAsia" w:hAnsi="宋体"/>
                <w:bCs/>
                <w:color w:val="auto"/>
                <w:szCs w:val="21"/>
                <w:highlight w:val="none"/>
              </w:rPr>
            </w:pPr>
            <w:r>
              <w:rPr>
                <w:rFonts w:hint="eastAsia" w:hAnsi="宋体"/>
                <w:bCs/>
                <w:color w:val="auto"/>
                <w:szCs w:val="21"/>
                <w:highlight w:val="none"/>
              </w:rPr>
              <w:t>响应保证金，在上交响应文件之前电汇汇入下列账户</w:t>
            </w:r>
          </w:p>
          <w:p w14:paraId="3D1C5669">
            <w:pPr>
              <w:rPr>
                <w:rFonts w:hint="eastAsia" w:hAnsi="宋体"/>
                <w:bCs/>
                <w:color w:val="auto"/>
                <w:szCs w:val="21"/>
                <w:highlight w:val="none"/>
                <w:lang w:val="en-US" w:eastAsia="zh-CN"/>
              </w:rPr>
            </w:pPr>
            <w:r>
              <w:rPr>
                <w:rFonts w:hAnsi="宋体"/>
                <w:bCs/>
                <w:color w:val="auto"/>
                <w:szCs w:val="21"/>
                <w:highlight w:val="none"/>
              </w:rPr>
              <w:t>账户名</w:t>
            </w:r>
            <w:r>
              <w:rPr>
                <w:rFonts w:hint="eastAsia" w:ascii="Times New Roman" w:hAnsi="宋体" w:eastAsia="宋体" w:cs="Times New Roman"/>
                <w:bCs/>
                <w:color w:val="auto"/>
                <w:szCs w:val="21"/>
                <w:highlight w:val="none"/>
              </w:rPr>
              <w:t>称：中建路桥集团第二工程有限公司</w:t>
            </w:r>
          </w:p>
          <w:p w14:paraId="3A650F60">
            <w:pPr>
              <w:rPr>
                <w:rFonts w:hAnsi="宋体"/>
                <w:bCs/>
                <w:color w:val="auto"/>
                <w:szCs w:val="21"/>
                <w:highlight w:val="none"/>
              </w:rPr>
            </w:pPr>
            <w:r>
              <w:rPr>
                <w:rFonts w:hAnsi="宋体"/>
                <w:bCs/>
                <w:color w:val="auto"/>
                <w:szCs w:val="21"/>
                <w:highlight w:val="none"/>
              </w:rPr>
              <w:t>账</w:t>
            </w:r>
            <w:r>
              <w:rPr>
                <w:rFonts w:hint="eastAsia" w:hAnsi="宋体"/>
                <w:bCs/>
                <w:color w:val="auto"/>
                <w:szCs w:val="21"/>
                <w:highlight w:val="none"/>
              </w:rPr>
              <w:t xml:space="preserve">    </w:t>
            </w:r>
            <w:r>
              <w:rPr>
                <w:rFonts w:hAnsi="宋体"/>
                <w:bCs/>
                <w:color w:val="auto"/>
                <w:szCs w:val="21"/>
                <w:highlight w:val="none"/>
              </w:rPr>
              <w:t>号</w:t>
            </w:r>
            <w:r>
              <w:rPr>
                <w:rFonts w:hint="eastAsia" w:ascii="Times New Roman" w:hAnsi="宋体" w:eastAsia="宋体" w:cs="Times New Roman"/>
                <w:bCs/>
                <w:color w:val="auto"/>
                <w:szCs w:val="21"/>
                <w:highlight w:val="none"/>
              </w:rPr>
              <w:t xml:space="preserve">：800136608100016 </w:t>
            </w:r>
          </w:p>
          <w:p w14:paraId="117554AA">
            <w:pPr>
              <w:rPr>
                <w:rFonts w:hint="eastAsia"/>
                <w:color w:val="auto"/>
                <w:highlight w:val="none"/>
              </w:rPr>
            </w:pPr>
            <w:r>
              <w:rPr>
                <w:rFonts w:hAnsi="宋体"/>
                <w:bCs/>
                <w:color w:val="auto"/>
                <w:szCs w:val="21"/>
                <w:highlight w:val="none"/>
              </w:rPr>
              <w:t>开户银</w:t>
            </w:r>
            <w:r>
              <w:rPr>
                <w:rFonts w:hint="eastAsia" w:ascii="Times New Roman" w:hAnsi="宋体" w:eastAsia="宋体" w:cs="Times New Roman"/>
                <w:bCs/>
                <w:color w:val="auto"/>
                <w:szCs w:val="21"/>
                <w:highlight w:val="none"/>
              </w:rPr>
              <w:t>行：广西北部湾银行南宁市琅东支行</w:t>
            </w:r>
          </w:p>
          <w:p w14:paraId="0D5763E2">
            <w:pPr>
              <w:rPr>
                <w:rFonts w:hint="eastAsia" w:hAnsi="宋体"/>
                <w:bCs/>
                <w:color w:val="auto"/>
                <w:szCs w:val="21"/>
                <w:highlight w:val="none"/>
              </w:rPr>
            </w:pPr>
            <w:r>
              <w:rPr>
                <w:rFonts w:hint="eastAsia" w:hAnsi="宋体"/>
                <w:bCs/>
                <w:color w:val="auto"/>
                <w:szCs w:val="21"/>
                <w:highlight w:val="none"/>
              </w:rPr>
              <w:t>重要说明：以</w:t>
            </w:r>
            <w:r>
              <w:rPr>
                <w:rFonts w:hint="eastAsia" w:hAnsi="宋体"/>
                <w:bCs/>
                <w:color w:val="auto"/>
                <w:szCs w:val="21"/>
                <w:highlight w:val="none"/>
                <w:lang w:val="en-US" w:eastAsia="zh-CN"/>
              </w:rPr>
              <w:t>响应单位</w:t>
            </w:r>
            <w:r>
              <w:rPr>
                <w:rFonts w:hint="eastAsia" w:hAnsi="宋体"/>
                <w:bCs/>
                <w:color w:val="auto"/>
                <w:szCs w:val="21"/>
                <w:highlight w:val="none"/>
              </w:rPr>
              <w:t>基本账户汇入，请注明“</w:t>
            </w:r>
            <w:r>
              <w:rPr>
                <w:rFonts w:hint="eastAsia" w:hAnsi="宋体"/>
                <w:bCs/>
                <w:color w:val="auto"/>
                <w:szCs w:val="21"/>
                <w:highlight w:val="none"/>
                <w:lang w:eastAsia="zh-CN"/>
              </w:rPr>
              <w:t>海兴高速项目钢板桩施工施工</w:t>
            </w:r>
            <w:r>
              <w:rPr>
                <w:rFonts w:hint="eastAsia" w:hAnsi="宋体"/>
                <w:bCs/>
                <w:color w:val="auto"/>
                <w:szCs w:val="21"/>
                <w:highlight w:val="none"/>
              </w:rPr>
              <w:t>工程</w:t>
            </w:r>
            <w:r>
              <w:rPr>
                <w:rFonts w:hint="eastAsia" w:hAnsi="宋体"/>
                <w:bCs/>
                <w:color w:val="auto"/>
                <w:szCs w:val="21"/>
                <w:highlight w:val="none"/>
                <w:lang w:val="en-US" w:eastAsia="zh-CN"/>
              </w:rPr>
              <w:t>响应</w:t>
            </w:r>
            <w:r>
              <w:rPr>
                <w:rFonts w:hint="eastAsia"/>
                <w:color w:val="auto"/>
                <w:highlight w:val="none"/>
                <w:lang w:val="en-US" w:eastAsia="zh-CN"/>
              </w:rPr>
              <w:t>保证金</w:t>
            </w:r>
            <w:r>
              <w:rPr>
                <w:rFonts w:hint="eastAsia" w:hAnsi="宋体"/>
                <w:bCs/>
                <w:color w:val="auto"/>
                <w:szCs w:val="21"/>
                <w:highlight w:val="none"/>
              </w:rPr>
              <w:t>”。</w:t>
            </w:r>
          </w:p>
          <w:p w14:paraId="04FBC4A5">
            <w:pPr>
              <w:rPr>
                <w:rFonts w:hint="default" w:hAnsi="宋体" w:eastAsia="宋体"/>
                <w:bCs/>
                <w:color w:val="auto"/>
                <w:szCs w:val="21"/>
                <w:highlight w:val="none"/>
                <w:lang w:val="en-US" w:eastAsia="zh-CN"/>
              </w:rPr>
            </w:pPr>
            <w:r>
              <w:rPr>
                <w:rFonts w:hint="eastAsia" w:hAnsi="宋体"/>
                <w:bCs/>
                <w:color w:val="auto"/>
                <w:szCs w:val="21"/>
                <w:highlight w:val="none"/>
                <w:lang w:val="en-US" w:eastAsia="zh-CN"/>
              </w:rPr>
              <w:t>响应单位提供响应担保时也可选择电子保函（保险）等方式，由响应单位自主进行选择。</w:t>
            </w:r>
          </w:p>
          <w:p w14:paraId="74DC6916">
            <w:pPr>
              <w:rPr>
                <w:rFonts w:hint="eastAsia" w:hAnsi="宋体"/>
                <w:b/>
                <w:color w:val="auto"/>
                <w:szCs w:val="21"/>
                <w:highlight w:val="none"/>
              </w:rPr>
            </w:pPr>
            <w:r>
              <w:rPr>
                <w:rFonts w:hint="eastAsia" w:hAnsi="宋体"/>
                <w:b/>
                <w:bCs w:val="0"/>
                <w:color w:val="auto"/>
                <w:szCs w:val="21"/>
                <w:highlight w:val="none"/>
              </w:rPr>
              <w:t>采用银行保函时，须为见索即付保函</w:t>
            </w:r>
            <w:r>
              <w:rPr>
                <w:rFonts w:hint="eastAsia" w:hAnsi="宋体"/>
                <w:bCs/>
                <w:color w:val="auto"/>
                <w:szCs w:val="21"/>
                <w:highlight w:val="none"/>
              </w:rPr>
              <w:t>。</w:t>
            </w:r>
          </w:p>
        </w:tc>
      </w:tr>
      <w:tr w14:paraId="72D14A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247" w:hRule="atLeast"/>
          <w:jc w:val="center"/>
        </w:trPr>
        <w:tc>
          <w:tcPr>
            <w:tcW w:w="798" w:type="dxa"/>
            <w:vAlign w:val="center"/>
          </w:tcPr>
          <w:p w14:paraId="0F2503D5">
            <w:pPr>
              <w:jc w:val="center"/>
              <w:rPr>
                <w:color w:val="auto"/>
                <w:szCs w:val="21"/>
                <w:highlight w:val="none"/>
              </w:rPr>
            </w:pPr>
            <w:r>
              <w:rPr>
                <w:rFonts w:hint="eastAsia"/>
                <w:color w:val="auto"/>
                <w:szCs w:val="21"/>
                <w:highlight w:val="none"/>
              </w:rPr>
              <w:t xml:space="preserve">12 </w:t>
            </w:r>
          </w:p>
        </w:tc>
        <w:tc>
          <w:tcPr>
            <w:tcW w:w="1308" w:type="dxa"/>
            <w:vAlign w:val="center"/>
          </w:tcPr>
          <w:p w14:paraId="1D6C1936">
            <w:pPr>
              <w:ind w:left="-42" w:leftChars="-20" w:right="-42" w:rightChars="-20"/>
              <w:jc w:val="center"/>
              <w:rPr>
                <w:rFonts w:hint="eastAsia" w:hAnsi="宋体"/>
                <w:bCs/>
                <w:color w:val="auto"/>
                <w:szCs w:val="21"/>
                <w:highlight w:val="none"/>
              </w:rPr>
            </w:pPr>
            <w:r>
              <w:rPr>
                <w:rFonts w:hAnsi="宋体"/>
                <w:bCs/>
                <w:color w:val="auto"/>
                <w:szCs w:val="21"/>
                <w:highlight w:val="none"/>
              </w:rPr>
              <w:t>采购控制价</w:t>
            </w:r>
          </w:p>
        </w:tc>
        <w:tc>
          <w:tcPr>
            <w:tcW w:w="6478" w:type="dxa"/>
            <w:vAlign w:val="center"/>
          </w:tcPr>
          <w:p w14:paraId="4B12CFBC">
            <w:pPr>
              <w:rPr>
                <w:rFonts w:hint="eastAsia" w:hAnsi="宋体"/>
                <w:bCs/>
                <w:color w:val="auto"/>
                <w:szCs w:val="21"/>
                <w:highlight w:val="none"/>
                <w:u w:val="single"/>
              </w:rPr>
            </w:pPr>
            <w:r>
              <w:rPr>
                <w:rFonts w:hAnsi="宋体"/>
                <w:bCs/>
                <w:color w:val="auto"/>
                <w:szCs w:val="21"/>
                <w:highlight w:val="none"/>
              </w:rPr>
              <w:t>最高</w:t>
            </w:r>
            <w:r>
              <w:rPr>
                <w:rFonts w:hint="eastAsia" w:hAnsi="宋体"/>
                <w:bCs/>
                <w:color w:val="auto"/>
                <w:szCs w:val="21"/>
                <w:highlight w:val="none"/>
              </w:rPr>
              <w:t>采购</w:t>
            </w:r>
            <w:r>
              <w:rPr>
                <w:rFonts w:hAnsi="宋体"/>
                <w:bCs/>
                <w:color w:val="auto"/>
                <w:szCs w:val="21"/>
                <w:highlight w:val="none"/>
              </w:rPr>
              <w:t>限价为</w:t>
            </w:r>
            <w:r>
              <w:rPr>
                <w:rFonts w:hint="eastAsia" w:hAnsi="宋体"/>
                <w:bCs/>
                <w:color w:val="auto"/>
                <w:szCs w:val="21"/>
                <w:highlight w:val="none"/>
                <w:u w:val="single"/>
              </w:rPr>
              <w:t xml:space="preserve"> </w:t>
            </w:r>
            <w:r>
              <w:rPr>
                <w:rFonts w:hint="eastAsia" w:hAnsi="宋体"/>
                <w:bCs/>
                <w:color w:val="auto"/>
                <w:szCs w:val="21"/>
                <w:highlight w:val="none"/>
                <w:u w:val="single"/>
                <w:lang w:val="en-US" w:eastAsia="zh-CN"/>
              </w:rPr>
              <w:t>3891861.27</w:t>
            </w:r>
            <w:r>
              <w:rPr>
                <w:rFonts w:hint="eastAsia" w:hAnsi="宋体"/>
                <w:bCs/>
                <w:color w:val="auto"/>
                <w:szCs w:val="21"/>
                <w:highlight w:val="none"/>
              </w:rPr>
              <w:t>元</w:t>
            </w:r>
            <w:r>
              <w:rPr>
                <w:rFonts w:hint="eastAsia" w:hAnsi="宋体"/>
                <w:bCs/>
                <w:color w:val="auto"/>
                <w:szCs w:val="21"/>
                <w:highlight w:val="none"/>
              </w:rPr>
              <w:t>，报价金额超过最高采购限价的，按废标处理。</w:t>
            </w:r>
          </w:p>
        </w:tc>
      </w:tr>
      <w:tr w14:paraId="03C2BA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41B3CC93">
            <w:pPr>
              <w:jc w:val="center"/>
              <w:rPr>
                <w:color w:val="auto"/>
                <w:szCs w:val="21"/>
                <w:highlight w:val="none"/>
              </w:rPr>
            </w:pPr>
            <w:r>
              <w:rPr>
                <w:color w:val="auto"/>
                <w:szCs w:val="21"/>
                <w:highlight w:val="none"/>
              </w:rPr>
              <w:t>13</w:t>
            </w:r>
          </w:p>
        </w:tc>
        <w:tc>
          <w:tcPr>
            <w:tcW w:w="1308" w:type="dxa"/>
            <w:vAlign w:val="center"/>
          </w:tcPr>
          <w:p w14:paraId="359FB49E">
            <w:pPr>
              <w:ind w:left="-42" w:leftChars="-20" w:right="-42" w:rightChars="-20"/>
              <w:jc w:val="center"/>
              <w:rPr>
                <w:rFonts w:hint="eastAsia" w:hAnsi="宋体"/>
                <w:bCs/>
                <w:color w:val="auto"/>
                <w:szCs w:val="21"/>
                <w:highlight w:val="none"/>
              </w:rPr>
            </w:pPr>
            <w:r>
              <w:rPr>
                <w:rFonts w:hint="eastAsia" w:hAnsi="宋体"/>
                <w:bCs/>
                <w:color w:val="auto"/>
                <w:szCs w:val="21"/>
                <w:highlight w:val="none"/>
              </w:rPr>
              <w:t>响应</w:t>
            </w:r>
            <w:r>
              <w:rPr>
                <w:rFonts w:hAnsi="宋体"/>
                <w:bCs/>
                <w:color w:val="auto"/>
                <w:szCs w:val="21"/>
                <w:highlight w:val="none"/>
              </w:rPr>
              <w:t>截止</w:t>
            </w:r>
          </w:p>
          <w:p w14:paraId="7677B63A">
            <w:pPr>
              <w:ind w:left="-42" w:leftChars="-20" w:right="-42" w:rightChars="-20"/>
              <w:jc w:val="center"/>
              <w:rPr>
                <w:bCs/>
                <w:color w:val="auto"/>
                <w:szCs w:val="21"/>
                <w:highlight w:val="none"/>
              </w:rPr>
            </w:pPr>
            <w:r>
              <w:rPr>
                <w:rFonts w:hAnsi="宋体"/>
                <w:bCs/>
                <w:color w:val="auto"/>
                <w:szCs w:val="21"/>
                <w:highlight w:val="none"/>
              </w:rPr>
              <w:t>时间</w:t>
            </w:r>
          </w:p>
        </w:tc>
        <w:tc>
          <w:tcPr>
            <w:tcW w:w="6478" w:type="dxa"/>
            <w:vAlign w:val="center"/>
          </w:tcPr>
          <w:p w14:paraId="41E9530E">
            <w:pPr>
              <w:rPr>
                <w:bCs/>
                <w:color w:val="auto"/>
                <w:szCs w:val="21"/>
                <w:highlight w:val="none"/>
              </w:rPr>
            </w:pPr>
            <w:r>
              <w:rPr>
                <w:rFonts w:hint="eastAsia" w:hAnsi="宋体"/>
                <w:color w:val="auto"/>
                <w:szCs w:val="21"/>
                <w:highlight w:val="none"/>
                <w:u w:val="single"/>
              </w:rPr>
              <w:t>海兴高速项目</w:t>
            </w:r>
            <w:r>
              <w:rPr>
                <w:rFonts w:hint="eastAsia" w:hAnsi="宋体"/>
                <w:color w:val="auto"/>
                <w:szCs w:val="21"/>
                <w:highlight w:val="none"/>
                <w:u w:val="single"/>
                <w:lang w:eastAsia="zh-CN"/>
              </w:rPr>
              <w:t>钢板桩施工</w:t>
            </w:r>
            <w:r>
              <w:rPr>
                <w:rFonts w:hint="eastAsia" w:hAnsi="宋体"/>
                <w:color w:val="auto"/>
                <w:szCs w:val="21"/>
                <w:highlight w:val="none"/>
                <w:u w:val="single"/>
              </w:rPr>
              <w:t>施工分包工程</w:t>
            </w:r>
            <w:r>
              <w:rPr>
                <w:rFonts w:hint="eastAsia" w:hAnsi="宋体"/>
                <w:bCs/>
                <w:color w:val="auto"/>
                <w:szCs w:val="21"/>
                <w:highlight w:val="none"/>
                <w:lang w:val="en-US" w:eastAsia="zh-CN"/>
              </w:rPr>
              <w:t>采购</w:t>
            </w:r>
            <w:r>
              <w:rPr>
                <w:rFonts w:hAnsi="宋体"/>
                <w:bCs/>
                <w:color w:val="auto"/>
                <w:szCs w:val="21"/>
                <w:highlight w:val="none"/>
              </w:rPr>
              <w:t>文件</w:t>
            </w:r>
            <w:r>
              <w:rPr>
                <w:rFonts w:hint="eastAsia" w:hAnsi="宋体"/>
                <w:bCs/>
                <w:color w:val="auto"/>
                <w:szCs w:val="21"/>
                <w:highlight w:val="none"/>
                <w:lang w:eastAsia="zh-CN"/>
              </w:rPr>
              <w:t>；</w:t>
            </w:r>
            <w:r>
              <w:rPr>
                <w:rFonts w:hAnsi="宋体"/>
                <w:bCs/>
                <w:color w:val="auto"/>
                <w:szCs w:val="21"/>
                <w:highlight w:val="none"/>
              </w:rPr>
              <w:t>本文件在</w:t>
            </w:r>
            <w:r>
              <w:rPr>
                <w:rFonts w:hint="eastAsia"/>
                <w:bCs/>
                <w:color w:val="auto"/>
                <w:szCs w:val="21"/>
                <w:highlight w:val="none"/>
                <w:lang w:val="en-US" w:eastAsia="zh-CN"/>
              </w:rPr>
              <w:t>2026</w:t>
            </w:r>
            <w:r>
              <w:rPr>
                <w:rFonts w:hAnsi="宋体"/>
                <w:bCs/>
                <w:color w:val="auto"/>
                <w:szCs w:val="21"/>
                <w:highlight w:val="none"/>
              </w:rPr>
              <w:t>年</w:t>
            </w:r>
            <w:r>
              <w:rPr>
                <w:rFonts w:hint="eastAsia"/>
                <w:bCs/>
                <w:color w:val="auto"/>
                <w:szCs w:val="21"/>
                <w:highlight w:val="none"/>
              </w:rPr>
              <w:t xml:space="preserve"> </w:t>
            </w:r>
            <w:r>
              <w:rPr>
                <w:rFonts w:hint="eastAsia"/>
                <w:bCs/>
                <w:color w:val="auto"/>
                <w:szCs w:val="21"/>
                <w:highlight w:val="none"/>
                <w:lang w:val="en-US" w:eastAsia="zh-CN"/>
              </w:rPr>
              <w:t xml:space="preserve">10 </w:t>
            </w:r>
            <w:r>
              <w:rPr>
                <w:rFonts w:hAnsi="宋体"/>
                <w:bCs/>
                <w:color w:val="auto"/>
                <w:szCs w:val="21"/>
                <w:highlight w:val="none"/>
              </w:rPr>
              <w:t>月</w:t>
            </w:r>
            <w:r>
              <w:rPr>
                <w:rFonts w:hint="eastAsia" w:hAnsi="宋体"/>
                <w:bCs/>
                <w:color w:val="auto"/>
                <w:szCs w:val="21"/>
                <w:highlight w:val="none"/>
                <w:lang w:val="en-US" w:eastAsia="zh-CN"/>
              </w:rPr>
              <w:t>30</w:t>
            </w:r>
            <w:r>
              <w:rPr>
                <w:rFonts w:hAnsi="宋体"/>
                <w:bCs/>
                <w:color w:val="auto"/>
                <w:szCs w:val="21"/>
                <w:highlight w:val="none"/>
              </w:rPr>
              <w:t>日</w:t>
            </w:r>
            <w:r>
              <w:rPr>
                <w:rFonts w:hint="eastAsia" w:hAnsi="宋体"/>
                <w:bCs/>
                <w:color w:val="auto"/>
                <w:szCs w:val="21"/>
                <w:highlight w:val="none"/>
              </w:rPr>
              <w:t xml:space="preserve"> </w:t>
            </w:r>
            <w:r>
              <w:rPr>
                <w:rFonts w:hint="eastAsia" w:hAnsi="宋体"/>
                <w:bCs/>
                <w:color w:val="auto"/>
                <w:szCs w:val="21"/>
                <w:highlight w:val="none"/>
                <w:lang w:val="en-US" w:eastAsia="zh-CN"/>
              </w:rPr>
              <w:t>15</w:t>
            </w:r>
            <w:r>
              <w:rPr>
                <w:rFonts w:hint="eastAsia" w:hAnsi="宋体"/>
                <w:bCs/>
                <w:color w:val="auto"/>
                <w:szCs w:val="21"/>
                <w:highlight w:val="none"/>
              </w:rPr>
              <w:t xml:space="preserve"> </w:t>
            </w:r>
            <w:r>
              <w:rPr>
                <w:rFonts w:hAnsi="宋体"/>
                <w:bCs/>
                <w:color w:val="auto"/>
                <w:szCs w:val="21"/>
                <w:highlight w:val="none"/>
              </w:rPr>
              <w:t>时</w:t>
            </w:r>
            <w:r>
              <w:rPr>
                <w:rFonts w:hAnsi="宋体"/>
                <w:bCs/>
                <w:color w:val="auto"/>
                <w:szCs w:val="21"/>
                <w:highlight w:val="none"/>
              </w:rPr>
              <w:t>前不得开封</w:t>
            </w:r>
          </w:p>
        </w:tc>
      </w:tr>
      <w:tr w14:paraId="7A1DC7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11939926">
            <w:pPr>
              <w:jc w:val="center"/>
              <w:rPr>
                <w:color w:val="auto"/>
                <w:szCs w:val="21"/>
                <w:highlight w:val="none"/>
              </w:rPr>
            </w:pPr>
            <w:r>
              <w:rPr>
                <w:color w:val="auto"/>
                <w:szCs w:val="21"/>
                <w:highlight w:val="none"/>
              </w:rPr>
              <w:t>1</w:t>
            </w:r>
            <w:r>
              <w:rPr>
                <w:rFonts w:hint="eastAsia"/>
                <w:color w:val="auto"/>
                <w:szCs w:val="21"/>
                <w:highlight w:val="none"/>
              </w:rPr>
              <w:t>5</w:t>
            </w:r>
          </w:p>
        </w:tc>
        <w:tc>
          <w:tcPr>
            <w:tcW w:w="1308" w:type="dxa"/>
            <w:vAlign w:val="center"/>
          </w:tcPr>
          <w:p w14:paraId="29763378">
            <w:pPr>
              <w:ind w:left="-42" w:leftChars="-20" w:right="-42" w:rightChars="-20"/>
              <w:jc w:val="center"/>
              <w:rPr>
                <w:bCs/>
                <w:color w:val="auto"/>
                <w:szCs w:val="21"/>
                <w:highlight w:val="none"/>
              </w:rPr>
            </w:pPr>
            <w:r>
              <w:rPr>
                <w:rFonts w:hint="eastAsia" w:hAnsi="宋体"/>
                <w:bCs/>
                <w:color w:val="auto"/>
                <w:szCs w:val="21"/>
                <w:highlight w:val="none"/>
              </w:rPr>
              <w:t>开启响应文件</w:t>
            </w:r>
          </w:p>
        </w:tc>
        <w:tc>
          <w:tcPr>
            <w:tcW w:w="6478" w:type="dxa"/>
            <w:vAlign w:val="center"/>
          </w:tcPr>
          <w:p w14:paraId="76D785E3">
            <w:pPr>
              <w:rPr>
                <w:bCs/>
                <w:color w:val="auto"/>
                <w:szCs w:val="21"/>
                <w:highlight w:val="none"/>
              </w:rPr>
            </w:pPr>
            <w:r>
              <w:rPr>
                <w:rFonts w:hAnsi="宋体"/>
                <w:bCs/>
                <w:color w:val="auto"/>
                <w:szCs w:val="21"/>
                <w:highlight w:val="none"/>
              </w:rPr>
              <w:t>开启响应文件时间：</w:t>
            </w:r>
            <w:r>
              <w:rPr>
                <w:rFonts w:hint="eastAsia" w:hAnsi="宋体"/>
                <w:bCs/>
                <w:color w:val="auto"/>
                <w:szCs w:val="21"/>
                <w:highlight w:val="none"/>
                <w:lang w:val="en-US" w:eastAsia="zh-CN"/>
              </w:rPr>
              <w:t>2026</w:t>
            </w:r>
            <w:r>
              <w:rPr>
                <w:rFonts w:hAnsi="宋体"/>
                <w:bCs/>
                <w:color w:val="auto"/>
                <w:szCs w:val="21"/>
                <w:highlight w:val="none"/>
              </w:rPr>
              <w:t>年</w:t>
            </w:r>
            <w:r>
              <w:rPr>
                <w:rFonts w:hint="eastAsia" w:hAnsi="宋体"/>
                <w:bCs/>
                <w:color w:val="auto"/>
                <w:szCs w:val="21"/>
                <w:highlight w:val="none"/>
                <w:lang w:val="en-US" w:eastAsia="zh-CN"/>
              </w:rPr>
              <w:t>10</w:t>
            </w:r>
            <w:r>
              <w:rPr>
                <w:rFonts w:hAnsi="宋体"/>
                <w:bCs/>
                <w:color w:val="auto"/>
                <w:szCs w:val="21"/>
                <w:highlight w:val="none"/>
              </w:rPr>
              <w:t>月</w:t>
            </w:r>
            <w:r>
              <w:rPr>
                <w:rFonts w:hint="eastAsia" w:hAnsi="宋体"/>
                <w:bCs/>
                <w:color w:val="auto"/>
                <w:szCs w:val="21"/>
                <w:highlight w:val="none"/>
                <w:lang w:val="en-US" w:eastAsia="zh-CN"/>
              </w:rPr>
              <w:t>30</w:t>
            </w:r>
            <w:r>
              <w:rPr>
                <w:rFonts w:hAnsi="宋体"/>
                <w:bCs/>
                <w:color w:val="auto"/>
                <w:szCs w:val="21"/>
                <w:highlight w:val="none"/>
              </w:rPr>
              <w:t>日</w:t>
            </w:r>
            <w:r>
              <w:rPr>
                <w:rFonts w:hint="eastAsia" w:hAnsi="宋体"/>
                <w:bCs/>
                <w:color w:val="auto"/>
                <w:szCs w:val="21"/>
                <w:highlight w:val="none"/>
                <w:lang w:val="en-US" w:eastAsia="zh-CN"/>
              </w:rPr>
              <w:t>15</w:t>
            </w:r>
            <w:r>
              <w:rPr>
                <w:rFonts w:hint="eastAsia" w:hAnsi="宋体"/>
                <w:bCs/>
                <w:color w:val="auto"/>
                <w:szCs w:val="21"/>
                <w:highlight w:val="none"/>
              </w:rPr>
              <w:t>时</w:t>
            </w:r>
            <w:r>
              <w:rPr>
                <w:rFonts w:hAnsi="宋体"/>
                <w:bCs/>
                <w:color w:val="auto"/>
                <w:szCs w:val="21"/>
                <w:highlight w:val="none"/>
              </w:rPr>
              <w:t>；</w:t>
            </w:r>
          </w:p>
          <w:p w14:paraId="12344EA6">
            <w:pPr>
              <w:contextualSpacing/>
              <w:rPr>
                <w:bCs/>
                <w:color w:val="auto"/>
                <w:szCs w:val="21"/>
                <w:highlight w:val="none"/>
              </w:rPr>
            </w:pPr>
            <w:r>
              <w:rPr>
                <w:rFonts w:hint="eastAsia"/>
                <w:bCs/>
                <w:color w:val="auto"/>
                <w:szCs w:val="21"/>
                <w:highlight w:val="none"/>
              </w:rPr>
              <w:t>开启响应文件方式：见采购公告及相关补遗文件。</w:t>
            </w:r>
          </w:p>
        </w:tc>
      </w:tr>
      <w:tr w14:paraId="550AD7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6" w:hRule="atLeast"/>
          <w:jc w:val="center"/>
        </w:trPr>
        <w:tc>
          <w:tcPr>
            <w:tcW w:w="798" w:type="dxa"/>
            <w:vAlign w:val="center"/>
          </w:tcPr>
          <w:p w14:paraId="77A828CA">
            <w:pPr>
              <w:ind w:left="-42" w:leftChars="-20" w:right="-42" w:rightChars="-20"/>
              <w:jc w:val="center"/>
              <w:rPr>
                <w:color w:val="auto"/>
                <w:szCs w:val="21"/>
                <w:highlight w:val="none"/>
              </w:rPr>
            </w:pPr>
            <w:r>
              <w:rPr>
                <w:color w:val="auto"/>
                <w:szCs w:val="21"/>
                <w:highlight w:val="none"/>
              </w:rPr>
              <w:t>1</w:t>
            </w:r>
            <w:r>
              <w:rPr>
                <w:rFonts w:hint="eastAsia"/>
                <w:color w:val="auto"/>
                <w:szCs w:val="21"/>
                <w:highlight w:val="none"/>
              </w:rPr>
              <w:t>6</w:t>
            </w:r>
          </w:p>
        </w:tc>
        <w:tc>
          <w:tcPr>
            <w:tcW w:w="1308" w:type="dxa"/>
            <w:vAlign w:val="center"/>
          </w:tcPr>
          <w:p w14:paraId="687DDEC1">
            <w:pPr>
              <w:ind w:left="-42" w:leftChars="-20" w:right="-42" w:rightChars="-20"/>
              <w:jc w:val="center"/>
              <w:rPr>
                <w:bCs/>
                <w:color w:val="auto"/>
                <w:szCs w:val="21"/>
                <w:highlight w:val="none"/>
              </w:rPr>
            </w:pPr>
            <w:r>
              <w:rPr>
                <w:rFonts w:hint="eastAsia" w:hAnsi="宋体"/>
                <w:bCs/>
                <w:color w:val="auto"/>
                <w:szCs w:val="21"/>
                <w:highlight w:val="none"/>
              </w:rPr>
              <w:t>评审响应文件</w:t>
            </w:r>
          </w:p>
        </w:tc>
        <w:tc>
          <w:tcPr>
            <w:tcW w:w="6478" w:type="dxa"/>
            <w:vAlign w:val="center"/>
          </w:tcPr>
          <w:p w14:paraId="6EC354F1">
            <w:pPr>
              <w:rPr>
                <w:bCs/>
                <w:color w:val="auto"/>
                <w:szCs w:val="21"/>
                <w:highlight w:val="none"/>
              </w:rPr>
            </w:pPr>
            <w:r>
              <w:rPr>
                <w:rFonts w:hint="eastAsia" w:hAnsi="宋体"/>
                <w:bCs/>
                <w:color w:val="auto"/>
                <w:szCs w:val="21"/>
                <w:highlight w:val="none"/>
              </w:rPr>
              <w:t>综合评分法，其中商务部分</w:t>
            </w:r>
            <w:r>
              <w:rPr>
                <w:rFonts w:hint="eastAsia" w:hAnsi="宋体"/>
                <w:bCs/>
                <w:color w:val="auto"/>
                <w:szCs w:val="21"/>
                <w:highlight w:val="none"/>
                <w:lang w:val="en-US" w:eastAsia="zh-CN"/>
              </w:rPr>
              <w:t>20</w:t>
            </w:r>
            <w:r>
              <w:rPr>
                <w:rFonts w:hint="eastAsia" w:hAnsi="宋体"/>
                <w:bCs/>
                <w:color w:val="auto"/>
                <w:szCs w:val="21"/>
                <w:highlight w:val="none"/>
              </w:rPr>
              <w:t>分，技术部分</w:t>
            </w:r>
            <w:r>
              <w:rPr>
                <w:rFonts w:hint="eastAsia" w:hAnsi="宋体"/>
                <w:bCs/>
                <w:color w:val="auto"/>
                <w:szCs w:val="21"/>
                <w:highlight w:val="none"/>
                <w:lang w:val="en-US" w:eastAsia="zh-CN"/>
              </w:rPr>
              <w:t>20</w:t>
            </w:r>
            <w:r>
              <w:rPr>
                <w:rFonts w:hint="eastAsia" w:hAnsi="宋体"/>
                <w:bCs/>
                <w:color w:val="auto"/>
                <w:szCs w:val="21"/>
                <w:highlight w:val="none"/>
              </w:rPr>
              <w:t>分，经济部分</w:t>
            </w:r>
            <w:r>
              <w:rPr>
                <w:rFonts w:hint="eastAsia" w:hAnsi="宋体"/>
                <w:bCs/>
                <w:color w:val="auto"/>
                <w:szCs w:val="21"/>
                <w:highlight w:val="none"/>
                <w:lang w:val="en-US" w:eastAsia="zh-CN"/>
              </w:rPr>
              <w:t>60</w:t>
            </w:r>
            <w:r>
              <w:rPr>
                <w:rFonts w:hint="eastAsia" w:hAnsi="宋体"/>
                <w:bCs/>
                <w:color w:val="auto"/>
                <w:szCs w:val="21"/>
                <w:highlight w:val="none"/>
              </w:rPr>
              <w:t>分，具体详见评审办法。</w:t>
            </w:r>
          </w:p>
        </w:tc>
      </w:tr>
      <w:tr w14:paraId="4E8BD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55" w:hRule="atLeast"/>
          <w:jc w:val="center"/>
        </w:trPr>
        <w:tc>
          <w:tcPr>
            <w:tcW w:w="798" w:type="dxa"/>
            <w:vAlign w:val="center"/>
          </w:tcPr>
          <w:p w14:paraId="3D1280EE">
            <w:pPr>
              <w:ind w:left="-42" w:leftChars="-20" w:right="-42" w:rightChars="-20"/>
              <w:jc w:val="center"/>
              <w:rPr>
                <w:color w:val="auto"/>
                <w:szCs w:val="21"/>
                <w:highlight w:val="none"/>
              </w:rPr>
            </w:pPr>
            <w:r>
              <w:rPr>
                <w:color w:val="auto"/>
                <w:szCs w:val="21"/>
                <w:highlight w:val="none"/>
              </w:rPr>
              <w:t>1</w:t>
            </w:r>
            <w:r>
              <w:rPr>
                <w:rFonts w:hint="eastAsia"/>
                <w:color w:val="auto"/>
                <w:szCs w:val="21"/>
                <w:highlight w:val="none"/>
              </w:rPr>
              <w:t>7</w:t>
            </w:r>
          </w:p>
        </w:tc>
        <w:tc>
          <w:tcPr>
            <w:tcW w:w="1308" w:type="dxa"/>
            <w:vAlign w:val="center"/>
          </w:tcPr>
          <w:p w14:paraId="24E3EC8C">
            <w:pPr>
              <w:ind w:left="-42" w:leftChars="-20" w:right="-42" w:rightChars="-20"/>
              <w:jc w:val="center"/>
              <w:rPr>
                <w:bCs/>
                <w:color w:val="auto"/>
                <w:szCs w:val="21"/>
                <w:highlight w:val="none"/>
              </w:rPr>
            </w:pPr>
            <w:r>
              <w:rPr>
                <w:rFonts w:hAnsi="宋体"/>
                <w:bCs/>
                <w:color w:val="auto"/>
                <w:szCs w:val="21"/>
                <w:highlight w:val="none"/>
              </w:rPr>
              <w:t>履约担保</w:t>
            </w:r>
          </w:p>
        </w:tc>
        <w:tc>
          <w:tcPr>
            <w:tcW w:w="6478" w:type="dxa"/>
            <w:vAlign w:val="center"/>
          </w:tcPr>
          <w:p w14:paraId="48AA9CA0">
            <w:pPr>
              <w:rPr>
                <w:bCs/>
                <w:color w:val="auto"/>
                <w:szCs w:val="21"/>
                <w:highlight w:val="none"/>
              </w:rPr>
            </w:pPr>
            <w:r>
              <w:rPr>
                <w:rFonts w:hint="eastAsia" w:hAnsi="宋体"/>
                <w:bCs/>
                <w:color w:val="auto"/>
                <w:szCs w:val="21"/>
                <w:highlight w:val="none"/>
              </w:rPr>
              <w:t>履约担保以现金/保函形式支付，</w:t>
            </w:r>
            <w:r>
              <w:rPr>
                <w:rFonts w:hAnsi="宋体"/>
                <w:bCs/>
                <w:color w:val="auto"/>
                <w:szCs w:val="21"/>
                <w:highlight w:val="none"/>
              </w:rPr>
              <w:t>保</w:t>
            </w:r>
            <w:r>
              <w:rPr>
                <w:rFonts w:hint="eastAsia" w:hAnsi="宋体"/>
                <w:bCs/>
                <w:color w:val="auto"/>
                <w:szCs w:val="21"/>
                <w:highlight w:val="none"/>
              </w:rPr>
              <w:t>证金</w:t>
            </w:r>
            <w:r>
              <w:rPr>
                <w:rFonts w:hAnsi="宋体"/>
                <w:bCs/>
                <w:color w:val="auto"/>
                <w:szCs w:val="21"/>
                <w:highlight w:val="none"/>
              </w:rPr>
              <w:t>额度：</w:t>
            </w:r>
            <w:r>
              <w:rPr>
                <w:rFonts w:hint="eastAsia" w:hAnsi="宋体"/>
                <w:bCs/>
                <w:color w:val="auto"/>
                <w:szCs w:val="21"/>
                <w:highlight w:val="none"/>
                <w:lang w:val="en-US" w:eastAsia="zh-CN"/>
              </w:rPr>
              <w:t>中标额的5%</w:t>
            </w:r>
            <w:r>
              <w:rPr>
                <w:rFonts w:hAnsi="宋体"/>
                <w:bCs/>
                <w:color w:val="auto"/>
                <w:szCs w:val="21"/>
                <w:highlight w:val="none"/>
              </w:rPr>
              <w:t>；</w:t>
            </w:r>
          </w:p>
          <w:p w14:paraId="1CF2F4CA">
            <w:pPr>
              <w:pStyle w:val="8"/>
              <w:ind w:firstLine="0" w:firstLineChars="0"/>
              <w:rPr>
                <w:rFonts w:hint="eastAsia" w:hAnsi="宋体"/>
                <w:bCs/>
                <w:color w:val="auto"/>
                <w:szCs w:val="21"/>
                <w:highlight w:val="none"/>
              </w:rPr>
            </w:pPr>
            <w:r>
              <w:rPr>
                <w:rFonts w:hint="eastAsia" w:hAnsi="宋体"/>
                <w:bCs/>
                <w:color w:val="auto"/>
                <w:szCs w:val="21"/>
                <w:highlight w:val="none"/>
              </w:rPr>
              <w:t>履约保证金</w:t>
            </w:r>
            <w:r>
              <w:rPr>
                <w:rFonts w:hAnsi="宋体"/>
                <w:bCs/>
                <w:color w:val="auto"/>
                <w:szCs w:val="21"/>
                <w:highlight w:val="none"/>
              </w:rPr>
              <w:t>提交截止时间：签订合同时。</w:t>
            </w:r>
          </w:p>
          <w:p w14:paraId="2076EC4D">
            <w:pPr>
              <w:pStyle w:val="8"/>
              <w:ind w:firstLine="0" w:firstLineChars="0"/>
              <w:rPr>
                <w:rFonts w:hint="eastAsia" w:hAnsi="宋体"/>
                <w:bCs/>
                <w:color w:val="auto"/>
                <w:szCs w:val="21"/>
                <w:highlight w:val="none"/>
              </w:rPr>
            </w:pPr>
            <w:r>
              <w:rPr>
                <w:rFonts w:hint="eastAsia" w:hAnsi="宋体"/>
                <w:bCs/>
                <w:color w:val="auto"/>
                <w:szCs w:val="21"/>
                <w:highlight w:val="none"/>
              </w:rPr>
              <w:t>如已支付响应保证金的，成交后响应保证金转为履约保证金。</w:t>
            </w:r>
          </w:p>
          <w:p w14:paraId="077FE8B4">
            <w:pPr>
              <w:pStyle w:val="8"/>
              <w:ind w:firstLine="0" w:firstLineChars="0"/>
              <w:rPr>
                <w:b/>
                <w:color w:val="auto"/>
                <w:szCs w:val="21"/>
                <w:highlight w:val="none"/>
              </w:rPr>
            </w:pPr>
            <w:r>
              <w:rPr>
                <w:rFonts w:hint="eastAsia" w:hAnsi="宋体"/>
                <w:b/>
                <w:color w:val="auto"/>
                <w:szCs w:val="21"/>
                <w:highlight w:val="none"/>
              </w:rPr>
              <w:t>采用银行保函时，须为见索即付保函。</w:t>
            </w:r>
          </w:p>
        </w:tc>
      </w:tr>
      <w:tr w14:paraId="5AC45B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798" w:type="dxa"/>
            <w:vAlign w:val="center"/>
          </w:tcPr>
          <w:p w14:paraId="3AF01DDF">
            <w:pPr>
              <w:ind w:left="-42" w:leftChars="-20" w:right="-42" w:rightChars="-20"/>
              <w:jc w:val="center"/>
              <w:rPr>
                <w:color w:val="auto"/>
                <w:szCs w:val="21"/>
                <w:highlight w:val="none"/>
              </w:rPr>
            </w:pPr>
            <w:r>
              <w:rPr>
                <w:rFonts w:hint="eastAsia"/>
                <w:color w:val="auto"/>
                <w:szCs w:val="21"/>
                <w:highlight w:val="none"/>
              </w:rPr>
              <w:t>18</w:t>
            </w:r>
          </w:p>
        </w:tc>
        <w:tc>
          <w:tcPr>
            <w:tcW w:w="1308" w:type="dxa"/>
            <w:vAlign w:val="center"/>
          </w:tcPr>
          <w:p w14:paraId="169E7338">
            <w:pPr>
              <w:ind w:left="-42" w:leftChars="-20" w:right="-42" w:rightChars="-20"/>
              <w:jc w:val="center"/>
              <w:rPr>
                <w:bCs/>
                <w:color w:val="auto"/>
                <w:szCs w:val="21"/>
                <w:highlight w:val="none"/>
              </w:rPr>
            </w:pPr>
            <w:r>
              <w:rPr>
                <w:rFonts w:hAnsi="宋体"/>
                <w:bCs/>
                <w:color w:val="auto"/>
                <w:szCs w:val="21"/>
                <w:highlight w:val="none"/>
              </w:rPr>
              <w:t>合同协议书的签署</w:t>
            </w:r>
          </w:p>
        </w:tc>
        <w:tc>
          <w:tcPr>
            <w:tcW w:w="6478" w:type="dxa"/>
            <w:vAlign w:val="center"/>
          </w:tcPr>
          <w:p w14:paraId="26DD7D7B">
            <w:pPr>
              <w:rPr>
                <w:bCs/>
                <w:color w:val="auto"/>
                <w:szCs w:val="21"/>
                <w:highlight w:val="none"/>
              </w:rPr>
            </w:pPr>
            <w:r>
              <w:rPr>
                <w:rFonts w:hAnsi="宋体"/>
                <w:bCs/>
                <w:color w:val="auto"/>
                <w:szCs w:val="21"/>
                <w:highlight w:val="none"/>
              </w:rPr>
              <w:t>合同协议书的签署期限：签发成交通知书后</w:t>
            </w:r>
            <w:r>
              <w:rPr>
                <w:bCs/>
                <w:color w:val="auto"/>
                <w:szCs w:val="21"/>
                <w:highlight w:val="none"/>
                <w:u w:val="single"/>
              </w:rPr>
              <w:t xml:space="preserve"> 30 </w:t>
            </w:r>
            <w:r>
              <w:rPr>
                <w:rFonts w:hAnsi="宋体"/>
                <w:bCs/>
                <w:color w:val="auto"/>
                <w:szCs w:val="21"/>
                <w:highlight w:val="none"/>
              </w:rPr>
              <w:t>天内。</w:t>
            </w:r>
          </w:p>
        </w:tc>
      </w:tr>
    </w:tbl>
    <w:p w14:paraId="65B7F338">
      <w:pPr>
        <w:rPr>
          <w:color w:val="auto"/>
          <w:highlight w:val="none"/>
        </w:rPr>
      </w:pPr>
      <w:r>
        <w:rPr>
          <w:color w:val="auto"/>
          <w:highlight w:val="none"/>
        </w:rPr>
        <w:br w:type="column"/>
      </w:r>
    </w:p>
    <w:p w14:paraId="7AB1D120">
      <w:pPr>
        <w:rPr>
          <w:color w:val="auto"/>
          <w:highlight w:val="none"/>
        </w:rPr>
      </w:pPr>
    </w:p>
    <w:p w14:paraId="0D4D90F0">
      <w:pPr>
        <w:rPr>
          <w:color w:val="auto"/>
          <w:highlight w:val="none"/>
        </w:rPr>
      </w:pPr>
    </w:p>
    <w:p w14:paraId="73BDF737">
      <w:pPr>
        <w:pStyle w:val="3"/>
        <w:spacing w:before="240" w:beforeLines="100" w:after="120" w:afterLines="50" w:line="360" w:lineRule="auto"/>
        <w:jc w:val="center"/>
        <w:rPr>
          <w:rStyle w:val="46"/>
          <w:rFonts w:ascii="Times New Roman" w:hAnsi="Times New Roman" w:eastAsia="宋体"/>
          <w:b/>
          <w:bCs w:val="0"/>
          <w:color w:val="auto"/>
          <w:sz w:val="28"/>
          <w:szCs w:val="28"/>
          <w:highlight w:val="none"/>
        </w:rPr>
      </w:pPr>
      <w:bookmarkStart w:id="34" w:name="_Toc53918798"/>
      <w:bookmarkStart w:id="35" w:name="_Toc53949169"/>
      <w:bookmarkStart w:id="36" w:name="_Toc53939571"/>
      <w:bookmarkStart w:id="37" w:name="_Toc284135588"/>
      <w:bookmarkStart w:id="38" w:name="_Toc53948748"/>
      <w:bookmarkStart w:id="39" w:name="_Toc145499729"/>
      <w:bookmarkStart w:id="40" w:name="_Toc53945772"/>
      <w:bookmarkStart w:id="41" w:name="_Toc54281208"/>
      <w:bookmarkStart w:id="42" w:name="_Toc53948327"/>
      <w:bookmarkStart w:id="43" w:name="_Toc53936507"/>
      <w:bookmarkStart w:id="44" w:name="_Toc54280782"/>
      <w:bookmarkStart w:id="45" w:name="_Toc54279930"/>
      <w:bookmarkStart w:id="46" w:name="_Toc54280356"/>
      <w:r>
        <w:rPr>
          <w:rStyle w:val="46"/>
          <w:rFonts w:ascii="Times New Roman" w:hAnsi="宋体" w:eastAsia="宋体"/>
          <w:b/>
          <w:bCs w:val="0"/>
          <w:color w:val="auto"/>
          <w:sz w:val="28"/>
          <w:szCs w:val="28"/>
          <w:highlight w:val="none"/>
        </w:rPr>
        <w:t>第一章</w:t>
      </w:r>
      <w:r>
        <w:rPr>
          <w:rStyle w:val="46"/>
          <w:rFonts w:ascii="Times New Roman" w:hAnsi="Times New Roman" w:eastAsia="宋体"/>
          <w:b/>
          <w:bCs w:val="0"/>
          <w:color w:val="auto"/>
          <w:sz w:val="28"/>
          <w:szCs w:val="28"/>
          <w:highlight w:val="none"/>
        </w:rPr>
        <w:t xml:space="preserve">  </w:t>
      </w:r>
      <w:r>
        <w:rPr>
          <w:rStyle w:val="46"/>
          <w:rFonts w:ascii="Times New Roman" w:hAnsi="宋体" w:eastAsia="宋体"/>
          <w:b/>
          <w:bCs w:val="0"/>
          <w:color w:val="auto"/>
          <w:sz w:val="28"/>
          <w:szCs w:val="28"/>
          <w:highlight w:val="none"/>
        </w:rPr>
        <w:t>总</w:t>
      </w:r>
      <w:bookmarkStart w:id="47" w:name="_Hlt15790948"/>
      <w:r>
        <w:rPr>
          <w:rStyle w:val="46"/>
          <w:rFonts w:ascii="Times New Roman" w:hAnsi="宋体" w:eastAsia="宋体"/>
          <w:b/>
          <w:bCs w:val="0"/>
          <w:color w:val="auto"/>
          <w:sz w:val="28"/>
          <w:szCs w:val="28"/>
          <w:highlight w:val="none"/>
        </w:rPr>
        <w:t>则</w:t>
      </w:r>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59C1E361">
      <w:pPr>
        <w:pStyle w:val="53"/>
        <w:spacing w:before="120"/>
        <w:rPr>
          <w:rStyle w:val="46"/>
          <w:rFonts w:ascii="Times New Roman" w:hAnsi="Times New Roman" w:eastAsia="宋体" w:cs="Times New Roman"/>
          <w:b/>
          <w:bCs w:val="0"/>
          <w:color w:val="auto"/>
          <w:sz w:val="28"/>
          <w:szCs w:val="28"/>
          <w:highlight w:val="none"/>
        </w:rPr>
      </w:pPr>
      <w:bookmarkStart w:id="48" w:name="_Toc53948749"/>
      <w:bookmarkStart w:id="49" w:name="_Toc145499730"/>
      <w:bookmarkStart w:id="50" w:name="_Toc54280357"/>
      <w:bookmarkStart w:id="51" w:name="_Toc53948328"/>
      <w:bookmarkStart w:id="52" w:name="_Toc53939572"/>
      <w:bookmarkStart w:id="53" w:name="_Toc54279931"/>
      <w:bookmarkStart w:id="54" w:name="_Toc54281209"/>
      <w:bookmarkStart w:id="55" w:name="_Toc53945773"/>
      <w:bookmarkStart w:id="56" w:name="_Toc53949170"/>
      <w:bookmarkStart w:id="57" w:name="_Toc53936508"/>
      <w:bookmarkStart w:id="58" w:name="_Toc53918799"/>
      <w:bookmarkStart w:id="59" w:name="_Toc54280783"/>
      <w:r>
        <w:rPr>
          <w:rStyle w:val="46"/>
          <w:rFonts w:ascii="Times New Roman" w:hAnsi="Times New Roman" w:eastAsia="宋体" w:cs="Times New Roman"/>
          <w:b/>
          <w:bCs w:val="0"/>
          <w:color w:val="auto"/>
          <w:sz w:val="28"/>
          <w:szCs w:val="28"/>
          <w:highlight w:val="none"/>
        </w:rPr>
        <w:t>1.项目概述</w:t>
      </w:r>
      <w:bookmarkEnd w:id="48"/>
      <w:bookmarkEnd w:id="49"/>
      <w:bookmarkEnd w:id="50"/>
      <w:bookmarkEnd w:id="51"/>
      <w:bookmarkEnd w:id="52"/>
      <w:bookmarkEnd w:id="53"/>
      <w:bookmarkEnd w:id="54"/>
      <w:bookmarkEnd w:id="55"/>
      <w:bookmarkEnd w:id="56"/>
      <w:bookmarkEnd w:id="57"/>
      <w:bookmarkEnd w:id="58"/>
      <w:bookmarkEnd w:id="59"/>
    </w:p>
    <w:p w14:paraId="7E3CD760">
      <w:pPr>
        <w:spacing w:line="360" w:lineRule="auto"/>
        <w:ind w:left="371" w:leftChars="1" w:hanging="369" w:hangingChars="176"/>
        <w:rPr>
          <w:color w:val="auto"/>
          <w:szCs w:val="21"/>
          <w:highlight w:val="none"/>
        </w:rPr>
      </w:pPr>
      <w:bookmarkStart w:id="60" w:name="_Toc54280358"/>
      <w:bookmarkStart w:id="61" w:name="_Toc54281210"/>
      <w:bookmarkStart w:id="62" w:name="_Toc53939573"/>
      <w:bookmarkStart w:id="63" w:name="_Toc54279932"/>
      <w:bookmarkStart w:id="64" w:name="_Toc53948750"/>
      <w:bookmarkStart w:id="65" w:name="_Toc145499731"/>
      <w:bookmarkStart w:id="66" w:name="_Toc53948329"/>
      <w:bookmarkStart w:id="67" w:name="_Toc53945774"/>
      <w:bookmarkStart w:id="68" w:name="_Toc54280784"/>
      <w:bookmarkStart w:id="69" w:name="_Toc53949171"/>
      <w:bookmarkStart w:id="70" w:name="_Toc53936509"/>
      <w:bookmarkStart w:id="71" w:name="_Toc53918800"/>
      <w:r>
        <w:rPr>
          <w:rFonts w:hint="eastAsia"/>
          <w:color w:val="auto"/>
          <w:szCs w:val="21"/>
          <w:highlight w:val="none"/>
        </w:rPr>
        <w:t>1.1项目名称、地点及概况：海兴盐场特大桥、青锋枢纽互通立交工程起讫桩号K179+800-K185+662.378，以K184+311.5为界，K179+800-K184+311.5海兴盐场特大桥，全长4500.5m,设计速度为120km/h，双向四车道高速，桥梁宽度26m;大桩号为青锋枢纽互通立交工程，互通立交起点与主线对接，K184+311.5=CK2+241.515=AK0+000,被交路(秦滨高速)设计范围为LK294+140-LK297+320。互通区匝道总长6111.158m，新建匝道桥4946.632m/4座，拼宽秦滨高速公路分离式立交桥53.06m/1座。</w:t>
      </w:r>
    </w:p>
    <w:p w14:paraId="7F1F8797">
      <w:pPr>
        <w:spacing w:line="360" w:lineRule="auto"/>
        <w:ind w:left="371" w:leftChars="151" w:hanging="54" w:hangingChars="26"/>
        <w:rPr>
          <w:rFonts w:hint="eastAsia" w:eastAsia="宋体"/>
          <w:color w:val="auto"/>
          <w:szCs w:val="21"/>
          <w:highlight w:val="none"/>
          <w:lang w:eastAsia="zh-CN"/>
        </w:rPr>
      </w:pPr>
      <w:r>
        <w:rPr>
          <w:rFonts w:hint="eastAsia"/>
          <w:color w:val="auto"/>
          <w:szCs w:val="21"/>
          <w:highlight w:val="none"/>
        </w:rPr>
        <w:t>采购分包工程名称：</w:t>
      </w:r>
      <w:r>
        <w:rPr>
          <w:rFonts w:hint="eastAsia"/>
          <w:color w:val="auto"/>
          <w:szCs w:val="21"/>
          <w:highlight w:val="none"/>
          <w:lang w:eastAsia="zh-CN"/>
        </w:rPr>
        <w:t>钢板桩施工。</w:t>
      </w:r>
    </w:p>
    <w:p w14:paraId="77A1A6A9">
      <w:pPr>
        <w:spacing w:line="360" w:lineRule="auto"/>
        <w:ind w:left="371" w:leftChars="1" w:hanging="369" w:hangingChars="176"/>
        <w:rPr>
          <w:color w:val="auto"/>
          <w:szCs w:val="21"/>
          <w:highlight w:val="none"/>
        </w:rPr>
      </w:pPr>
      <w:r>
        <w:rPr>
          <w:rFonts w:hint="eastAsia"/>
          <w:color w:val="auto"/>
          <w:szCs w:val="21"/>
          <w:highlight w:val="none"/>
        </w:rPr>
        <w:t>1.2采购人信息参见</w:t>
      </w:r>
      <w:r>
        <w:rPr>
          <w:color w:val="auto"/>
          <w:szCs w:val="21"/>
          <w:highlight w:val="none"/>
        </w:rPr>
        <w:t>《</w:t>
      </w:r>
      <w:r>
        <w:rPr>
          <w:rFonts w:hint="eastAsia"/>
          <w:color w:val="auto"/>
          <w:szCs w:val="21"/>
          <w:highlight w:val="none"/>
        </w:rPr>
        <w:t>相应单位</w:t>
      </w:r>
      <w:r>
        <w:rPr>
          <w:color w:val="auto"/>
          <w:szCs w:val="21"/>
          <w:highlight w:val="none"/>
        </w:rPr>
        <w:t>须知前附表》</w:t>
      </w:r>
      <w:r>
        <w:rPr>
          <w:rFonts w:hint="eastAsia"/>
          <w:color w:val="auto"/>
          <w:szCs w:val="21"/>
          <w:highlight w:val="none"/>
        </w:rPr>
        <w:t>第2项。</w:t>
      </w:r>
    </w:p>
    <w:bookmarkEnd w:id="60"/>
    <w:bookmarkEnd w:id="61"/>
    <w:bookmarkEnd w:id="62"/>
    <w:bookmarkEnd w:id="63"/>
    <w:bookmarkEnd w:id="64"/>
    <w:bookmarkEnd w:id="65"/>
    <w:bookmarkEnd w:id="66"/>
    <w:bookmarkEnd w:id="67"/>
    <w:bookmarkEnd w:id="68"/>
    <w:bookmarkEnd w:id="69"/>
    <w:bookmarkEnd w:id="70"/>
    <w:bookmarkEnd w:id="71"/>
    <w:p w14:paraId="0F839683">
      <w:pPr>
        <w:pStyle w:val="53"/>
        <w:spacing w:before="120"/>
        <w:rPr>
          <w:rStyle w:val="46"/>
          <w:rFonts w:ascii="Times New Roman" w:hAnsi="Times New Roman" w:eastAsia="宋体" w:cs="Times New Roman"/>
          <w:b/>
          <w:bCs w:val="0"/>
          <w:color w:val="auto"/>
          <w:sz w:val="28"/>
          <w:szCs w:val="28"/>
          <w:highlight w:val="none"/>
        </w:rPr>
      </w:pPr>
      <w:bookmarkStart w:id="72" w:name="_Toc53939574"/>
      <w:bookmarkStart w:id="73" w:name="_Toc145499732"/>
      <w:bookmarkStart w:id="74" w:name="_Toc53945775"/>
      <w:bookmarkStart w:id="75" w:name="_Toc53948330"/>
      <w:bookmarkStart w:id="76" w:name="_Toc54279933"/>
      <w:bookmarkStart w:id="77" w:name="_Toc54280785"/>
      <w:bookmarkStart w:id="78" w:name="_Toc54281211"/>
      <w:bookmarkStart w:id="79" w:name="_Toc53949172"/>
      <w:bookmarkStart w:id="80" w:name="_Toc53918801"/>
      <w:bookmarkStart w:id="81" w:name="_Toc53936510"/>
      <w:bookmarkStart w:id="82" w:name="_Toc54280359"/>
      <w:bookmarkStart w:id="83" w:name="_Toc53948751"/>
      <w:r>
        <w:rPr>
          <w:rStyle w:val="46"/>
          <w:rFonts w:hint="eastAsia" w:ascii="Times New Roman" w:hAnsi="Times New Roman" w:eastAsia="宋体" w:cs="Times New Roman"/>
          <w:b/>
          <w:bCs w:val="0"/>
          <w:color w:val="auto"/>
          <w:sz w:val="28"/>
          <w:szCs w:val="28"/>
          <w:highlight w:val="none"/>
        </w:rPr>
        <w:t>2</w:t>
      </w:r>
      <w:r>
        <w:rPr>
          <w:rStyle w:val="46"/>
          <w:rFonts w:ascii="Times New Roman" w:hAnsi="Times New Roman" w:eastAsia="宋体" w:cs="Times New Roman"/>
          <w:b/>
          <w:bCs w:val="0"/>
          <w:color w:val="auto"/>
          <w:sz w:val="28"/>
          <w:szCs w:val="28"/>
          <w:highlight w:val="none"/>
        </w:rPr>
        <w:t>.响应单位的合格条件</w:t>
      </w:r>
      <w:bookmarkEnd w:id="72"/>
      <w:bookmarkEnd w:id="73"/>
      <w:bookmarkEnd w:id="74"/>
      <w:bookmarkEnd w:id="75"/>
      <w:bookmarkEnd w:id="76"/>
      <w:bookmarkEnd w:id="77"/>
      <w:bookmarkEnd w:id="78"/>
      <w:bookmarkEnd w:id="79"/>
      <w:bookmarkEnd w:id="80"/>
      <w:bookmarkEnd w:id="81"/>
      <w:bookmarkEnd w:id="82"/>
      <w:bookmarkEnd w:id="83"/>
    </w:p>
    <w:p w14:paraId="4631CF78">
      <w:pPr>
        <w:widowControl/>
        <w:spacing w:line="360" w:lineRule="auto"/>
        <w:ind w:left="516" w:leftChars="33" w:hanging="447" w:hangingChars="213"/>
        <w:rPr>
          <w:color w:val="auto"/>
          <w:szCs w:val="21"/>
          <w:highlight w:val="none"/>
        </w:rPr>
      </w:pPr>
      <w:r>
        <w:rPr>
          <w:color w:val="auto"/>
          <w:szCs w:val="21"/>
          <w:highlight w:val="none"/>
        </w:rPr>
        <w:t>2.1响应单位应具备的合格条件：</w:t>
      </w:r>
    </w:p>
    <w:p w14:paraId="7FF10B0D">
      <w:pPr>
        <w:widowControl/>
        <w:spacing w:line="360" w:lineRule="auto"/>
        <w:ind w:left="1035" w:leftChars="247" w:hanging="516" w:hangingChars="246"/>
        <w:rPr>
          <w:color w:val="auto"/>
          <w:szCs w:val="21"/>
          <w:highlight w:val="none"/>
        </w:rPr>
      </w:pPr>
      <w:r>
        <w:rPr>
          <w:color w:val="auto"/>
          <w:szCs w:val="21"/>
          <w:highlight w:val="none"/>
        </w:rPr>
        <w:t>2.1.1合格响应单位应是具有独立法人资格，能够自主经营、独立核算，持有建筑施工企业安全生产许可证、且在</w:t>
      </w:r>
      <w:r>
        <w:rPr>
          <w:rFonts w:hint="eastAsia"/>
          <w:color w:val="auto"/>
          <w:szCs w:val="21"/>
          <w:highlight w:val="none"/>
        </w:rPr>
        <w:t>采购活动</w:t>
      </w:r>
      <w:r>
        <w:rPr>
          <w:color w:val="auto"/>
          <w:szCs w:val="21"/>
          <w:highlight w:val="none"/>
        </w:rPr>
        <w:t>期间（成交通知书签发之前）未被暂扣；</w:t>
      </w:r>
    </w:p>
    <w:p w14:paraId="46BF9946">
      <w:pPr>
        <w:widowControl/>
        <w:spacing w:line="360" w:lineRule="auto"/>
        <w:ind w:left="1035" w:leftChars="247" w:hanging="516" w:hangingChars="246"/>
        <w:rPr>
          <w:color w:val="auto"/>
          <w:szCs w:val="21"/>
          <w:highlight w:val="none"/>
        </w:rPr>
      </w:pPr>
      <w:r>
        <w:rPr>
          <w:color w:val="auto"/>
          <w:szCs w:val="21"/>
          <w:highlight w:val="none"/>
        </w:rPr>
        <w:t>2.1.2应具备下列施工资质：</w:t>
      </w:r>
      <w:r>
        <w:rPr>
          <w:rFonts w:hint="eastAsia"/>
          <w:color w:val="auto"/>
          <w:szCs w:val="21"/>
          <w:highlight w:val="none"/>
          <w:lang w:val="en-US" w:eastAsia="zh-CN"/>
        </w:rPr>
        <w:t>施工劳务不分等级</w:t>
      </w:r>
      <w:r>
        <w:rPr>
          <w:color w:val="auto"/>
          <w:szCs w:val="21"/>
          <w:highlight w:val="none"/>
        </w:rPr>
        <w:t>；</w:t>
      </w:r>
    </w:p>
    <w:p w14:paraId="1224B621">
      <w:pPr>
        <w:widowControl/>
        <w:spacing w:line="360" w:lineRule="auto"/>
        <w:ind w:left="1035" w:leftChars="247" w:hanging="516" w:hangingChars="246"/>
        <w:rPr>
          <w:color w:val="auto"/>
          <w:szCs w:val="21"/>
          <w:highlight w:val="none"/>
        </w:rPr>
      </w:pPr>
      <w:r>
        <w:rPr>
          <w:color w:val="auto"/>
          <w:szCs w:val="21"/>
          <w:highlight w:val="none"/>
        </w:rPr>
        <w:t>2.1.3且</w:t>
      </w:r>
      <w:r>
        <w:rPr>
          <w:rFonts w:hint="eastAsia"/>
          <w:color w:val="auto"/>
          <w:szCs w:val="21"/>
          <w:highlight w:val="none"/>
        </w:rPr>
        <w:t>近5年内</w:t>
      </w:r>
      <w:r>
        <w:rPr>
          <w:color w:val="auto"/>
          <w:szCs w:val="21"/>
          <w:highlight w:val="none"/>
        </w:rPr>
        <w:t>具备类似业绩</w:t>
      </w:r>
      <w:r>
        <w:rPr>
          <w:rFonts w:hint="eastAsia"/>
          <w:color w:val="auto"/>
          <w:szCs w:val="21"/>
          <w:highlight w:val="none"/>
          <w:lang w:val="en-US" w:eastAsia="zh-CN"/>
        </w:rPr>
        <w:t>1</w:t>
      </w:r>
      <w:r>
        <w:rPr>
          <w:rFonts w:hint="eastAsia"/>
          <w:color w:val="auto"/>
          <w:szCs w:val="21"/>
          <w:highlight w:val="none"/>
        </w:rPr>
        <w:t>个及以上</w:t>
      </w:r>
      <w:r>
        <w:rPr>
          <w:color w:val="auto"/>
          <w:szCs w:val="21"/>
          <w:highlight w:val="none"/>
        </w:rPr>
        <w:t>；</w:t>
      </w:r>
    </w:p>
    <w:p w14:paraId="256BBDB2">
      <w:pPr>
        <w:widowControl/>
        <w:spacing w:line="360" w:lineRule="auto"/>
        <w:ind w:left="1035" w:leftChars="247" w:hanging="516" w:hangingChars="246"/>
        <w:rPr>
          <w:color w:val="auto"/>
          <w:szCs w:val="21"/>
          <w:highlight w:val="none"/>
        </w:rPr>
      </w:pPr>
      <w:r>
        <w:rPr>
          <w:color w:val="auto"/>
          <w:szCs w:val="21"/>
          <w:highlight w:val="none"/>
        </w:rPr>
        <w:t>2.1.4拟派项目</w:t>
      </w:r>
      <w:r>
        <w:rPr>
          <w:rFonts w:hint="eastAsia"/>
          <w:color w:val="auto"/>
          <w:szCs w:val="21"/>
          <w:highlight w:val="none"/>
        </w:rPr>
        <w:t>负责人需具备符合当地要求的相应证书，且在采购活动期间（成交通知书签发之前）未发生被有关部门暂扣情况；</w:t>
      </w:r>
      <w:r>
        <w:rPr>
          <w:color w:val="auto"/>
          <w:szCs w:val="21"/>
          <w:highlight w:val="none"/>
        </w:rPr>
        <w:t xml:space="preserve"> </w:t>
      </w:r>
    </w:p>
    <w:p w14:paraId="315927DD">
      <w:pPr>
        <w:widowControl/>
        <w:spacing w:line="360" w:lineRule="auto"/>
        <w:ind w:left="1035" w:leftChars="247" w:hanging="516" w:hangingChars="246"/>
        <w:rPr>
          <w:color w:val="auto"/>
          <w:szCs w:val="21"/>
          <w:highlight w:val="none"/>
        </w:rPr>
      </w:pPr>
      <w:r>
        <w:rPr>
          <w:color w:val="auto"/>
          <w:szCs w:val="21"/>
          <w:highlight w:val="none"/>
        </w:rPr>
        <w:t>2.1.5</w:t>
      </w:r>
      <w:r>
        <w:rPr>
          <w:rFonts w:hint="eastAsia"/>
          <w:color w:val="auto"/>
          <w:szCs w:val="21"/>
          <w:highlight w:val="none"/>
        </w:rPr>
        <w:t>响应单位没有处于被责令停业，响应资格被取消，财产被接管、冻结、破产状态；未列入全国人民法院失信被执行人名单。</w:t>
      </w:r>
    </w:p>
    <w:p w14:paraId="445B06BA">
      <w:pPr>
        <w:widowControl/>
        <w:spacing w:line="360" w:lineRule="auto"/>
        <w:ind w:left="1035" w:leftChars="247" w:hanging="516" w:hangingChars="246"/>
        <w:rPr>
          <w:color w:val="auto"/>
          <w:szCs w:val="21"/>
          <w:highlight w:val="none"/>
        </w:rPr>
      </w:pPr>
      <w:r>
        <w:rPr>
          <w:rFonts w:hint="eastAsia"/>
          <w:color w:val="auto"/>
          <w:szCs w:val="21"/>
          <w:highlight w:val="none"/>
        </w:rPr>
        <w:t>2.1.6响应单位在最近3年内没有骗取中标（采购成交）和严重违约及重大工程质量事故。</w:t>
      </w:r>
    </w:p>
    <w:p w14:paraId="731DE54F">
      <w:pPr>
        <w:widowControl/>
        <w:spacing w:line="360" w:lineRule="auto"/>
        <w:ind w:left="489" w:leftChars="233"/>
        <w:rPr>
          <w:color w:val="auto"/>
          <w:szCs w:val="21"/>
          <w:highlight w:val="none"/>
        </w:rPr>
      </w:pPr>
      <w:r>
        <w:rPr>
          <w:rFonts w:hint="eastAsia"/>
          <w:color w:val="auto"/>
          <w:szCs w:val="21"/>
          <w:highlight w:val="none"/>
        </w:rPr>
        <w:t>2.1.7响应单位需在中建路桥集团合格分供商名录中，未在中建系统不合格（含不良行为）名册中。</w:t>
      </w:r>
    </w:p>
    <w:p w14:paraId="5CF2FC70">
      <w:pPr>
        <w:widowControl/>
        <w:spacing w:line="360" w:lineRule="auto"/>
        <w:ind w:left="516" w:leftChars="33" w:hanging="447" w:hangingChars="213"/>
        <w:rPr>
          <w:color w:val="auto"/>
          <w:szCs w:val="21"/>
          <w:highlight w:val="none"/>
        </w:rPr>
      </w:pPr>
      <w:r>
        <w:rPr>
          <w:color w:val="auto"/>
          <w:szCs w:val="21"/>
          <w:highlight w:val="none"/>
        </w:rPr>
        <w:t>2.2本工程采购是并被认为其具有2.1款中所规定的合格条件，且按</w:t>
      </w:r>
      <w:r>
        <w:rPr>
          <w:rFonts w:hint="eastAsia"/>
          <w:color w:val="auto"/>
          <w:szCs w:val="21"/>
          <w:highlight w:val="none"/>
        </w:rPr>
        <w:t>采购</w:t>
      </w:r>
      <w:r>
        <w:rPr>
          <w:color w:val="auto"/>
          <w:szCs w:val="21"/>
          <w:highlight w:val="none"/>
        </w:rPr>
        <w:t>文件的要求如实填报了一切必要的材料。</w:t>
      </w:r>
    </w:p>
    <w:p w14:paraId="70CB2E86">
      <w:pPr>
        <w:widowControl/>
        <w:spacing w:line="360" w:lineRule="auto"/>
        <w:ind w:left="516" w:leftChars="33" w:hanging="447" w:hangingChars="213"/>
        <w:rPr>
          <w:color w:val="auto"/>
          <w:szCs w:val="21"/>
          <w:highlight w:val="none"/>
        </w:rPr>
      </w:pPr>
      <w:r>
        <w:rPr>
          <w:color w:val="auto"/>
          <w:szCs w:val="21"/>
          <w:highlight w:val="none"/>
        </w:rPr>
        <w:t>2.3响应单位应真实、完整地填报响应文件。如响应单位刻意隐瞒所报资料的真实性或采购活动期间在施项目发生重大质量或安全事故，采购人将保留取消其</w:t>
      </w:r>
      <w:r>
        <w:rPr>
          <w:rFonts w:hint="eastAsia"/>
          <w:color w:val="auto"/>
          <w:szCs w:val="21"/>
          <w:highlight w:val="none"/>
        </w:rPr>
        <w:t>响应/成交</w:t>
      </w:r>
      <w:r>
        <w:rPr>
          <w:color w:val="auto"/>
          <w:szCs w:val="21"/>
          <w:highlight w:val="none"/>
        </w:rPr>
        <w:t>资格的权力。</w:t>
      </w:r>
    </w:p>
    <w:p w14:paraId="3DC4C2B7">
      <w:pPr>
        <w:widowControl/>
        <w:spacing w:line="360" w:lineRule="auto"/>
        <w:ind w:left="516" w:leftChars="33" w:hanging="447" w:hangingChars="213"/>
        <w:rPr>
          <w:color w:val="auto"/>
          <w:szCs w:val="21"/>
          <w:highlight w:val="none"/>
        </w:rPr>
      </w:pPr>
      <w:r>
        <w:rPr>
          <w:color w:val="auto"/>
          <w:szCs w:val="21"/>
          <w:highlight w:val="none"/>
        </w:rPr>
        <w:t>2.4响应单位应慎重选择和填报拟投入人员，确保他们满足采购人的要求，并保证一旦</w:t>
      </w:r>
      <w:r>
        <w:rPr>
          <w:rFonts w:hint="eastAsia"/>
          <w:color w:val="auto"/>
          <w:szCs w:val="21"/>
          <w:highlight w:val="none"/>
        </w:rPr>
        <w:t>成交</w:t>
      </w:r>
      <w:r>
        <w:rPr>
          <w:color w:val="auto"/>
          <w:szCs w:val="21"/>
          <w:highlight w:val="none"/>
        </w:rPr>
        <w:t>能够按时进场。</w:t>
      </w:r>
      <w:r>
        <w:rPr>
          <w:rFonts w:hint="eastAsia"/>
          <w:color w:val="auto"/>
          <w:szCs w:val="21"/>
          <w:highlight w:val="none"/>
        </w:rPr>
        <w:t>合同签订后，若</w:t>
      </w:r>
      <w:r>
        <w:rPr>
          <w:color w:val="auto"/>
          <w:szCs w:val="21"/>
          <w:highlight w:val="none"/>
        </w:rPr>
        <w:t>非采购人主动要求，响应单位自行更换进场人员的，</w:t>
      </w:r>
      <w:r>
        <w:rPr>
          <w:rFonts w:hint="eastAsia"/>
          <w:color w:val="auto"/>
          <w:szCs w:val="21"/>
          <w:highlight w:val="none"/>
        </w:rPr>
        <w:t>需经</w:t>
      </w:r>
      <w:r>
        <w:rPr>
          <w:color w:val="auto"/>
          <w:szCs w:val="21"/>
          <w:highlight w:val="none"/>
        </w:rPr>
        <w:t>采购人同意，</w:t>
      </w:r>
      <w:r>
        <w:rPr>
          <w:rFonts w:hint="eastAsia"/>
          <w:color w:val="auto"/>
          <w:szCs w:val="21"/>
          <w:highlight w:val="none"/>
        </w:rPr>
        <w:t>否则</w:t>
      </w:r>
      <w:r>
        <w:rPr>
          <w:color w:val="auto"/>
          <w:szCs w:val="21"/>
          <w:highlight w:val="none"/>
        </w:rPr>
        <w:t>将从其</w:t>
      </w:r>
      <w:r>
        <w:rPr>
          <w:rFonts w:hint="eastAsia"/>
          <w:color w:val="auto"/>
          <w:szCs w:val="21"/>
          <w:highlight w:val="none"/>
        </w:rPr>
        <w:t>成交</w:t>
      </w:r>
      <w:r>
        <w:rPr>
          <w:color w:val="auto"/>
          <w:szCs w:val="21"/>
          <w:highlight w:val="none"/>
        </w:rPr>
        <w:t>金额中扣取一定的违约金。项目</w:t>
      </w:r>
      <w:r>
        <w:rPr>
          <w:rFonts w:hint="eastAsia"/>
          <w:color w:val="auto"/>
          <w:szCs w:val="21"/>
          <w:highlight w:val="none"/>
        </w:rPr>
        <w:t>负责人</w:t>
      </w:r>
      <w:r>
        <w:rPr>
          <w:color w:val="auto"/>
          <w:szCs w:val="21"/>
          <w:highlight w:val="none"/>
        </w:rPr>
        <w:t>或技术负责人扣款标准为：</w:t>
      </w:r>
      <w:r>
        <w:rPr>
          <w:rFonts w:hint="eastAsia"/>
          <w:color w:val="auto"/>
          <w:szCs w:val="21"/>
          <w:highlight w:val="none"/>
        </w:rPr>
        <w:t>成交</w:t>
      </w:r>
      <w:r>
        <w:rPr>
          <w:color w:val="auto"/>
          <w:szCs w:val="21"/>
          <w:highlight w:val="none"/>
        </w:rPr>
        <w:t>金额*5‰/人</w:t>
      </w:r>
      <w:r>
        <w:rPr>
          <w:rFonts w:hint="eastAsia"/>
          <w:color w:val="auto"/>
          <w:szCs w:val="21"/>
          <w:highlight w:val="none"/>
        </w:rPr>
        <w:t>·</w:t>
      </w:r>
      <w:r>
        <w:rPr>
          <w:color w:val="auto"/>
          <w:szCs w:val="21"/>
          <w:highlight w:val="none"/>
        </w:rPr>
        <w:t>次</w:t>
      </w:r>
      <w:r>
        <w:rPr>
          <w:rFonts w:hint="eastAsia"/>
          <w:color w:val="auto"/>
          <w:szCs w:val="21"/>
          <w:highlight w:val="none"/>
        </w:rPr>
        <w:t>（不小于贰</w:t>
      </w:r>
      <w:r>
        <w:rPr>
          <w:color w:val="auto"/>
          <w:szCs w:val="21"/>
          <w:highlight w:val="none"/>
        </w:rPr>
        <w:t>万元/人</w:t>
      </w:r>
      <w:r>
        <w:rPr>
          <w:rFonts w:hint="eastAsia"/>
          <w:color w:val="auto"/>
          <w:szCs w:val="21"/>
          <w:highlight w:val="none"/>
        </w:rPr>
        <w:t>·</w:t>
      </w:r>
      <w:r>
        <w:rPr>
          <w:color w:val="auto"/>
          <w:szCs w:val="21"/>
          <w:highlight w:val="none"/>
        </w:rPr>
        <w:t>次。</w:t>
      </w:r>
      <w:r>
        <w:rPr>
          <w:rFonts w:hint="eastAsia"/>
          <w:color w:val="auto"/>
          <w:szCs w:val="21"/>
          <w:highlight w:val="none"/>
        </w:rPr>
        <w:t>）</w:t>
      </w:r>
      <w:r>
        <w:rPr>
          <w:color w:val="auto"/>
          <w:szCs w:val="21"/>
          <w:highlight w:val="none"/>
        </w:rPr>
        <w:t>；除此外其他人员为</w:t>
      </w:r>
      <w:r>
        <w:rPr>
          <w:rFonts w:hint="eastAsia"/>
          <w:color w:val="auto"/>
          <w:szCs w:val="21"/>
          <w:highlight w:val="none"/>
        </w:rPr>
        <w:t>壹</w:t>
      </w:r>
      <w:r>
        <w:rPr>
          <w:color w:val="auto"/>
          <w:szCs w:val="21"/>
          <w:highlight w:val="none"/>
        </w:rPr>
        <w:t>万元/人</w:t>
      </w:r>
      <w:r>
        <w:rPr>
          <w:rFonts w:hint="eastAsia"/>
          <w:color w:val="auto"/>
          <w:szCs w:val="21"/>
          <w:highlight w:val="none"/>
        </w:rPr>
        <w:t>·</w:t>
      </w:r>
      <w:r>
        <w:rPr>
          <w:color w:val="auto"/>
          <w:szCs w:val="21"/>
          <w:highlight w:val="none"/>
        </w:rPr>
        <w:t>次。</w:t>
      </w:r>
    </w:p>
    <w:p w14:paraId="406EC005">
      <w:pPr>
        <w:pStyle w:val="53"/>
        <w:spacing w:before="120"/>
        <w:rPr>
          <w:rStyle w:val="46"/>
          <w:rFonts w:ascii="Times New Roman" w:hAnsi="Times New Roman" w:eastAsia="宋体" w:cs="Times New Roman"/>
          <w:b/>
          <w:bCs w:val="0"/>
          <w:color w:val="auto"/>
          <w:sz w:val="28"/>
          <w:szCs w:val="28"/>
          <w:highlight w:val="none"/>
        </w:rPr>
      </w:pPr>
      <w:bookmarkStart w:id="84" w:name="_Toc53945776"/>
      <w:bookmarkStart w:id="85" w:name="_Toc53918802"/>
      <w:bookmarkStart w:id="86" w:name="_Toc53948752"/>
      <w:bookmarkStart w:id="87" w:name="_Toc54280786"/>
      <w:bookmarkStart w:id="88" w:name="_Toc54281212"/>
      <w:bookmarkStart w:id="89" w:name="_Toc53939575"/>
      <w:bookmarkStart w:id="90" w:name="_Toc54280360"/>
      <w:bookmarkStart w:id="91" w:name="_Toc145499733"/>
      <w:bookmarkStart w:id="92" w:name="_Toc54279934"/>
      <w:bookmarkStart w:id="93" w:name="_Toc53949173"/>
      <w:bookmarkStart w:id="94" w:name="_Toc53948331"/>
      <w:bookmarkStart w:id="95" w:name="_Toc53936511"/>
      <w:r>
        <w:rPr>
          <w:rStyle w:val="46"/>
          <w:rFonts w:hint="eastAsia" w:ascii="Times New Roman" w:hAnsi="Times New Roman" w:eastAsia="宋体" w:cs="Times New Roman"/>
          <w:b/>
          <w:bCs w:val="0"/>
          <w:color w:val="auto"/>
          <w:sz w:val="28"/>
          <w:szCs w:val="28"/>
          <w:highlight w:val="none"/>
        </w:rPr>
        <w:t>3</w:t>
      </w:r>
      <w:r>
        <w:rPr>
          <w:rStyle w:val="46"/>
          <w:rFonts w:ascii="Times New Roman" w:hAnsi="Times New Roman" w:eastAsia="宋体" w:cs="Times New Roman"/>
          <w:b/>
          <w:bCs w:val="0"/>
          <w:color w:val="auto"/>
          <w:sz w:val="28"/>
          <w:szCs w:val="28"/>
          <w:highlight w:val="none"/>
        </w:rPr>
        <w:t>.联合体</w:t>
      </w:r>
      <w:bookmarkEnd w:id="84"/>
      <w:bookmarkEnd w:id="85"/>
      <w:bookmarkEnd w:id="86"/>
      <w:bookmarkEnd w:id="87"/>
      <w:bookmarkEnd w:id="88"/>
      <w:bookmarkEnd w:id="89"/>
      <w:bookmarkEnd w:id="90"/>
      <w:bookmarkEnd w:id="91"/>
      <w:bookmarkEnd w:id="92"/>
      <w:bookmarkEnd w:id="93"/>
      <w:bookmarkEnd w:id="94"/>
      <w:bookmarkEnd w:id="95"/>
      <w:r>
        <w:rPr>
          <w:rStyle w:val="46"/>
          <w:rFonts w:hint="eastAsia" w:ascii="Times New Roman" w:hAnsi="Times New Roman" w:eastAsia="宋体" w:cs="Times New Roman"/>
          <w:b/>
          <w:bCs w:val="0"/>
          <w:color w:val="auto"/>
          <w:sz w:val="28"/>
          <w:szCs w:val="28"/>
          <w:highlight w:val="none"/>
        </w:rPr>
        <w:t>响应采购</w:t>
      </w:r>
    </w:p>
    <w:p w14:paraId="73C95BFA">
      <w:pPr>
        <w:widowControl/>
        <w:spacing w:line="360" w:lineRule="auto"/>
        <w:ind w:left="419" w:leftChars="33" w:hanging="350" w:hangingChars="167"/>
        <w:rPr>
          <w:color w:val="auto"/>
          <w:szCs w:val="21"/>
          <w:highlight w:val="none"/>
        </w:rPr>
      </w:pPr>
      <w:bookmarkStart w:id="96" w:name="_Toc54279935"/>
      <w:bookmarkStart w:id="97" w:name="_Toc54281213"/>
      <w:bookmarkStart w:id="98" w:name="_Toc53948753"/>
      <w:bookmarkStart w:id="99" w:name="_Toc53945777"/>
      <w:bookmarkStart w:id="100" w:name="_Toc53948332"/>
      <w:bookmarkStart w:id="101" w:name="_Toc53939576"/>
      <w:bookmarkStart w:id="102" w:name="_Toc54280361"/>
      <w:bookmarkStart w:id="103" w:name="_Toc54280787"/>
      <w:bookmarkStart w:id="104" w:name="_Toc53949174"/>
      <w:bookmarkStart w:id="105" w:name="_Toc53918803"/>
      <w:bookmarkStart w:id="106" w:name="_Toc53936512"/>
      <w:r>
        <w:rPr>
          <w:rFonts w:hint="eastAsia"/>
          <w:color w:val="auto"/>
          <w:szCs w:val="21"/>
          <w:highlight w:val="none"/>
        </w:rPr>
        <w:t>3.1本分包工程采购人不接受联合体参与采购活动。</w:t>
      </w:r>
    </w:p>
    <w:p w14:paraId="0EDA6FB3">
      <w:pPr>
        <w:pStyle w:val="53"/>
        <w:spacing w:before="120"/>
        <w:rPr>
          <w:rStyle w:val="46"/>
          <w:rFonts w:ascii="Times New Roman" w:hAnsi="Times New Roman" w:eastAsia="宋体" w:cs="Times New Roman"/>
          <w:b/>
          <w:bCs w:val="0"/>
          <w:color w:val="auto"/>
          <w:sz w:val="28"/>
          <w:szCs w:val="28"/>
          <w:highlight w:val="none"/>
        </w:rPr>
      </w:pPr>
      <w:bookmarkStart w:id="107" w:name="_Toc145499734"/>
      <w:r>
        <w:rPr>
          <w:rStyle w:val="46"/>
          <w:rFonts w:hint="eastAsia" w:ascii="Times New Roman" w:hAnsi="Times New Roman" w:eastAsia="宋体" w:cs="Times New Roman"/>
          <w:b/>
          <w:bCs w:val="0"/>
          <w:color w:val="auto"/>
          <w:sz w:val="28"/>
          <w:szCs w:val="28"/>
          <w:highlight w:val="none"/>
        </w:rPr>
        <w:t>4</w:t>
      </w:r>
      <w:r>
        <w:rPr>
          <w:rStyle w:val="46"/>
          <w:rFonts w:ascii="Times New Roman" w:hAnsi="Times New Roman" w:eastAsia="宋体" w:cs="Times New Roman"/>
          <w:b/>
          <w:bCs w:val="0"/>
          <w:color w:val="auto"/>
          <w:sz w:val="28"/>
          <w:szCs w:val="28"/>
          <w:highlight w:val="none"/>
        </w:rPr>
        <w:t>.</w:t>
      </w:r>
      <w:r>
        <w:rPr>
          <w:rStyle w:val="46"/>
          <w:rFonts w:hint="eastAsia" w:ascii="Times New Roman" w:hAnsi="Times New Roman" w:eastAsia="宋体" w:cs="Times New Roman"/>
          <w:b/>
          <w:bCs w:val="0"/>
          <w:color w:val="auto"/>
          <w:sz w:val="28"/>
          <w:szCs w:val="28"/>
          <w:highlight w:val="none"/>
        </w:rPr>
        <w:t>采购响应</w:t>
      </w:r>
      <w:r>
        <w:rPr>
          <w:rStyle w:val="46"/>
          <w:rFonts w:ascii="Times New Roman" w:hAnsi="Times New Roman" w:eastAsia="宋体" w:cs="Times New Roman"/>
          <w:b/>
          <w:bCs w:val="0"/>
          <w:color w:val="auto"/>
          <w:sz w:val="28"/>
          <w:szCs w:val="28"/>
          <w:highlight w:val="none"/>
        </w:rPr>
        <w:t>费用</w:t>
      </w:r>
      <w:bookmarkEnd w:id="96"/>
      <w:bookmarkEnd w:id="97"/>
      <w:bookmarkEnd w:id="98"/>
      <w:bookmarkEnd w:id="99"/>
      <w:bookmarkEnd w:id="100"/>
      <w:bookmarkEnd w:id="101"/>
      <w:bookmarkEnd w:id="102"/>
      <w:bookmarkEnd w:id="103"/>
      <w:bookmarkEnd w:id="104"/>
      <w:bookmarkEnd w:id="105"/>
      <w:bookmarkEnd w:id="106"/>
      <w:bookmarkEnd w:id="107"/>
    </w:p>
    <w:p w14:paraId="6CFBCC77">
      <w:pPr>
        <w:widowControl/>
        <w:spacing w:line="360" w:lineRule="auto"/>
        <w:ind w:left="516" w:leftChars="33" w:hanging="447" w:hangingChars="213"/>
        <w:rPr>
          <w:color w:val="auto"/>
          <w:szCs w:val="21"/>
          <w:highlight w:val="none"/>
        </w:rPr>
      </w:pPr>
      <w:r>
        <w:rPr>
          <w:rFonts w:hint="eastAsia"/>
          <w:color w:val="auto"/>
          <w:szCs w:val="21"/>
          <w:highlight w:val="none"/>
        </w:rPr>
        <w:t>4</w:t>
      </w:r>
      <w:r>
        <w:rPr>
          <w:color w:val="auto"/>
          <w:szCs w:val="21"/>
          <w:highlight w:val="none"/>
        </w:rPr>
        <w:t>.1响应单位在</w:t>
      </w:r>
      <w:r>
        <w:rPr>
          <w:rFonts w:hint="eastAsia"/>
          <w:color w:val="auto"/>
          <w:szCs w:val="21"/>
          <w:highlight w:val="none"/>
        </w:rPr>
        <w:t>采购</w:t>
      </w:r>
      <w:r>
        <w:rPr>
          <w:color w:val="auto"/>
          <w:szCs w:val="21"/>
          <w:highlight w:val="none"/>
        </w:rPr>
        <w:t>过程中的一切费用，不论</w:t>
      </w:r>
      <w:r>
        <w:rPr>
          <w:rFonts w:hint="eastAsia"/>
          <w:color w:val="auto"/>
          <w:szCs w:val="21"/>
          <w:highlight w:val="none"/>
        </w:rPr>
        <w:t>成交</w:t>
      </w:r>
      <w:r>
        <w:rPr>
          <w:color w:val="auto"/>
          <w:szCs w:val="21"/>
          <w:highlight w:val="none"/>
        </w:rPr>
        <w:t>与否，均由响应单位自负。</w:t>
      </w:r>
    </w:p>
    <w:p w14:paraId="12DFD20A">
      <w:pPr>
        <w:widowControl/>
        <w:spacing w:line="360" w:lineRule="auto"/>
        <w:ind w:left="516" w:leftChars="33" w:hanging="447" w:hangingChars="213"/>
        <w:rPr>
          <w:color w:val="auto"/>
          <w:szCs w:val="21"/>
          <w:highlight w:val="none"/>
        </w:rPr>
      </w:pPr>
      <w:r>
        <w:rPr>
          <w:rFonts w:hint="eastAsia"/>
          <w:color w:val="auto"/>
          <w:szCs w:val="21"/>
          <w:highlight w:val="none"/>
        </w:rPr>
        <w:t>4</w:t>
      </w:r>
      <w:r>
        <w:rPr>
          <w:color w:val="auto"/>
          <w:szCs w:val="21"/>
          <w:highlight w:val="none"/>
        </w:rPr>
        <w:t>.2采购人对未</w:t>
      </w:r>
      <w:r>
        <w:rPr>
          <w:rFonts w:hint="eastAsia"/>
          <w:color w:val="auto"/>
          <w:szCs w:val="21"/>
          <w:highlight w:val="none"/>
        </w:rPr>
        <w:t>成交响应单位</w:t>
      </w:r>
      <w:r>
        <w:rPr>
          <w:color w:val="auto"/>
          <w:szCs w:val="21"/>
          <w:highlight w:val="none"/>
        </w:rPr>
        <w:t>不予补偿。</w:t>
      </w:r>
    </w:p>
    <w:p w14:paraId="2F89972F">
      <w:pPr>
        <w:widowControl/>
        <w:spacing w:line="360" w:lineRule="auto"/>
        <w:ind w:left="516" w:leftChars="33" w:hanging="447" w:hangingChars="213"/>
        <w:rPr>
          <w:color w:val="auto"/>
          <w:szCs w:val="21"/>
          <w:highlight w:val="none"/>
        </w:rPr>
      </w:pPr>
      <w:r>
        <w:rPr>
          <w:rFonts w:hint="eastAsia"/>
          <w:color w:val="auto"/>
          <w:szCs w:val="21"/>
          <w:highlight w:val="none"/>
        </w:rPr>
        <w:t>4.3采购文件工本费：无。</w:t>
      </w:r>
    </w:p>
    <w:p w14:paraId="4C79BFD6">
      <w:pPr>
        <w:widowControl/>
        <w:spacing w:line="360" w:lineRule="auto"/>
        <w:ind w:left="516" w:leftChars="33" w:hanging="447" w:hangingChars="213"/>
        <w:rPr>
          <w:color w:val="auto"/>
          <w:szCs w:val="21"/>
          <w:highlight w:val="none"/>
        </w:rPr>
      </w:pPr>
      <w:r>
        <w:rPr>
          <w:rFonts w:hint="eastAsia"/>
          <w:color w:val="auto"/>
          <w:szCs w:val="21"/>
          <w:highlight w:val="none"/>
        </w:rPr>
        <w:t>4.4图纸押金：无。（如有纸质图纸，可按需约定）</w:t>
      </w:r>
    </w:p>
    <w:p w14:paraId="75C165CE">
      <w:pPr>
        <w:pStyle w:val="53"/>
        <w:spacing w:before="120"/>
        <w:rPr>
          <w:rStyle w:val="46"/>
          <w:rFonts w:ascii="Times New Roman" w:hAnsi="Times New Roman" w:eastAsia="宋体" w:cs="Times New Roman"/>
          <w:b/>
          <w:bCs w:val="0"/>
          <w:color w:val="auto"/>
          <w:sz w:val="28"/>
          <w:szCs w:val="28"/>
          <w:highlight w:val="none"/>
        </w:rPr>
      </w:pPr>
      <w:bookmarkStart w:id="108" w:name="_Toc54279936"/>
      <w:bookmarkStart w:id="109" w:name="_Toc53949175"/>
      <w:bookmarkStart w:id="110" w:name="_Toc53939577"/>
      <w:bookmarkStart w:id="111" w:name="_Toc54280362"/>
      <w:bookmarkStart w:id="112" w:name="_Toc53936513"/>
      <w:bookmarkStart w:id="113" w:name="_Toc53948754"/>
      <w:bookmarkStart w:id="114" w:name="_Toc54280788"/>
      <w:bookmarkStart w:id="115" w:name="_Toc53948333"/>
      <w:bookmarkStart w:id="116" w:name="_Toc53918804"/>
      <w:bookmarkStart w:id="117" w:name="_Toc54281214"/>
      <w:bookmarkStart w:id="118" w:name="_Toc53945778"/>
      <w:bookmarkStart w:id="119" w:name="_Toc145499735"/>
      <w:r>
        <w:rPr>
          <w:rStyle w:val="46"/>
          <w:rFonts w:hint="eastAsia" w:ascii="Times New Roman" w:hAnsi="Times New Roman" w:eastAsia="宋体" w:cs="Times New Roman"/>
          <w:b/>
          <w:bCs w:val="0"/>
          <w:color w:val="auto"/>
          <w:sz w:val="28"/>
          <w:szCs w:val="28"/>
          <w:highlight w:val="none"/>
        </w:rPr>
        <w:t>5</w:t>
      </w:r>
      <w:r>
        <w:rPr>
          <w:rStyle w:val="46"/>
          <w:rFonts w:ascii="Times New Roman" w:hAnsi="Times New Roman" w:eastAsia="宋体" w:cs="Times New Roman"/>
          <w:b/>
          <w:bCs w:val="0"/>
          <w:color w:val="auto"/>
          <w:sz w:val="28"/>
          <w:szCs w:val="28"/>
          <w:highlight w:val="none"/>
        </w:rPr>
        <w:t>.</w:t>
      </w:r>
      <w:bookmarkEnd w:id="108"/>
      <w:bookmarkEnd w:id="109"/>
      <w:bookmarkEnd w:id="110"/>
      <w:bookmarkEnd w:id="111"/>
      <w:bookmarkEnd w:id="112"/>
      <w:bookmarkEnd w:id="113"/>
      <w:bookmarkEnd w:id="114"/>
      <w:bookmarkEnd w:id="115"/>
      <w:bookmarkEnd w:id="116"/>
      <w:bookmarkEnd w:id="117"/>
      <w:bookmarkEnd w:id="118"/>
      <w:r>
        <w:rPr>
          <w:rStyle w:val="46"/>
          <w:rFonts w:ascii="Times New Roman" w:hAnsi="Times New Roman" w:eastAsia="宋体" w:cs="Times New Roman"/>
          <w:b/>
          <w:bCs w:val="0"/>
          <w:color w:val="auto"/>
          <w:sz w:val="28"/>
          <w:szCs w:val="28"/>
          <w:highlight w:val="none"/>
        </w:rPr>
        <w:t>现场</w:t>
      </w:r>
      <w:bookmarkEnd w:id="119"/>
      <w:r>
        <w:rPr>
          <w:rStyle w:val="46"/>
          <w:rFonts w:hint="eastAsia" w:ascii="Times New Roman" w:hAnsi="Times New Roman" w:eastAsia="宋体" w:cs="Times New Roman"/>
          <w:b/>
          <w:bCs w:val="0"/>
          <w:color w:val="auto"/>
          <w:sz w:val="28"/>
          <w:szCs w:val="28"/>
          <w:highlight w:val="none"/>
        </w:rPr>
        <w:t>踏勘</w:t>
      </w:r>
    </w:p>
    <w:p w14:paraId="176B93B6">
      <w:pPr>
        <w:widowControl/>
        <w:spacing w:line="360" w:lineRule="auto"/>
        <w:ind w:left="419" w:leftChars="33" w:hanging="350" w:hangingChars="167"/>
        <w:rPr>
          <w:color w:val="auto"/>
          <w:szCs w:val="21"/>
          <w:highlight w:val="none"/>
        </w:rPr>
      </w:pPr>
      <w:r>
        <w:rPr>
          <w:color w:val="auto"/>
          <w:szCs w:val="21"/>
          <w:highlight w:val="none"/>
        </w:rPr>
        <w:t>5.1响应单位应按照《响应单位须知前附表》中第</w:t>
      </w:r>
      <w:r>
        <w:rPr>
          <w:rFonts w:hint="eastAsia"/>
          <w:color w:val="auto"/>
          <w:szCs w:val="21"/>
          <w:highlight w:val="none"/>
        </w:rPr>
        <w:t>3</w:t>
      </w:r>
      <w:r>
        <w:rPr>
          <w:color w:val="auto"/>
          <w:szCs w:val="21"/>
          <w:highlight w:val="none"/>
        </w:rPr>
        <w:t>项要求的时间和地址，</w:t>
      </w:r>
      <w:r>
        <w:rPr>
          <w:rFonts w:hint="eastAsia"/>
          <w:color w:val="auto"/>
          <w:szCs w:val="21"/>
          <w:highlight w:val="none"/>
        </w:rPr>
        <w:t>自行组织前往对</w:t>
      </w:r>
      <w:r>
        <w:rPr>
          <w:color w:val="auto"/>
          <w:szCs w:val="21"/>
          <w:highlight w:val="none"/>
        </w:rPr>
        <w:t>现场及其周围环境进行的</w:t>
      </w:r>
      <w:r>
        <w:rPr>
          <w:rFonts w:hint="eastAsia"/>
          <w:color w:val="auto"/>
          <w:szCs w:val="21"/>
          <w:highlight w:val="none"/>
        </w:rPr>
        <w:t>踏勘</w:t>
      </w:r>
      <w:r>
        <w:rPr>
          <w:color w:val="auto"/>
          <w:szCs w:val="21"/>
          <w:highlight w:val="none"/>
        </w:rPr>
        <w:t>，以便使响应单位自行查明或核实有关编制响应文件和签订合同所必需的一切资料。</w:t>
      </w:r>
    </w:p>
    <w:p w14:paraId="150E7AF8">
      <w:pPr>
        <w:widowControl/>
        <w:spacing w:line="360" w:lineRule="auto"/>
        <w:ind w:left="419" w:leftChars="33" w:hanging="350" w:hangingChars="167"/>
        <w:rPr>
          <w:color w:val="auto"/>
          <w:szCs w:val="21"/>
          <w:highlight w:val="none"/>
        </w:rPr>
      </w:pPr>
      <w:r>
        <w:rPr>
          <w:color w:val="auto"/>
          <w:szCs w:val="21"/>
          <w:highlight w:val="none"/>
        </w:rPr>
        <w:t>5.2现场</w:t>
      </w:r>
      <w:r>
        <w:rPr>
          <w:rFonts w:hint="eastAsia"/>
          <w:color w:val="auto"/>
          <w:szCs w:val="21"/>
          <w:highlight w:val="none"/>
        </w:rPr>
        <w:t>踏勘</w:t>
      </w:r>
      <w:r>
        <w:rPr>
          <w:color w:val="auto"/>
          <w:szCs w:val="21"/>
          <w:highlight w:val="none"/>
        </w:rPr>
        <w:t>时，采购人</w:t>
      </w:r>
      <w:r>
        <w:rPr>
          <w:rFonts w:hint="eastAsia"/>
          <w:color w:val="auto"/>
          <w:szCs w:val="21"/>
          <w:highlight w:val="none"/>
        </w:rPr>
        <w:t>相关负责人</w:t>
      </w:r>
      <w:r>
        <w:rPr>
          <w:color w:val="auto"/>
          <w:szCs w:val="21"/>
          <w:highlight w:val="none"/>
        </w:rPr>
        <w:t>将介绍工程的地形、地貌、水文、地质、气象、料场、水源、电源、通讯、交通条件等，以帮助响应单位了解现场情况，利于编制响应文件。</w:t>
      </w:r>
    </w:p>
    <w:p w14:paraId="67904B5E">
      <w:pPr>
        <w:widowControl/>
        <w:spacing w:line="360" w:lineRule="auto"/>
        <w:ind w:left="419" w:leftChars="33" w:hanging="350" w:hangingChars="167"/>
        <w:rPr>
          <w:color w:val="auto"/>
          <w:szCs w:val="21"/>
          <w:highlight w:val="none"/>
        </w:rPr>
      </w:pPr>
      <w:r>
        <w:rPr>
          <w:color w:val="auto"/>
          <w:szCs w:val="21"/>
          <w:highlight w:val="none"/>
        </w:rPr>
        <w:t>5.</w:t>
      </w:r>
      <w:r>
        <w:rPr>
          <w:rFonts w:hint="eastAsia"/>
          <w:color w:val="auto"/>
          <w:szCs w:val="21"/>
          <w:highlight w:val="none"/>
        </w:rPr>
        <w:t>3</w:t>
      </w:r>
      <w:r>
        <w:rPr>
          <w:color w:val="auto"/>
          <w:szCs w:val="21"/>
          <w:highlight w:val="none"/>
        </w:rPr>
        <w:t>现场</w:t>
      </w:r>
      <w:r>
        <w:rPr>
          <w:rFonts w:hint="eastAsia"/>
          <w:color w:val="auto"/>
          <w:szCs w:val="21"/>
          <w:highlight w:val="none"/>
        </w:rPr>
        <w:t>踏勘</w:t>
      </w:r>
      <w:r>
        <w:rPr>
          <w:color w:val="auto"/>
          <w:szCs w:val="21"/>
          <w:highlight w:val="none"/>
        </w:rPr>
        <w:t>期间，响应单位如果发生人身伤亡、财物或其他损失，无论何种原因造成，采购人均不负责。</w:t>
      </w:r>
    </w:p>
    <w:p w14:paraId="25A835BC">
      <w:pPr>
        <w:widowControl/>
        <w:spacing w:line="360" w:lineRule="auto"/>
        <w:ind w:left="419" w:leftChars="33" w:hanging="350" w:hangingChars="167"/>
        <w:rPr>
          <w:color w:val="auto"/>
          <w:szCs w:val="21"/>
          <w:highlight w:val="none"/>
        </w:rPr>
      </w:pPr>
      <w:r>
        <w:rPr>
          <w:color w:val="auto"/>
          <w:szCs w:val="21"/>
          <w:highlight w:val="none"/>
        </w:rPr>
        <w:t>5.</w:t>
      </w:r>
      <w:r>
        <w:rPr>
          <w:rFonts w:hint="eastAsia"/>
          <w:color w:val="auto"/>
          <w:szCs w:val="21"/>
          <w:highlight w:val="none"/>
        </w:rPr>
        <w:t>4</w:t>
      </w:r>
      <w:r>
        <w:rPr>
          <w:color w:val="auto"/>
          <w:szCs w:val="21"/>
          <w:highlight w:val="none"/>
        </w:rPr>
        <w:t>现场</w:t>
      </w:r>
      <w:r>
        <w:rPr>
          <w:rFonts w:hint="eastAsia"/>
          <w:color w:val="auto"/>
          <w:szCs w:val="21"/>
          <w:highlight w:val="none"/>
        </w:rPr>
        <w:t>踏勘</w:t>
      </w:r>
      <w:r>
        <w:rPr>
          <w:color w:val="auto"/>
          <w:szCs w:val="21"/>
          <w:highlight w:val="none"/>
        </w:rPr>
        <w:t>期间，响应单位应自备车辆，其食宿</w:t>
      </w:r>
      <w:r>
        <w:rPr>
          <w:rFonts w:hint="eastAsia"/>
          <w:color w:val="auto"/>
          <w:szCs w:val="21"/>
          <w:highlight w:val="none"/>
        </w:rPr>
        <w:t>、</w:t>
      </w:r>
      <w:r>
        <w:rPr>
          <w:color w:val="auto"/>
          <w:szCs w:val="21"/>
          <w:highlight w:val="none"/>
        </w:rPr>
        <w:t>费用</w:t>
      </w:r>
      <w:bookmarkStart w:id="1886" w:name="_GoBack"/>
      <w:bookmarkEnd w:id="1886"/>
      <w:r>
        <w:rPr>
          <w:color w:val="auto"/>
          <w:szCs w:val="21"/>
          <w:highlight w:val="none"/>
        </w:rPr>
        <w:t>、风险自理。</w:t>
      </w:r>
    </w:p>
    <w:p w14:paraId="412225F1">
      <w:pPr>
        <w:pStyle w:val="53"/>
        <w:spacing w:before="120"/>
        <w:rPr>
          <w:rStyle w:val="46"/>
          <w:rFonts w:ascii="Times New Roman" w:hAnsi="Times New Roman" w:eastAsia="宋体" w:cs="Times New Roman"/>
          <w:b/>
          <w:bCs w:val="0"/>
          <w:color w:val="auto"/>
          <w:sz w:val="28"/>
          <w:szCs w:val="28"/>
          <w:highlight w:val="none"/>
        </w:rPr>
      </w:pPr>
      <w:bookmarkStart w:id="120" w:name="_Toc53949177"/>
      <w:bookmarkStart w:id="121" w:name="_Toc145499737"/>
      <w:bookmarkStart w:id="122" w:name="_Toc54280790"/>
      <w:bookmarkStart w:id="123" w:name="_Toc53936515"/>
      <w:bookmarkStart w:id="124" w:name="_Toc53948756"/>
      <w:bookmarkStart w:id="125" w:name="_Toc53939579"/>
      <w:bookmarkStart w:id="126" w:name="_Toc54279938"/>
      <w:bookmarkStart w:id="127" w:name="_Toc53945780"/>
      <w:bookmarkStart w:id="128" w:name="_Toc54280364"/>
      <w:bookmarkStart w:id="129" w:name="_Toc53918806"/>
      <w:bookmarkStart w:id="130" w:name="_Toc54281216"/>
      <w:bookmarkStart w:id="131" w:name="_Toc53948335"/>
      <w:r>
        <w:rPr>
          <w:rStyle w:val="46"/>
          <w:rFonts w:hint="eastAsia" w:ascii="Times New Roman" w:hAnsi="Times New Roman" w:eastAsia="宋体" w:cs="Times New Roman"/>
          <w:b/>
          <w:bCs w:val="0"/>
          <w:color w:val="auto"/>
          <w:sz w:val="28"/>
          <w:szCs w:val="28"/>
          <w:highlight w:val="none"/>
        </w:rPr>
        <w:t>6</w:t>
      </w:r>
      <w:r>
        <w:rPr>
          <w:rStyle w:val="46"/>
          <w:rFonts w:ascii="Times New Roman" w:hAnsi="Times New Roman" w:eastAsia="宋体" w:cs="Times New Roman"/>
          <w:b/>
          <w:bCs w:val="0"/>
          <w:color w:val="auto"/>
          <w:sz w:val="28"/>
          <w:szCs w:val="28"/>
          <w:highlight w:val="none"/>
        </w:rPr>
        <w:t>.水文及地表以下资料</w:t>
      </w:r>
      <w:bookmarkEnd w:id="120"/>
      <w:bookmarkEnd w:id="121"/>
      <w:bookmarkEnd w:id="122"/>
      <w:bookmarkEnd w:id="123"/>
      <w:bookmarkEnd w:id="124"/>
      <w:bookmarkEnd w:id="125"/>
      <w:bookmarkEnd w:id="126"/>
      <w:bookmarkEnd w:id="127"/>
      <w:bookmarkEnd w:id="128"/>
      <w:bookmarkEnd w:id="129"/>
      <w:bookmarkEnd w:id="130"/>
      <w:bookmarkEnd w:id="131"/>
    </w:p>
    <w:p w14:paraId="561674AD">
      <w:pPr>
        <w:widowControl/>
        <w:spacing w:line="360" w:lineRule="auto"/>
        <w:ind w:left="419" w:leftChars="33" w:hanging="350" w:hangingChars="167"/>
        <w:rPr>
          <w:color w:val="auto"/>
          <w:szCs w:val="21"/>
          <w:highlight w:val="none"/>
        </w:rPr>
      </w:pPr>
      <w:r>
        <w:rPr>
          <w:rFonts w:hint="eastAsia"/>
          <w:color w:val="auto"/>
          <w:szCs w:val="21"/>
          <w:highlight w:val="none"/>
        </w:rPr>
        <w:t>6</w:t>
      </w:r>
      <w:r>
        <w:rPr>
          <w:color w:val="auto"/>
          <w:szCs w:val="21"/>
          <w:highlight w:val="none"/>
        </w:rPr>
        <w:t>.1采购人</w:t>
      </w:r>
      <w:r>
        <w:rPr>
          <w:rFonts w:hint="eastAsia"/>
          <w:color w:val="auto"/>
          <w:szCs w:val="21"/>
          <w:highlight w:val="none"/>
        </w:rPr>
        <w:t>若有且需要提供给响应单位的，采购人可提供水文</w:t>
      </w:r>
      <w:r>
        <w:rPr>
          <w:color w:val="auto"/>
          <w:szCs w:val="21"/>
          <w:highlight w:val="none"/>
        </w:rPr>
        <w:t>及</w:t>
      </w:r>
      <w:r>
        <w:rPr>
          <w:rFonts w:hint="eastAsia"/>
          <w:color w:val="auto"/>
          <w:szCs w:val="21"/>
          <w:highlight w:val="none"/>
        </w:rPr>
        <w:t>地表以下</w:t>
      </w:r>
      <w:r>
        <w:rPr>
          <w:color w:val="auto"/>
          <w:szCs w:val="21"/>
          <w:highlight w:val="none"/>
        </w:rPr>
        <w:t>等其它资料</w:t>
      </w:r>
      <w:r>
        <w:rPr>
          <w:rFonts w:hint="eastAsia"/>
          <w:color w:val="auto"/>
          <w:szCs w:val="21"/>
          <w:highlight w:val="none"/>
        </w:rPr>
        <w:t>。</w:t>
      </w:r>
    </w:p>
    <w:p w14:paraId="368700CB">
      <w:pPr>
        <w:pStyle w:val="53"/>
        <w:spacing w:before="120"/>
        <w:rPr>
          <w:rStyle w:val="46"/>
          <w:rFonts w:ascii="Times New Roman" w:hAnsi="Times New Roman" w:eastAsia="宋体" w:cs="Times New Roman"/>
          <w:b/>
          <w:bCs w:val="0"/>
          <w:color w:val="auto"/>
          <w:sz w:val="28"/>
          <w:szCs w:val="28"/>
          <w:highlight w:val="none"/>
        </w:rPr>
      </w:pPr>
      <w:bookmarkStart w:id="132" w:name="_Toc53949178"/>
      <w:bookmarkStart w:id="133" w:name="_Toc53918807"/>
      <w:bookmarkStart w:id="134" w:name="_Toc53948757"/>
      <w:bookmarkStart w:id="135" w:name="_Toc54281217"/>
      <w:bookmarkStart w:id="136" w:name="_Toc53945781"/>
      <w:bookmarkStart w:id="137" w:name="_Toc53939580"/>
      <w:bookmarkStart w:id="138" w:name="_Toc54280791"/>
      <w:bookmarkStart w:id="139" w:name="_Toc54280365"/>
      <w:bookmarkStart w:id="140" w:name="_Toc53936516"/>
      <w:bookmarkStart w:id="141" w:name="_Toc54279939"/>
      <w:bookmarkStart w:id="142" w:name="_Toc53948336"/>
      <w:bookmarkStart w:id="143" w:name="_Toc145499738"/>
      <w:r>
        <w:rPr>
          <w:rStyle w:val="46"/>
          <w:rFonts w:hint="eastAsia" w:ascii="Times New Roman" w:hAnsi="Times New Roman" w:eastAsia="宋体" w:cs="Times New Roman"/>
          <w:b/>
          <w:bCs w:val="0"/>
          <w:color w:val="auto"/>
          <w:sz w:val="28"/>
          <w:szCs w:val="28"/>
          <w:highlight w:val="none"/>
        </w:rPr>
        <w:t>7</w:t>
      </w:r>
      <w:r>
        <w:rPr>
          <w:rStyle w:val="46"/>
          <w:rFonts w:ascii="Times New Roman" w:hAnsi="Times New Roman" w:eastAsia="宋体" w:cs="Times New Roman"/>
          <w:b/>
          <w:bCs w:val="0"/>
          <w:color w:val="auto"/>
          <w:sz w:val="28"/>
          <w:szCs w:val="28"/>
          <w:highlight w:val="none"/>
        </w:rPr>
        <w:t>.采购人式</w:t>
      </w:r>
      <w:bookmarkEnd w:id="132"/>
      <w:bookmarkEnd w:id="133"/>
      <w:bookmarkEnd w:id="134"/>
      <w:bookmarkEnd w:id="135"/>
      <w:bookmarkEnd w:id="136"/>
      <w:bookmarkEnd w:id="137"/>
      <w:bookmarkEnd w:id="138"/>
      <w:bookmarkEnd w:id="139"/>
      <w:bookmarkEnd w:id="140"/>
      <w:bookmarkEnd w:id="141"/>
      <w:bookmarkEnd w:id="142"/>
      <w:r>
        <w:rPr>
          <w:rStyle w:val="46"/>
          <w:rFonts w:ascii="Times New Roman" w:hAnsi="Times New Roman" w:eastAsia="宋体" w:cs="Times New Roman"/>
          <w:b/>
          <w:bCs w:val="0"/>
          <w:color w:val="auto"/>
          <w:sz w:val="28"/>
          <w:szCs w:val="28"/>
          <w:highlight w:val="none"/>
        </w:rPr>
        <w:t>和范围</w:t>
      </w:r>
      <w:bookmarkEnd w:id="143"/>
    </w:p>
    <w:p w14:paraId="74362D75">
      <w:pPr>
        <w:widowControl/>
        <w:spacing w:line="360" w:lineRule="auto"/>
        <w:ind w:left="419" w:leftChars="33" w:hanging="350" w:hangingChars="167"/>
        <w:rPr>
          <w:color w:val="auto"/>
          <w:szCs w:val="21"/>
          <w:highlight w:val="none"/>
        </w:rPr>
      </w:pPr>
      <w:r>
        <w:rPr>
          <w:rFonts w:hint="eastAsia"/>
          <w:color w:val="auto"/>
          <w:szCs w:val="21"/>
          <w:highlight w:val="none"/>
        </w:rPr>
        <w:t>7</w:t>
      </w:r>
      <w:r>
        <w:rPr>
          <w:color w:val="auto"/>
          <w:szCs w:val="21"/>
          <w:highlight w:val="none"/>
        </w:rPr>
        <w:t>.1本工程将</w:t>
      </w:r>
      <w:r>
        <w:rPr>
          <w:rFonts w:hint="eastAsia"/>
          <w:color w:val="auto"/>
          <w:szCs w:val="21"/>
          <w:highlight w:val="none"/>
        </w:rPr>
        <w:t>采取</w:t>
      </w:r>
      <w:r>
        <w:rPr>
          <w:rFonts w:hint="eastAsia"/>
          <w:color w:val="auto"/>
          <w:szCs w:val="21"/>
          <w:highlight w:val="none"/>
        </w:rPr>
        <w:t>公开</w:t>
      </w:r>
      <w:r>
        <w:rPr>
          <w:color w:val="auto"/>
          <w:szCs w:val="21"/>
          <w:highlight w:val="none"/>
        </w:rPr>
        <w:t>采购的方式，</w:t>
      </w:r>
      <w:r>
        <w:rPr>
          <w:rFonts w:hint="eastAsia"/>
          <w:color w:val="auto"/>
          <w:szCs w:val="21"/>
          <w:highlight w:val="none"/>
        </w:rPr>
        <w:t>遵循公平、公正、</w:t>
      </w:r>
      <w:r>
        <w:rPr>
          <w:color w:val="auto"/>
          <w:szCs w:val="21"/>
          <w:highlight w:val="none"/>
        </w:rPr>
        <w:t>科学、择优的原则，综合评选出</w:t>
      </w:r>
      <w:r>
        <w:rPr>
          <w:rFonts w:hint="eastAsia"/>
          <w:color w:val="auto"/>
          <w:szCs w:val="21"/>
          <w:highlight w:val="none"/>
        </w:rPr>
        <w:t>成交单位，不保证最低价成交，也不对成交结果作任何解释。</w:t>
      </w:r>
    </w:p>
    <w:p w14:paraId="5D7AC6CE">
      <w:pPr>
        <w:widowControl/>
        <w:spacing w:line="360" w:lineRule="auto"/>
        <w:ind w:left="516" w:leftChars="33" w:hanging="447" w:hangingChars="213"/>
        <w:rPr>
          <w:color w:val="auto"/>
          <w:szCs w:val="21"/>
          <w:highlight w:val="none"/>
        </w:rPr>
      </w:pPr>
      <w:r>
        <w:rPr>
          <w:rFonts w:hint="eastAsia"/>
          <w:color w:val="auto"/>
          <w:szCs w:val="21"/>
          <w:highlight w:val="none"/>
        </w:rPr>
        <w:t>7</w:t>
      </w:r>
      <w:r>
        <w:rPr>
          <w:color w:val="auto"/>
          <w:szCs w:val="21"/>
          <w:highlight w:val="none"/>
        </w:rPr>
        <w:t>.2本工程的采购范围见《</w:t>
      </w:r>
      <w:r>
        <w:rPr>
          <w:rFonts w:hint="eastAsia"/>
          <w:color w:val="auto"/>
          <w:szCs w:val="21"/>
          <w:highlight w:val="none"/>
        </w:rPr>
        <w:t>相应单位</w:t>
      </w:r>
      <w:r>
        <w:rPr>
          <w:color w:val="auto"/>
          <w:szCs w:val="21"/>
          <w:highlight w:val="none"/>
        </w:rPr>
        <w:t>须知前附表》第</w:t>
      </w:r>
      <w:r>
        <w:rPr>
          <w:rFonts w:hint="eastAsia"/>
          <w:color w:val="auto"/>
          <w:szCs w:val="21"/>
          <w:highlight w:val="none"/>
        </w:rPr>
        <w:t>4</w:t>
      </w:r>
      <w:r>
        <w:rPr>
          <w:color w:val="auto"/>
          <w:szCs w:val="21"/>
          <w:highlight w:val="none"/>
        </w:rPr>
        <w:t>项说明</w:t>
      </w:r>
      <w:r>
        <w:rPr>
          <w:rFonts w:hint="eastAsia"/>
          <w:color w:val="auto"/>
          <w:szCs w:val="21"/>
          <w:highlight w:val="none"/>
        </w:rPr>
        <w:t>。</w:t>
      </w:r>
      <w:bookmarkStart w:id="144" w:name="_Toc53939581"/>
      <w:bookmarkStart w:id="145" w:name="_Toc54281218"/>
      <w:bookmarkStart w:id="146" w:name="_Toc54279940"/>
      <w:bookmarkStart w:id="147" w:name="_Toc53918808"/>
      <w:bookmarkStart w:id="148" w:name="_Toc53948337"/>
      <w:bookmarkStart w:id="149" w:name="_Toc53945782"/>
      <w:bookmarkStart w:id="150" w:name="_Toc53949179"/>
      <w:bookmarkStart w:id="151" w:name="_Toc54280792"/>
      <w:bookmarkStart w:id="152" w:name="_Toc53948758"/>
      <w:bookmarkStart w:id="153" w:name="_Toc53936517"/>
      <w:bookmarkStart w:id="154" w:name="_Toc54280366"/>
      <w:bookmarkStart w:id="155" w:name="_Toc145499739"/>
    </w:p>
    <w:p w14:paraId="4A29BCDA">
      <w:pPr>
        <w:pStyle w:val="53"/>
        <w:spacing w:before="120"/>
        <w:rPr>
          <w:rStyle w:val="46"/>
          <w:rFonts w:ascii="Times New Roman" w:hAnsi="Times New Roman" w:eastAsia="宋体" w:cs="Times New Roman"/>
          <w:b/>
          <w:bCs w:val="0"/>
          <w:color w:val="auto"/>
          <w:sz w:val="28"/>
          <w:szCs w:val="28"/>
          <w:highlight w:val="none"/>
        </w:rPr>
      </w:pPr>
      <w:r>
        <w:rPr>
          <w:rStyle w:val="46"/>
          <w:rFonts w:hint="eastAsia" w:ascii="Times New Roman" w:hAnsi="Times New Roman" w:eastAsia="宋体" w:cs="Times New Roman"/>
          <w:b/>
          <w:bCs w:val="0"/>
          <w:color w:val="auto"/>
          <w:sz w:val="28"/>
          <w:szCs w:val="28"/>
          <w:highlight w:val="none"/>
        </w:rPr>
        <w:t>8</w:t>
      </w:r>
      <w:r>
        <w:rPr>
          <w:rStyle w:val="46"/>
          <w:rFonts w:ascii="Times New Roman" w:hAnsi="Times New Roman" w:eastAsia="宋体" w:cs="Times New Roman"/>
          <w:b/>
          <w:bCs w:val="0"/>
          <w:color w:val="auto"/>
          <w:sz w:val="28"/>
          <w:szCs w:val="28"/>
          <w:highlight w:val="none"/>
        </w:rPr>
        <w:t>.</w:t>
      </w:r>
      <w:bookmarkEnd w:id="144"/>
      <w:bookmarkEnd w:id="145"/>
      <w:bookmarkEnd w:id="146"/>
      <w:bookmarkEnd w:id="147"/>
      <w:bookmarkEnd w:id="148"/>
      <w:bookmarkEnd w:id="149"/>
      <w:bookmarkEnd w:id="150"/>
      <w:bookmarkEnd w:id="151"/>
      <w:bookmarkEnd w:id="152"/>
      <w:bookmarkEnd w:id="153"/>
      <w:bookmarkEnd w:id="154"/>
      <w:r>
        <w:rPr>
          <w:rStyle w:val="46"/>
          <w:rFonts w:ascii="Times New Roman" w:hAnsi="Times New Roman" w:eastAsia="宋体" w:cs="Times New Roman"/>
          <w:b/>
          <w:bCs w:val="0"/>
          <w:color w:val="auto"/>
          <w:sz w:val="28"/>
          <w:szCs w:val="28"/>
          <w:highlight w:val="none"/>
        </w:rPr>
        <w:t>合同</w:t>
      </w:r>
      <w:bookmarkEnd w:id="155"/>
      <w:r>
        <w:rPr>
          <w:rStyle w:val="46"/>
          <w:rFonts w:ascii="Times New Roman" w:hAnsi="Times New Roman" w:eastAsia="宋体" w:cs="Times New Roman"/>
          <w:b/>
          <w:bCs w:val="0"/>
          <w:color w:val="auto"/>
          <w:sz w:val="28"/>
          <w:szCs w:val="28"/>
          <w:highlight w:val="none"/>
        </w:rPr>
        <w:t>文件及价款方式</w:t>
      </w:r>
    </w:p>
    <w:p w14:paraId="3E3EE63D">
      <w:pPr>
        <w:widowControl/>
        <w:spacing w:line="360" w:lineRule="auto"/>
        <w:ind w:left="516" w:leftChars="33" w:hanging="447" w:hangingChars="213"/>
        <w:rPr>
          <w:color w:val="auto"/>
          <w:szCs w:val="21"/>
          <w:highlight w:val="none"/>
        </w:rPr>
      </w:pPr>
      <w:r>
        <w:rPr>
          <w:rFonts w:hint="eastAsia"/>
          <w:color w:val="auto"/>
          <w:szCs w:val="21"/>
          <w:highlight w:val="none"/>
        </w:rPr>
        <w:t>8</w:t>
      </w:r>
      <w:r>
        <w:rPr>
          <w:color w:val="auto"/>
          <w:szCs w:val="21"/>
          <w:highlight w:val="none"/>
        </w:rPr>
        <w:t>.1本工程的合同价款确定方式采用</w:t>
      </w:r>
      <w:r>
        <w:rPr>
          <w:color w:val="auto"/>
          <w:szCs w:val="21"/>
          <w:highlight w:val="none"/>
        </w:rPr>
        <w:t>固定</w:t>
      </w:r>
      <w:r>
        <w:rPr>
          <w:rFonts w:hint="eastAsia"/>
          <w:color w:val="auto"/>
          <w:szCs w:val="21"/>
          <w:highlight w:val="none"/>
        </w:rPr>
        <w:t>综合</w:t>
      </w:r>
      <w:r>
        <w:rPr>
          <w:color w:val="auto"/>
          <w:szCs w:val="21"/>
          <w:highlight w:val="none"/>
        </w:rPr>
        <w:t>单价</w:t>
      </w:r>
      <w:r>
        <w:rPr>
          <w:color w:val="auto"/>
          <w:szCs w:val="21"/>
          <w:highlight w:val="none"/>
        </w:rPr>
        <w:t>合同方式。</w:t>
      </w:r>
    </w:p>
    <w:p w14:paraId="0E139358">
      <w:pPr>
        <w:widowControl/>
        <w:spacing w:line="360" w:lineRule="auto"/>
        <w:ind w:left="516" w:leftChars="33" w:hanging="447" w:hangingChars="213"/>
        <w:rPr>
          <w:color w:val="auto"/>
          <w:szCs w:val="21"/>
          <w:highlight w:val="none"/>
        </w:rPr>
      </w:pPr>
      <w:r>
        <w:rPr>
          <w:rFonts w:hint="eastAsia"/>
          <w:color w:val="auto"/>
          <w:szCs w:val="21"/>
          <w:highlight w:val="none"/>
        </w:rPr>
        <w:t>8</w:t>
      </w:r>
      <w:r>
        <w:rPr>
          <w:color w:val="auto"/>
          <w:szCs w:val="21"/>
          <w:highlight w:val="none"/>
        </w:rPr>
        <w:t>.2本工程的合同文件格式详见本采购文件第</w:t>
      </w:r>
      <w:r>
        <w:rPr>
          <w:rFonts w:hint="eastAsia"/>
          <w:color w:val="auto"/>
          <w:szCs w:val="21"/>
          <w:highlight w:val="none"/>
        </w:rPr>
        <w:t>三</w:t>
      </w:r>
      <w:r>
        <w:rPr>
          <w:color w:val="auto"/>
          <w:szCs w:val="21"/>
          <w:highlight w:val="none"/>
        </w:rPr>
        <w:t>篇《</w:t>
      </w:r>
      <w:r>
        <w:rPr>
          <w:rFonts w:hint="eastAsia"/>
          <w:color w:val="auto"/>
          <w:szCs w:val="21"/>
          <w:highlight w:val="none"/>
        </w:rPr>
        <w:t>分包合同条款</w:t>
      </w:r>
      <w:r>
        <w:rPr>
          <w:color w:val="auto"/>
          <w:szCs w:val="21"/>
          <w:highlight w:val="none"/>
        </w:rPr>
        <w:t>》的相应内容。</w:t>
      </w:r>
    </w:p>
    <w:p w14:paraId="20086100">
      <w:pPr>
        <w:pStyle w:val="53"/>
        <w:spacing w:before="120"/>
        <w:rPr>
          <w:rStyle w:val="46"/>
          <w:rFonts w:ascii="Times New Roman" w:hAnsi="Times New Roman" w:eastAsia="宋体" w:cs="Times New Roman"/>
          <w:b/>
          <w:bCs w:val="0"/>
          <w:color w:val="auto"/>
          <w:sz w:val="28"/>
          <w:szCs w:val="28"/>
          <w:highlight w:val="none"/>
        </w:rPr>
      </w:pPr>
      <w:bookmarkStart w:id="156" w:name="_Toc53948759"/>
      <w:bookmarkStart w:id="157" w:name="_Toc54279941"/>
      <w:bookmarkStart w:id="158" w:name="_Toc54281219"/>
      <w:bookmarkStart w:id="159" w:name="_Toc54280793"/>
      <w:bookmarkStart w:id="160" w:name="_Toc53936518"/>
      <w:bookmarkStart w:id="161" w:name="_Toc53918809"/>
      <w:bookmarkStart w:id="162" w:name="_Toc54280367"/>
      <w:bookmarkStart w:id="163" w:name="_Toc53939582"/>
      <w:bookmarkStart w:id="164" w:name="_Toc53945783"/>
      <w:bookmarkStart w:id="165" w:name="_Toc53948338"/>
      <w:bookmarkStart w:id="166" w:name="_Toc53949180"/>
      <w:bookmarkStart w:id="167" w:name="_Toc145499740"/>
      <w:r>
        <w:rPr>
          <w:rStyle w:val="46"/>
          <w:rFonts w:hint="eastAsia" w:ascii="Times New Roman" w:hAnsi="Times New Roman" w:eastAsia="宋体" w:cs="Times New Roman"/>
          <w:b/>
          <w:bCs w:val="0"/>
          <w:color w:val="auto"/>
          <w:sz w:val="28"/>
          <w:szCs w:val="28"/>
          <w:highlight w:val="none"/>
        </w:rPr>
        <w:t>9</w:t>
      </w:r>
      <w:r>
        <w:rPr>
          <w:rStyle w:val="46"/>
          <w:rFonts w:ascii="Times New Roman" w:hAnsi="Times New Roman" w:eastAsia="宋体" w:cs="Times New Roman"/>
          <w:b/>
          <w:bCs w:val="0"/>
          <w:color w:val="auto"/>
          <w:sz w:val="28"/>
          <w:szCs w:val="28"/>
          <w:highlight w:val="none"/>
        </w:rPr>
        <w:t>.</w:t>
      </w:r>
      <w:bookmarkEnd w:id="156"/>
      <w:bookmarkEnd w:id="157"/>
      <w:bookmarkEnd w:id="158"/>
      <w:bookmarkEnd w:id="159"/>
      <w:bookmarkEnd w:id="160"/>
      <w:bookmarkEnd w:id="161"/>
      <w:bookmarkEnd w:id="162"/>
      <w:bookmarkEnd w:id="163"/>
      <w:bookmarkEnd w:id="164"/>
      <w:bookmarkEnd w:id="165"/>
      <w:bookmarkEnd w:id="166"/>
      <w:r>
        <w:rPr>
          <w:rStyle w:val="46"/>
          <w:rFonts w:hint="eastAsia" w:ascii="Times New Roman" w:hAnsi="Times New Roman" w:eastAsia="宋体" w:cs="Times New Roman"/>
          <w:b/>
          <w:bCs w:val="0"/>
          <w:color w:val="auto"/>
          <w:sz w:val="28"/>
          <w:szCs w:val="28"/>
          <w:highlight w:val="none"/>
        </w:rPr>
        <w:t>响应文件</w:t>
      </w:r>
      <w:r>
        <w:rPr>
          <w:rStyle w:val="46"/>
          <w:rFonts w:ascii="Times New Roman" w:hAnsi="Times New Roman" w:eastAsia="宋体" w:cs="Times New Roman"/>
          <w:b/>
          <w:bCs w:val="0"/>
          <w:color w:val="auto"/>
          <w:sz w:val="28"/>
          <w:szCs w:val="28"/>
          <w:highlight w:val="none"/>
        </w:rPr>
        <w:t>语言及单位</w:t>
      </w:r>
      <w:bookmarkEnd w:id="167"/>
    </w:p>
    <w:p w14:paraId="7C7E0228">
      <w:pPr>
        <w:widowControl/>
        <w:spacing w:line="360" w:lineRule="auto"/>
        <w:ind w:left="516" w:leftChars="33" w:hanging="447" w:hangingChars="213"/>
        <w:rPr>
          <w:color w:val="auto"/>
          <w:szCs w:val="21"/>
          <w:highlight w:val="none"/>
        </w:rPr>
      </w:pPr>
      <w:r>
        <w:rPr>
          <w:rFonts w:hint="eastAsia"/>
          <w:color w:val="auto"/>
          <w:szCs w:val="21"/>
          <w:highlight w:val="none"/>
        </w:rPr>
        <w:t>9</w:t>
      </w:r>
      <w:r>
        <w:rPr>
          <w:color w:val="auto"/>
          <w:szCs w:val="21"/>
          <w:highlight w:val="none"/>
        </w:rPr>
        <w:t>.1响应单位应使用中文进行响应文件编制或与采购人沟通交流。</w:t>
      </w:r>
    </w:p>
    <w:p w14:paraId="0925AB7A">
      <w:pPr>
        <w:widowControl/>
        <w:spacing w:line="360" w:lineRule="auto"/>
        <w:ind w:left="516" w:leftChars="33" w:hanging="447" w:hangingChars="213"/>
        <w:rPr>
          <w:color w:val="auto"/>
          <w:szCs w:val="21"/>
          <w:highlight w:val="none"/>
        </w:rPr>
      </w:pPr>
      <w:r>
        <w:rPr>
          <w:rFonts w:hint="eastAsia"/>
          <w:color w:val="auto"/>
          <w:szCs w:val="21"/>
          <w:highlight w:val="none"/>
        </w:rPr>
        <w:t>9</w:t>
      </w:r>
      <w:r>
        <w:rPr>
          <w:color w:val="auto"/>
          <w:szCs w:val="21"/>
          <w:highlight w:val="none"/>
        </w:rPr>
        <w:t>.2除工程规范另有规定外，响应文件使用的度量衡单位，均采用中华人民共和国法定计量单位。</w:t>
      </w:r>
    </w:p>
    <w:p w14:paraId="05300D03">
      <w:pPr>
        <w:pStyle w:val="53"/>
        <w:spacing w:before="120"/>
        <w:rPr>
          <w:rStyle w:val="46"/>
          <w:rFonts w:ascii="Times New Roman" w:hAnsi="Times New Roman" w:eastAsia="宋体" w:cs="Times New Roman"/>
          <w:b/>
          <w:bCs w:val="0"/>
          <w:color w:val="auto"/>
          <w:sz w:val="28"/>
          <w:szCs w:val="28"/>
          <w:highlight w:val="none"/>
        </w:rPr>
      </w:pPr>
      <w:bookmarkStart w:id="168" w:name="_Toc53948340"/>
      <w:bookmarkStart w:id="169" w:name="_Toc53918811"/>
      <w:bookmarkStart w:id="170" w:name="_Toc53948761"/>
      <w:bookmarkStart w:id="171" w:name="_Toc53949182"/>
      <w:bookmarkStart w:id="172" w:name="_Toc54280369"/>
      <w:bookmarkStart w:id="173" w:name="_Toc53945785"/>
      <w:bookmarkStart w:id="174" w:name="_Toc53936520"/>
      <w:bookmarkStart w:id="175" w:name="_Toc54280795"/>
      <w:bookmarkStart w:id="176" w:name="_Toc145499741"/>
      <w:bookmarkStart w:id="177" w:name="_Toc54279943"/>
      <w:bookmarkStart w:id="178" w:name="_Toc54281221"/>
      <w:bookmarkStart w:id="179" w:name="_Toc53939584"/>
      <w:r>
        <w:rPr>
          <w:rStyle w:val="46"/>
          <w:rFonts w:ascii="Times New Roman" w:hAnsi="Times New Roman" w:eastAsia="宋体" w:cs="Times New Roman"/>
          <w:b/>
          <w:bCs w:val="0"/>
          <w:color w:val="auto"/>
          <w:sz w:val="28"/>
          <w:szCs w:val="28"/>
          <w:highlight w:val="none"/>
        </w:rPr>
        <w:t>1</w:t>
      </w:r>
      <w:r>
        <w:rPr>
          <w:rStyle w:val="46"/>
          <w:rFonts w:hint="eastAsia" w:ascii="Times New Roman" w:hAnsi="Times New Roman" w:eastAsia="宋体" w:cs="Times New Roman"/>
          <w:b/>
          <w:bCs w:val="0"/>
          <w:color w:val="auto"/>
          <w:sz w:val="28"/>
          <w:szCs w:val="28"/>
          <w:highlight w:val="none"/>
        </w:rPr>
        <w:t>0</w:t>
      </w:r>
      <w:r>
        <w:rPr>
          <w:rStyle w:val="46"/>
          <w:rFonts w:ascii="Times New Roman" w:hAnsi="Times New Roman" w:eastAsia="宋体" w:cs="Times New Roman"/>
          <w:b/>
          <w:bCs w:val="0"/>
          <w:color w:val="auto"/>
          <w:sz w:val="28"/>
          <w:szCs w:val="28"/>
          <w:highlight w:val="none"/>
        </w:rPr>
        <w:t>.工程质量标准</w:t>
      </w:r>
      <w:bookmarkEnd w:id="168"/>
      <w:bookmarkEnd w:id="169"/>
      <w:bookmarkEnd w:id="170"/>
      <w:bookmarkEnd w:id="171"/>
      <w:bookmarkEnd w:id="172"/>
      <w:bookmarkEnd w:id="173"/>
      <w:bookmarkEnd w:id="174"/>
      <w:bookmarkEnd w:id="175"/>
      <w:bookmarkEnd w:id="176"/>
      <w:bookmarkEnd w:id="177"/>
      <w:bookmarkEnd w:id="178"/>
      <w:bookmarkEnd w:id="179"/>
      <w:r>
        <w:rPr>
          <w:rStyle w:val="46"/>
          <w:rFonts w:hint="eastAsia" w:ascii="Times New Roman" w:hAnsi="Times New Roman" w:eastAsia="宋体" w:cs="Times New Roman"/>
          <w:b/>
          <w:bCs w:val="0"/>
          <w:color w:val="auto"/>
          <w:sz w:val="28"/>
          <w:szCs w:val="28"/>
          <w:highlight w:val="none"/>
        </w:rPr>
        <w:t>及技术要求</w:t>
      </w:r>
    </w:p>
    <w:p w14:paraId="1F6FED94">
      <w:pPr>
        <w:widowControl/>
        <w:spacing w:line="360" w:lineRule="auto"/>
        <w:ind w:left="516" w:leftChars="33" w:hanging="447" w:hangingChars="213"/>
        <w:rPr>
          <w:color w:val="auto"/>
          <w:szCs w:val="21"/>
          <w:highlight w:val="none"/>
        </w:rPr>
      </w:pPr>
      <w:bookmarkStart w:id="180" w:name="_Toc54281222"/>
      <w:bookmarkStart w:id="181" w:name="_Toc53918812"/>
      <w:bookmarkStart w:id="182" w:name="_Toc53939585"/>
      <w:bookmarkStart w:id="183" w:name="_Toc53945786"/>
      <w:bookmarkStart w:id="184" w:name="_Toc54280370"/>
      <w:bookmarkStart w:id="185" w:name="_Toc53949183"/>
      <w:bookmarkStart w:id="186" w:name="_Toc53948762"/>
      <w:bookmarkStart w:id="187" w:name="_Toc54279944"/>
      <w:bookmarkStart w:id="188" w:name="_Toc53936521"/>
      <w:bookmarkStart w:id="189" w:name="_Toc53948341"/>
      <w:bookmarkStart w:id="190" w:name="_Toc54280796"/>
      <w:r>
        <w:rPr>
          <w:color w:val="auto"/>
          <w:szCs w:val="21"/>
          <w:highlight w:val="none"/>
        </w:rPr>
        <w:t>10.1工程质量标准约定如下：</w:t>
      </w:r>
    </w:p>
    <w:p w14:paraId="23FA172A">
      <w:pPr>
        <w:spacing w:line="360" w:lineRule="auto"/>
        <w:ind w:left="1035" w:leftChars="247" w:hanging="516" w:hangingChars="246"/>
        <w:rPr>
          <w:color w:val="auto"/>
          <w:szCs w:val="21"/>
          <w:highlight w:val="none"/>
        </w:rPr>
      </w:pPr>
      <w:r>
        <w:rPr>
          <w:color w:val="auto"/>
          <w:szCs w:val="21"/>
          <w:highlight w:val="none"/>
        </w:rPr>
        <w:t>10.1.1工程质量等级：</w:t>
      </w:r>
      <w:r>
        <w:rPr>
          <w:rFonts w:hint="eastAsia"/>
          <w:color w:val="auto"/>
          <w:szCs w:val="21"/>
          <w:highlight w:val="none"/>
          <w:u w:val="single"/>
        </w:rPr>
        <w:t xml:space="preserve"> </w:t>
      </w:r>
      <w:r>
        <w:rPr>
          <w:rFonts w:hint="eastAsia"/>
          <w:color w:val="auto"/>
          <w:szCs w:val="21"/>
          <w:highlight w:val="none"/>
          <w:u w:val="single"/>
          <w:lang w:val="en-US" w:eastAsia="zh-CN"/>
        </w:rPr>
        <w:t>合格</w:t>
      </w:r>
      <w:r>
        <w:rPr>
          <w:color w:val="auto"/>
          <w:szCs w:val="21"/>
          <w:highlight w:val="none"/>
          <w:u w:val="single"/>
        </w:rPr>
        <w:t xml:space="preserve"> </w:t>
      </w:r>
      <w:r>
        <w:rPr>
          <w:color w:val="auto"/>
          <w:szCs w:val="21"/>
          <w:highlight w:val="none"/>
        </w:rPr>
        <w:t>。</w:t>
      </w:r>
    </w:p>
    <w:p w14:paraId="4C577C46">
      <w:pPr>
        <w:widowControl/>
        <w:spacing w:line="360" w:lineRule="auto"/>
        <w:ind w:left="510" w:leftChars="233" w:hanging="21" w:hangingChars="10"/>
        <w:rPr>
          <w:color w:val="auto"/>
          <w:szCs w:val="21"/>
          <w:highlight w:val="none"/>
        </w:rPr>
      </w:pPr>
      <w:r>
        <w:rPr>
          <w:rFonts w:hint="eastAsia"/>
          <w:color w:val="auto"/>
          <w:szCs w:val="21"/>
          <w:highlight w:val="none"/>
        </w:rPr>
        <w:t>10.1.2优质奖项要求：</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lang w:val="en-US" w:eastAsia="zh-CN"/>
        </w:rPr>
        <w:t>无</w:t>
      </w:r>
      <w:r>
        <w:rPr>
          <w:color w:val="auto"/>
          <w:szCs w:val="21"/>
          <w:highlight w:val="none"/>
          <w:u w:val="single"/>
        </w:rPr>
        <w:t xml:space="preserve"> </w:t>
      </w:r>
      <w:r>
        <w:rPr>
          <w:rFonts w:hint="eastAsia"/>
          <w:color w:val="auto"/>
          <w:szCs w:val="21"/>
          <w:highlight w:val="none"/>
        </w:rPr>
        <w:t>。</w:t>
      </w:r>
    </w:p>
    <w:p w14:paraId="53477759">
      <w:pPr>
        <w:spacing w:line="360" w:lineRule="auto"/>
        <w:ind w:left="1035" w:leftChars="247" w:hanging="516" w:hangingChars="246"/>
        <w:rPr>
          <w:color w:val="auto"/>
          <w:szCs w:val="21"/>
          <w:highlight w:val="none"/>
        </w:rPr>
      </w:pPr>
      <w:r>
        <w:rPr>
          <w:color w:val="auto"/>
          <w:szCs w:val="21"/>
          <w:highlight w:val="none"/>
        </w:rPr>
        <w:t>10.1.</w:t>
      </w:r>
      <w:r>
        <w:rPr>
          <w:rFonts w:hint="eastAsia"/>
          <w:color w:val="auto"/>
          <w:szCs w:val="21"/>
          <w:highlight w:val="none"/>
        </w:rPr>
        <w:t>3</w:t>
      </w:r>
      <w:r>
        <w:rPr>
          <w:color w:val="auto"/>
          <w:szCs w:val="21"/>
          <w:highlight w:val="none"/>
        </w:rPr>
        <w:t>特别说明：本采购工程质量标准必须符合中华人民共和国国家标准，如果本采购文件中规定的执行标准高于国家标准，则按本采购文件中规定的标准执行，如果低于国家标准，则按国家标准执行</w:t>
      </w:r>
      <w:r>
        <w:rPr>
          <w:rFonts w:hint="eastAsia"/>
          <w:color w:val="auto"/>
          <w:szCs w:val="21"/>
          <w:highlight w:val="none"/>
        </w:rPr>
        <w:t>，如果期间相关标准国家、部委有更新的，则按照更新的标准执行</w:t>
      </w:r>
      <w:r>
        <w:rPr>
          <w:color w:val="auto"/>
          <w:szCs w:val="21"/>
          <w:highlight w:val="none"/>
        </w:rPr>
        <w:t>。</w:t>
      </w:r>
    </w:p>
    <w:p w14:paraId="77BA7D13">
      <w:pPr>
        <w:widowControl/>
        <w:spacing w:line="360" w:lineRule="auto"/>
        <w:ind w:left="514" w:leftChars="83" w:hanging="340" w:hangingChars="162"/>
        <w:rPr>
          <w:rFonts w:hint="eastAsia" w:eastAsia="宋体"/>
          <w:color w:val="auto"/>
          <w:szCs w:val="21"/>
          <w:highlight w:val="none"/>
          <w:lang w:val="en-US" w:eastAsia="zh-CN"/>
        </w:rPr>
      </w:pPr>
      <w:r>
        <w:rPr>
          <w:color w:val="auto"/>
          <w:szCs w:val="21"/>
          <w:highlight w:val="none"/>
        </w:rPr>
        <w:t>10.2</w:t>
      </w:r>
      <w:r>
        <w:rPr>
          <w:rFonts w:hint="eastAsia"/>
          <w:color w:val="auto"/>
          <w:szCs w:val="21"/>
          <w:highlight w:val="none"/>
        </w:rPr>
        <w:t>工程技术要求：</w:t>
      </w:r>
      <w:r>
        <w:rPr>
          <w:rFonts w:hint="eastAsia"/>
          <w:color w:val="auto"/>
          <w:szCs w:val="21"/>
          <w:highlight w:val="none"/>
          <w:lang w:val="en-US" w:eastAsia="zh-CN"/>
        </w:rPr>
        <w:t>/</w:t>
      </w:r>
    </w:p>
    <w:p w14:paraId="485D49BF">
      <w:pPr>
        <w:pStyle w:val="53"/>
        <w:spacing w:before="120"/>
        <w:rPr>
          <w:rStyle w:val="46"/>
          <w:rFonts w:ascii="Times New Roman" w:hAnsi="Times New Roman" w:eastAsia="宋体" w:cs="Times New Roman"/>
          <w:b/>
          <w:bCs w:val="0"/>
          <w:color w:val="auto"/>
          <w:sz w:val="28"/>
          <w:szCs w:val="28"/>
          <w:highlight w:val="none"/>
        </w:rPr>
      </w:pPr>
      <w:bookmarkStart w:id="191" w:name="_Toc145499742"/>
      <w:r>
        <w:rPr>
          <w:rStyle w:val="46"/>
          <w:rFonts w:ascii="Times New Roman" w:hAnsi="Times New Roman" w:eastAsia="宋体" w:cs="Times New Roman"/>
          <w:b/>
          <w:bCs w:val="0"/>
          <w:color w:val="auto"/>
          <w:sz w:val="28"/>
          <w:szCs w:val="28"/>
          <w:highlight w:val="none"/>
        </w:rPr>
        <w:t>1</w:t>
      </w:r>
      <w:r>
        <w:rPr>
          <w:rStyle w:val="46"/>
          <w:rFonts w:hint="eastAsia" w:ascii="Times New Roman" w:hAnsi="Times New Roman" w:eastAsia="宋体" w:cs="Times New Roman"/>
          <w:b/>
          <w:bCs w:val="0"/>
          <w:color w:val="auto"/>
          <w:sz w:val="28"/>
          <w:szCs w:val="28"/>
          <w:highlight w:val="none"/>
        </w:rPr>
        <w:t>1</w:t>
      </w:r>
      <w:r>
        <w:rPr>
          <w:rStyle w:val="46"/>
          <w:rFonts w:ascii="Times New Roman" w:hAnsi="Times New Roman" w:eastAsia="宋体" w:cs="Times New Roman"/>
          <w:b/>
          <w:bCs w:val="0"/>
          <w:color w:val="auto"/>
          <w:sz w:val="28"/>
          <w:szCs w:val="28"/>
          <w:highlight w:val="none"/>
        </w:rPr>
        <w:t>.工期及安全要求</w:t>
      </w:r>
      <w:bookmarkEnd w:id="180"/>
      <w:bookmarkEnd w:id="181"/>
      <w:bookmarkEnd w:id="182"/>
      <w:bookmarkEnd w:id="183"/>
      <w:bookmarkEnd w:id="184"/>
      <w:bookmarkEnd w:id="185"/>
      <w:bookmarkEnd w:id="186"/>
      <w:bookmarkEnd w:id="187"/>
      <w:bookmarkEnd w:id="188"/>
      <w:bookmarkEnd w:id="189"/>
      <w:bookmarkEnd w:id="190"/>
      <w:bookmarkEnd w:id="191"/>
    </w:p>
    <w:p w14:paraId="3DE30A5D">
      <w:pPr>
        <w:widowControl/>
        <w:spacing w:line="360" w:lineRule="auto"/>
        <w:ind w:left="516" w:leftChars="33" w:hanging="447" w:hangingChars="213"/>
        <w:rPr>
          <w:color w:val="auto"/>
          <w:szCs w:val="21"/>
          <w:highlight w:val="none"/>
        </w:rPr>
      </w:pPr>
      <w:r>
        <w:rPr>
          <w:color w:val="auto"/>
          <w:szCs w:val="21"/>
          <w:highlight w:val="none"/>
        </w:rPr>
        <w:t>1</w:t>
      </w:r>
      <w:r>
        <w:rPr>
          <w:rFonts w:hint="eastAsia"/>
          <w:color w:val="auto"/>
          <w:szCs w:val="21"/>
          <w:highlight w:val="none"/>
        </w:rPr>
        <w:t>1</w:t>
      </w:r>
      <w:r>
        <w:rPr>
          <w:color w:val="auto"/>
          <w:szCs w:val="21"/>
          <w:highlight w:val="none"/>
        </w:rPr>
        <w:t>.1响应单位应按照《响应单位须知前附表》第</w:t>
      </w:r>
      <w:r>
        <w:rPr>
          <w:rFonts w:hint="eastAsia"/>
          <w:color w:val="auto"/>
          <w:szCs w:val="21"/>
          <w:highlight w:val="none"/>
        </w:rPr>
        <w:t>5</w:t>
      </w:r>
      <w:r>
        <w:rPr>
          <w:color w:val="auto"/>
          <w:szCs w:val="21"/>
          <w:highlight w:val="none"/>
        </w:rPr>
        <w:t>项要求的计划开工日期、计划竣工日期和计划合同工期编制响应文件。</w:t>
      </w:r>
    </w:p>
    <w:p w14:paraId="4A1173CB">
      <w:pPr>
        <w:widowControl/>
        <w:spacing w:line="360" w:lineRule="auto"/>
        <w:ind w:left="516" w:leftChars="33" w:hanging="447" w:hangingChars="213"/>
        <w:rPr>
          <w:color w:val="auto"/>
          <w:szCs w:val="21"/>
          <w:highlight w:val="none"/>
        </w:rPr>
      </w:pPr>
      <w:r>
        <w:rPr>
          <w:color w:val="auto"/>
          <w:szCs w:val="21"/>
          <w:highlight w:val="none"/>
        </w:rPr>
        <w:t>1</w:t>
      </w:r>
      <w:r>
        <w:rPr>
          <w:rFonts w:hint="eastAsia"/>
          <w:color w:val="auto"/>
          <w:szCs w:val="21"/>
          <w:highlight w:val="none"/>
        </w:rPr>
        <w:t>1</w:t>
      </w:r>
      <w:r>
        <w:rPr>
          <w:color w:val="auto"/>
          <w:szCs w:val="21"/>
          <w:highlight w:val="none"/>
        </w:rPr>
        <w:t>.2响应单位可以在坚持其报价的前提下，对前款规定的计划竣工日期予以提前，并据此编制响应文件。</w:t>
      </w:r>
    </w:p>
    <w:p w14:paraId="1A93FCB4">
      <w:pPr>
        <w:widowControl/>
        <w:spacing w:line="360" w:lineRule="auto"/>
        <w:ind w:left="516" w:leftChars="33" w:hanging="447" w:hangingChars="213"/>
        <w:rPr>
          <w:color w:val="auto"/>
          <w:szCs w:val="21"/>
          <w:highlight w:val="none"/>
        </w:rPr>
      </w:pPr>
      <w:r>
        <w:rPr>
          <w:color w:val="auto"/>
          <w:szCs w:val="21"/>
          <w:highlight w:val="none"/>
        </w:rPr>
        <w:t>1</w:t>
      </w:r>
      <w:r>
        <w:rPr>
          <w:rFonts w:hint="eastAsia"/>
          <w:color w:val="auto"/>
          <w:szCs w:val="21"/>
          <w:highlight w:val="none"/>
        </w:rPr>
        <w:t>1</w:t>
      </w:r>
      <w:r>
        <w:rPr>
          <w:color w:val="auto"/>
          <w:szCs w:val="21"/>
          <w:highlight w:val="none"/>
        </w:rPr>
        <w:t>.3</w:t>
      </w:r>
      <w:r>
        <w:rPr>
          <w:rFonts w:hint="eastAsia"/>
          <w:color w:val="auto"/>
          <w:szCs w:val="21"/>
          <w:highlight w:val="none"/>
        </w:rPr>
        <w:t>响应单位应按照有关安全生产法律法规和有关主管部门文件的要求</w:t>
      </w:r>
      <w:r>
        <w:rPr>
          <w:color w:val="auto"/>
          <w:szCs w:val="21"/>
          <w:highlight w:val="none"/>
        </w:rPr>
        <w:t>，在响应文件中</w:t>
      </w:r>
      <w:r>
        <w:rPr>
          <w:rFonts w:hint="eastAsia"/>
          <w:color w:val="auto"/>
          <w:szCs w:val="21"/>
          <w:highlight w:val="none"/>
        </w:rPr>
        <w:t>编制安全施工措施，计取安全防护、文明施工措施费用</w:t>
      </w:r>
      <w:r>
        <w:rPr>
          <w:color w:val="auto"/>
          <w:szCs w:val="21"/>
          <w:highlight w:val="none"/>
        </w:rPr>
        <w:t>，并承担安全施工责任。</w:t>
      </w:r>
    </w:p>
    <w:p w14:paraId="3A524395">
      <w:pPr>
        <w:pStyle w:val="3"/>
        <w:spacing w:before="240" w:beforeLines="100" w:after="120" w:afterLines="50" w:line="360" w:lineRule="auto"/>
        <w:jc w:val="center"/>
        <w:rPr>
          <w:rStyle w:val="46"/>
          <w:rFonts w:ascii="Times New Roman" w:hAnsi="Times New Roman" w:eastAsia="宋体"/>
          <w:b/>
          <w:bCs w:val="0"/>
          <w:color w:val="auto"/>
          <w:sz w:val="28"/>
          <w:szCs w:val="28"/>
          <w:highlight w:val="none"/>
        </w:rPr>
      </w:pPr>
      <w:bookmarkStart w:id="192" w:name="_Toc53918813"/>
      <w:bookmarkStart w:id="193" w:name="_Toc53949184"/>
      <w:bookmarkStart w:id="194" w:name="_Toc54281223"/>
      <w:bookmarkStart w:id="195" w:name="_Toc53936522"/>
      <w:bookmarkStart w:id="196" w:name="_Toc53948763"/>
      <w:bookmarkStart w:id="197" w:name="_Toc145499743"/>
      <w:bookmarkStart w:id="198" w:name="_Toc284135589"/>
      <w:bookmarkStart w:id="199" w:name="_Toc53939586"/>
      <w:bookmarkStart w:id="200" w:name="_Toc53945787"/>
      <w:bookmarkStart w:id="201" w:name="_Toc54280371"/>
      <w:bookmarkStart w:id="202" w:name="_Toc54280797"/>
      <w:bookmarkStart w:id="203" w:name="_Toc54279945"/>
      <w:bookmarkStart w:id="204" w:name="_Toc53948342"/>
      <w:r>
        <w:rPr>
          <w:rStyle w:val="46"/>
          <w:rFonts w:ascii="Times New Roman" w:hAnsi="宋体" w:eastAsia="宋体"/>
          <w:b/>
          <w:bCs w:val="0"/>
          <w:color w:val="auto"/>
          <w:sz w:val="28"/>
          <w:szCs w:val="28"/>
          <w:highlight w:val="none"/>
        </w:rPr>
        <w:t>第二章</w:t>
      </w:r>
      <w:r>
        <w:rPr>
          <w:rStyle w:val="46"/>
          <w:rFonts w:ascii="Times New Roman" w:hAnsi="Times New Roman" w:eastAsia="宋体"/>
          <w:b/>
          <w:bCs w:val="0"/>
          <w:color w:val="auto"/>
          <w:sz w:val="28"/>
          <w:szCs w:val="28"/>
          <w:highlight w:val="none"/>
        </w:rPr>
        <w:t xml:space="preserve">  </w:t>
      </w:r>
      <w:r>
        <w:rPr>
          <w:rStyle w:val="46"/>
          <w:rFonts w:ascii="Times New Roman" w:hAnsi="宋体" w:eastAsia="宋体"/>
          <w:b/>
          <w:bCs w:val="0"/>
          <w:color w:val="auto"/>
          <w:sz w:val="28"/>
          <w:szCs w:val="28"/>
          <w:highlight w:val="none"/>
        </w:rPr>
        <w:t>采购文件</w:t>
      </w:r>
      <w:bookmarkEnd w:id="192"/>
      <w:bookmarkEnd w:id="193"/>
      <w:bookmarkEnd w:id="194"/>
      <w:bookmarkEnd w:id="195"/>
      <w:bookmarkEnd w:id="196"/>
      <w:bookmarkEnd w:id="197"/>
      <w:bookmarkEnd w:id="198"/>
      <w:bookmarkEnd w:id="199"/>
      <w:bookmarkEnd w:id="200"/>
      <w:bookmarkEnd w:id="201"/>
      <w:bookmarkEnd w:id="202"/>
      <w:bookmarkEnd w:id="203"/>
      <w:bookmarkEnd w:id="204"/>
    </w:p>
    <w:p w14:paraId="00F77BD5">
      <w:pPr>
        <w:pStyle w:val="53"/>
        <w:spacing w:before="120"/>
        <w:rPr>
          <w:rStyle w:val="46"/>
          <w:rFonts w:ascii="Times New Roman" w:hAnsi="Times New Roman" w:eastAsia="宋体" w:cs="Times New Roman"/>
          <w:b/>
          <w:bCs w:val="0"/>
          <w:color w:val="auto"/>
          <w:sz w:val="28"/>
          <w:szCs w:val="28"/>
          <w:highlight w:val="none"/>
        </w:rPr>
      </w:pPr>
      <w:bookmarkStart w:id="205" w:name="_Toc53949185"/>
      <w:bookmarkStart w:id="206" w:name="_Toc54280798"/>
      <w:bookmarkStart w:id="207" w:name="_Toc53939587"/>
      <w:bookmarkStart w:id="208" w:name="_Toc54280372"/>
      <w:bookmarkStart w:id="209" w:name="_Toc54279946"/>
      <w:bookmarkStart w:id="210" w:name="_Toc54281224"/>
      <w:bookmarkStart w:id="211" w:name="_Toc53918814"/>
      <w:bookmarkStart w:id="212" w:name="_Toc53945788"/>
      <w:bookmarkStart w:id="213" w:name="_Toc53948764"/>
      <w:bookmarkStart w:id="214" w:name="_Toc53936523"/>
      <w:bookmarkStart w:id="215" w:name="_Toc145499744"/>
      <w:bookmarkStart w:id="216" w:name="_Toc53948343"/>
      <w:r>
        <w:rPr>
          <w:rStyle w:val="46"/>
          <w:rFonts w:ascii="Times New Roman" w:hAnsi="Times New Roman" w:eastAsia="宋体" w:cs="Times New Roman"/>
          <w:b/>
          <w:bCs w:val="0"/>
          <w:color w:val="auto"/>
          <w:sz w:val="28"/>
          <w:szCs w:val="28"/>
          <w:highlight w:val="none"/>
        </w:rPr>
        <w:t>12.采购文件的内容</w:t>
      </w:r>
      <w:bookmarkEnd w:id="205"/>
      <w:bookmarkEnd w:id="206"/>
      <w:bookmarkEnd w:id="207"/>
      <w:bookmarkEnd w:id="208"/>
      <w:bookmarkEnd w:id="209"/>
      <w:bookmarkEnd w:id="210"/>
      <w:bookmarkEnd w:id="211"/>
      <w:bookmarkEnd w:id="212"/>
      <w:bookmarkEnd w:id="213"/>
      <w:bookmarkEnd w:id="214"/>
      <w:bookmarkEnd w:id="215"/>
      <w:bookmarkEnd w:id="216"/>
    </w:p>
    <w:p w14:paraId="31563F8B">
      <w:pPr>
        <w:widowControl/>
        <w:spacing w:line="360" w:lineRule="auto"/>
        <w:ind w:left="516" w:leftChars="33" w:hanging="447" w:hangingChars="213"/>
        <w:rPr>
          <w:color w:val="auto"/>
          <w:szCs w:val="21"/>
          <w:highlight w:val="none"/>
        </w:rPr>
      </w:pPr>
      <w:r>
        <w:rPr>
          <w:color w:val="auto"/>
          <w:szCs w:val="21"/>
          <w:highlight w:val="none"/>
        </w:rPr>
        <w:t>12.1采购文件包括下列文件及所有按本《响应单位须知前附表》第</w:t>
      </w:r>
      <w:r>
        <w:rPr>
          <w:rFonts w:hint="eastAsia"/>
          <w:color w:val="auto"/>
          <w:szCs w:val="21"/>
          <w:highlight w:val="none"/>
        </w:rPr>
        <w:t>6</w:t>
      </w:r>
      <w:r>
        <w:rPr>
          <w:color w:val="auto"/>
          <w:szCs w:val="21"/>
          <w:highlight w:val="none"/>
        </w:rPr>
        <w:t>条和第</w:t>
      </w:r>
      <w:r>
        <w:rPr>
          <w:rFonts w:hint="eastAsia"/>
          <w:color w:val="auto"/>
          <w:szCs w:val="21"/>
          <w:highlight w:val="none"/>
        </w:rPr>
        <w:t>7</w:t>
      </w:r>
      <w:r>
        <w:rPr>
          <w:color w:val="auto"/>
          <w:szCs w:val="21"/>
          <w:highlight w:val="none"/>
        </w:rPr>
        <w:t>条发出的补充采购文件和任何答疑会纪要：</w:t>
      </w:r>
    </w:p>
    <w:p w14:paraId="54D094EF">
      <w:pPr>
        <w:spacing w:line="360" w:lineRule="auto"/>
        <w:ind w:left="1035" w:leftChars="247" w:hanging="516" w:hangingChars="246"/>
        <w:rPr>
          <w:color w:val="auto"/>
          <w:szCs w:val="21"/>
          <w:highlight w:val="none"/>
        </w:rPr>
      </w:pPr>
      <w:bookmarkStart w:id="217" w:name="_13、招标文件的澄清"/>
      <w:bookmarkEnd w:id="217"/>
      <w:r>
        <w:rPr>
          <w:color w:val="auto"/>
          <w:szCs w:val="21"/>
          <w:highlight w:val="none"/>
        </w:rPr>
        <w:t>12.1.1</w:t>
      </w:r>
      <w:r>
        <w:rPr>
          <w:rFonts w:hAnsi="宋体"/>
          <w:color w:val="auto"/>
          <w:szCs w:val="21"/>
          <w:highlight w:val="none"/>
        </w:rPr>
        <w:t>第一篇</w:t>
      </w:r>
      <w:r>
        <w:rPr>
          <w:color w:val="auto"/>
          <w:szCs w:val="21"/>
          <w:highlight w:val="none"/>
        </w:rPr>
        <w:t xml:space="preserve">  </w:t>
      </w:r>
      <w:r>
        <w:rPr>
          <w:rFonts w:hint="eastAsia"/>
          <w:color w:val="auto"/>
          <w:szCs w:val="21"/>
          <w:highlight w:val="none"/>
        </w:rPr>
        <w:t>采购公告（邀请书）</w:t>
      </w:r>
    </w:p>
    <w:p w14:paraId="60EE6735">
      <w:pPr>
        <w:spacing w:line="360" w:lineRule="auto"/>
        <w:ind w:left="1035" w:leftChars="247" w:hanging="516" w:hangingChars="246"/>
        <w:rPr>
          <w:color w:val="auto"/>
          <w:szCs w:val="21"/>
          <w:highlight w:val="none"/>
        </w:rPr>
      </w:pPr>
      <w:r>
        <w:rPr>
          <w:color w:val="auto"/>
          <w:szCs w:val="21"/>
          <w:highlight w:val="none"/>
        </w:rPr>
        <w:t>12.1.</w:t>
      </w:r>
      <w:r>
        <w:rPr>
          <w:rFonts w:hint="eastAsia"/>
          <w:color w:val="auto"/>
          <w:szCs w:val="21"/>
          <w:highlight w:val="none"/>
        </w:rPr>
        <w:t>2第二篇  响应单位须知</w:t>
      </w:r>
    </w:p>
    <w:p w14:paraId="34FA3E43">
      <w:pPr>
        <w:spacing w:line="360" w:lineRule="auto"/>
        <w:ind w:left="1035" w:leftChars="247" w:hanging="516" w:hangingChars="246"/>
        <w:rPr>
          <w:color w:val="auto"/>
          <w:szCs w:val="21"/>
          <w:highlight w:val="none"/>
        </w:rPr>
      </w:pPr>
      <w:r>
        <w:rPr>
          <w:color w:val="auto"/>
          <w:szCs w:val="21"/>
          <w:highlight w:val="none"/>
        </w:rPr>
        <w:t>12.1.</w:t>
      </w:r>
      <w:r>
        <w:rPr>
          <w:rFonts w:hint="eastAsia"/>
          <w:color w:val="auto"/>
          <w:szCs w:val="21"/>
          <w:highlight w:val="none"/>
        </w:rPr>
        <w:t>3</w:t>
      </w:r>
      <w:r>
        <w:rPr>
          <w:rFonts w:hAnsi="宋体"/>
          <w:color w:val="auto"/>
          <w:szCs w:val="21"/>
          <w:highlight w:val="none"/>
        </w:rPr>
        <w:t>第</w:t>
      </w:r>
      <w:r>
        <w:rPr>
          <w:rFonts w:hint="eastAsia" w:hAnsi="宋体"/>
          <w:color w:val="auto"/>
          <w:szCs w:val="21"/>
          <w:highlight w:val="none"/>
        </w:rPr>
        <w:t>三</w:t>
      </w:r>
      <w:r>
        <w:rPr>
          <w:rFonts w:hAnsi="宋体"/>
          <w:color w:val="auto"/>
          <w:szCs w:val="21"/>
          <w:highlight w:val="none"/>
        </w:rPr>
        <w:t>篇</w:t>
      </w:r>
      <w:r>
        <w:rPr>
          <w:color w:val="auto"/>
          <w:szCs w:val="21"/>
          <w:highlight w:val="none"/>
        </w:rPr>
        <w:t xml:space="preserve">  </w:t>
      </w:r>
      <w:r>
        <w:rPr>
          <w:rFonts w:hint="eastAsia" w:hAnsi="宋体"/>
          <w:color w:val="auto"/>
          <w:szCs w:val="21"/>
          <w:highlight w:val="none"/>
        </w:rPr>
        <w:t>分包合同条款</w:t>
      </w:r>
    </w:p>
    <w:p w14:paraId="7F335A4A">
      <w:pPr>
        <w:spacing w:line="360" w:lineRule="auto"/>
        <w:ind w:left="1035" w:leftChars="247" w:hanging="516" w:hangingChars="246"/>
        <w:rPr>
          <w:color w:val="auto"/>
          <w:szCs w:val="21"/>
          <w:highlight w:val="none"/>
        </w:rPr>
      </w:pPr>
      <w:r>
        <w:rPr>
          <w:color w:val="auto"/>
          <w:szCs w:val="21"/>
          <w:highlight w:val="none"/>
        </w:rPr>
        <w:t>12.1.</w:t>
      </w:r>
      <w:r>
        <w:rPr>
          <w:rFonts w:hint="eastAsia"/>
          <w:color w:val="auto"/>
          <w:szCs w:val="21"/>
          <w:highlight w:val="none"/>
        </w:rPr>
        <w:t>3</w:t>
      </w:r>
      <w:r>
        <w:rPr>
          <w:rFonts w:hAnsi="宋体"/>
          <w:color w:val="auto"/>
          <w:szCs w:val="21"/>
          <w:highlight w:val="none"/>
        </w:rPr>
        <w:t>第</w:t>
      </w:r>
      <w:r>
        <w:rPr>
          <w:rFonts w:hint="eastAsia" w:hAnsi="宋体"/>
          <w:color w:val="auto"/>
          <w:szCs w:val="21"/>
          <w:highlight w:val="none"/>
        </w:rPr>
        <w:t>四</w:t>
      </w:r>
      <w:r>
        <w:rPr>
          <w:rFonts w:hAnsi="宋体"/>
          <w:color w:val="auto"/>
          <w:szCs w:val="21"/>
          <w:highlight w:val="none"/>
        </w:rPr>
        <w:t>篇</w:t>
      </w:r>
      <w:r>
        <w:rPr>
          <w:color w:val="auto"/>
          <w:szCs w:val="21"/>
          <w:highlight w:val="none"/>
        </w:rPr>
        <w:t xml:space="preserve">  </w:t>
      </w:r>
      <w:r>
        <w:rPr>
          <w:rFonts w:hAnsi="宋体"/>
          <w:color w:val="auto"/>
          <w:szCs w:val="21"/>
          <w:highlight w:val="none"/>
        </w:rPr>
        <w:t>图纸</w:t>
      </w:r>
      <w:r>
        <w:rPr>
          <w:rFonts w:hint="eastAsia" w:hAnsi="宋体"/>
          <w:color w:val="auto"/>
          <w:szCs w:val="21"/>
          <w:highlight w:val="none"/>
        </w:rPr>
        <w:t>（如有）</w:t>
      </w:r>
    </w:p>
    <w:p w14:paraId="701BD3CC">
      <w:pPr>
        <w:spacing w:line="360" w:lineRule="auto"/>
        <w:ind w:left="1035" w:leftChars="247" w:hanging="516" w:hangingChars="246"/>
        <w:rPr>
          <w:color w:val="auto"/>
          <w:szCs w:val="21"/>
          <w:highlight w:val="none"/>
        </w:rPr>
      </w:pPr>
      <w:r>
        <w:rPr>
          <w:color w:val="auto"/>
          <w:szCs w:val="21"/>
          <w:highlight w:val="none"/>
        </w:rPr>
        <w:t>12.1.</w:t>
      </w:r>
      <w:r>
        <w:rPr>
          <w:rFonts w:hint="eastAsia"/>
          <w:color w:val="auto"/>
          <w:szCs w:val="21"/>
          <w:highlight w:val="none"/>
        </w:rPr>
        <w:t>4</w:t>
      </w:r>
      <w:r>
        <w:rPr>
          <w:rFonts w:hAnsi="宋体"/>
          <w:color w:val="auto"/>
          <w:szCs w:val="21"/>
          <w:highlight w:val="none"/>
        </w:rPr>
        <w:t>第</w:t>
      </w:r>
      <w:r>
        <w:rPr>
          <w:rFonts w:hint="eastAsia" w:hAnsi="宋体"/>
          <w:color w:val="auto"/>
          <w:szCs w:val="21"/>
          <w:highlight w:val="none"/>
        </w:rPr>
        <w:t>五</w:t>
      </w:r>
      <w:r>
        <w:rPr>
          <w:rFonts w:hAnsi="宋体"/>
          <w:color w:val="auto"/>
          <w:szCs w:val="21"/>
          <w:highlight w:val="none"/>
        </w:rPr>
        <w:t>篇</w:t>
      </w:r>
      <w:r>
        <w:rPr>
          <w:color w:val="auto"/>
          <w:szCs w:val="21"/>
          <w:highlight w:val="none"/>
        </w:rPr>
        <w:t xml:space="preserve">  </w:t>
      </w:r>
      <w:r>
        <w:rPr>
          <w:rFonts w:hAnsi="宋体"/>
          <w:color w:val="auto"/>
          <w:szCs w:val="21"/>
          <w:highlight w:val="none"/>
        </w:rPr>
        <w:t>工程量清单</w:t>
      </w:r>
    </w:p>
    <w:p w14:paraId="76993051">
      <w:pPr>
        <w:spacing w:line="360" w:lineRule="auto"/>
        <w:ind w:left="1035" w:leftChars="247" w:hanging="516" w:hangingChars="246"/>
        <w:rPr>
          <w:rFonts w:hint="eastAsia" w:hAnsi="宋体"/>
          <w:color w:val="auto"/>
          <w:szCs w:val="21"/>
          <w:highlight w:val="none"/>
        </w:rPr>
      </w:pPr>
      <w:r>
        <w:rPr>
          <w:color w:val="auto"/>
          <w:szCs w:val="21"/>
          <w:highlight w:val="none"/>
        </w:rPr>
        <w:t>12.1.</w:t>
      </w:r>
      <w:r>
        <w:rPr>
          <w:rFonts w:hint="eastAsia"/>
          <w:color w:val="auto"/>
          <w:szCs w:val="21"/>
          <w:highlight w:val="none"/>
        </w:rPr>
        <w:t>5</w:t>
      </w:r>
      <w:r>
        <w:rPr>
          <w:rFonts w:hAnsi="宋体"/>
          <w:color w:val="auto"/>
          <w:szCs w:val="21"/>
          <w:highlight w:val="none"/>
        </w:rPr>
        <w:t>第</w:t>
      </w:r>
      <w:r>
        <w:rPr>
          <w:rFonts w:hint="eastAsia" w:hAnsi="宋体"/>
          <w:color w:val="auto"/>
          <w:szCs w:val="21"/>
          <w:highlight w:val="none"/>
        </w:rPr>
        <w:t>六</w:t>
      </w:r>
      <w:r>
        <w:rPr>
          <w:rFonts w:hAnsi="宋体"/>
          <w:color w:val="auto"/>
          <w:szCs w:val="21"/>
          <w:highlight w:val="none"/>
        </w:rPr>
        <w:t>篇</w:t>
      </w:r>
      <w:r>
        <w:rPr>
          <w:color w:val="auto"/>
          <w:szCs w:val="21"/>
          <w:highlight w:val="none"/>
        </w:rPr>
        <w:t xml:space="preserve">  </w:t>
      </w:r>
      <w:r>
        <w:rPr>
          <w:rFonts w:hAnsi="宋体"/>
          <w:color w:val="auto"/>
          <w:szCs w:val="21"/>
          <w:highlight w:val="none"/>
        </w:rPr>
        <w:t>响应文件格式</w:t>
      </w:r>
    </w:p>
    <w:p w14:paraId="6DDF9353">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此外，采购人在采购期间发出的问题答复、补遗书和其</w:t>
      </w:r>
      <w:r>
        <w:rPr>
          <w:rFonts w:hint="eastAsia" w:ascii="宋体" w:hAnsi="宋体"/>
          <w:color w:val="auto"/>
          <w:szCs w:val="21"/>
          <w:highlight w:val="none"/>
        </w:rPr>
        <w:t>他</w:t>
      </w:r>
      <w:r>
        <w:rPr>
          <w:rFonts w:ascii="宋体" w:hAnsi="宋体"/>
          <w:color w:val="auto"/>
          <w:szCs w:val="21"/>
          <w:highlight w:val="none"/>
        </w:rPr>
        <w:t>正式函件，均作为采购文件的组成部分，响应单位应一并阅读。</w:t>
      </w:r>
    </w:p>
    <w:p w14:paraId="3523D9C1">
      <w:pPr>
        <w:widowControl/>
        <w:spacing w:line="360" w:lineRule="auto"/>
        <w:ind w:left="516" w:leftChars="33" w:hanging="447" w:hangingChars="213"/>
        <w:rPr>
          <w:color w:val="auto"/>
          <w:szCs w:val="21"/>
          <w:highlight w:val="none"/>
        </w:rPr>
      </w:pPr>
      <w:r>
        <w:rPr>
          <w:color w:val="auto"/>
          <w:szCs w:val="21"/>
          <w:highlight w:val="none"/>
        </w:rPr>
        <w:t>12.2响应单位应认真审阅采购文件中《响应单位须知前附表》、</w:t>
      </w:r>
      <w:r>
        <w:rPr>
          <w:rFonts w:hint="eastAsia" w:hAnsi="宋体"/>
          <w:color w:val="auto"/>
          <w:szCs w:val="21"/>
          <w:highlight w:val="none"/>
        </w:rPr>
        <w:t>分包合同条款</w:t>
      </w:r>
      <w:r>
        <w:rPr>
          <w:color w:val="auto"/>
          <w:szCs w:val="21"/>
          <w:highlight w:val="none"/>
        </w:rPr>
        <w:t>、响应文件格式、工程量清单、技术标准、规范、图纸等所有内容。如果响应单位的响应文件不能满足本《响应单位须知前附表》的各项要求，责任由响应单位自负。实质性不符合采购文件要求的响应文件将被拒绝。</w:t>
      </w:r>
    </w:p>
    <w:p w14:paraId="3B658BAB">
      <w:pPr>
        <w:widowControl/>
        <w:spacing w:line="360" w:lineRule="auto"/>
        <w:ind w:left="516" w:leftChars="33" w:hanging="447" w:hangingChars="213"/>
        <w:rPr>
          <w:color w:val="auto"/>
          <w:szCs w:val="21"/>
          <w:highlight w:val="none"/>
        </w:rPr>
      </w:pPr>
      <w:r>
        <w:rPr>
          <w:color w:val="auto"/>
          <w:szCs w:val="21"/>
          <w:highlight w:val="none"/>
        </w:rPr>
        <w:t>12.3响应单位应认真检查采购文件是否完整，若发现缺页或附件不全时，应及时向采购人提出，以便补齐。</w:t>
      </w:r>
    </w:p>
    <w:p w14:paraId="41ABEEB2">
      <w:pPr>
        <w:pStyle w:val="53"/>
        <w:spacing w:before="120"/>
        <w:rPr>
          <w:rStyle w:val="46"/>
          <w:rFonts w:ascii="Times New Roman" w:hAnsi="Times New Roman" w:eastAsia="宋体" w:cs="Times New Roman"/>
          <w:b/>
          <w:bCs w:val="0"/>
          <w:color w:val="auto"/>
          <w:sz w:val="28"/>
          <w:szCs w:val="28"/>
          <w:highlight w:val="none"/>
        </w:rPr>
      </w:pPr>
      <w:bookmarkStart w:id="218" w:name="_Toc53948765"/>
      <w:bookmarkStart w:id="219" w:name="_Toc54280373"/>
      <w:bookmarkStart w:id="220" w:name="_Toc53918815"/>
      <w:bookmarkStart w:id="221" w:name="_Toc53949186"/>
      <w:bookmarkStart w:id="222" w:name="_Toc54280799"/>
      <w:bookmarkStart w:id="223" w:name="_Toc53939588"/>
      <w:bookmarkStart w:id="224" w:name="_Toc54279947"/>
      <w:bookmarkStart w:id="225" w:name="_Toc53936524"/>
      <w:bookmarkStart w:id="226" w:name="_Toc145499745"/>
      <w:bookmarkStart w:id="227" w:name="_Toc53945789"/>
      <w:bookmarkStart w:id="228" w:name="_Toc54281225"/>
      <w:bookmarkStart w:id="229" w:name="_Toc53948344"/>
      <w:r>
        <w:rPr>
          <w:rStyle w:val="46"/>
          <w:rFonts w:ascii="Times New Roman" w:hAnsi="Times New Roman" w:eastAsia="宋体" w:cs="Times New Roman"/>
          <w:b/>
          <w:bCs w:val="0"/>
          <w:color w:val="auto"/>
          <w:sz w:val="28"/>
          <w:szCs w:val="28"/>
          <w:highlight w:val="none"/>
        </w:rPr>
        <w:t>13.采购文件的澄清</w:t>
      </w:r>
      <w:bookmarkEnd w:id="218"/>
      <w:bookmarkEnd w:id="219"/>
      <w:bookmarkEnd w:id="220"/>
      <w:bookmarkEnd w:id="221"/>
      <w:bookmarkEnd w:id="222"/>
      <w:bookmarkEnd w:id="223"/>
      <w:bookmarkEnd w:id="224"/>
      <w:bookmarkEnd w:id="225"/>
      <w:bookmarkEnd w:id="226"/>
      <w:bookmarkEnd w:id="227"/>
      <w:bookmarkEnd w:id="228"/>
      <w:bookmarkEnd w:id="229"/>
    </w:p>
    <w:p w14:paraId="7BF0F8C1">
      <w:pPr>
        <w:widowControl/>
        <w:spacing w:line="360" w:lineRule="auto"/>
        <w:ind w:left="516" w:leftChars="33" w:hanging="447" w:hangingChars="213"/>
        <w:rPr>
          <w:color w:val="auto"/>
          <w:szCs w:val="21"/>
          <w:highlight w:val="none"/>
        </w:rPr>
      </w:pPr>
      <w:r>
        <w:rPr>
          <w:color w:val="auto"/>
          <w:szCs w:val="21"/>
          <w:highlight w:val="none"/>
        </w:rPr>
        <w:t>13.1要求对采购文件进行澄清和解答的响应单位，应在《响应单位须知前附表》第</w:t>
      </w:r>
      <w:r>
        <w:rPr>
          <w:rFonts w:hint="eastAsia"/>
          <w:color w:val="auto"/>
          <w:szCs w:val="21"/>
          <w:highlight w:val="none"/>
        </w:rPr>
        <w:t>6</w:t>
      </w:r>
      <w:r>
        <w:rPr>
          <w:color w:val="auto"/>
          <w:szCs w:val="21"/>
          <w:highlight w:val="none"/>
        </w:rPr>
        <w:t>项要求的截止时间之前，将要澄清和解答的问题以加盖公章的函件方式送达采购人</w:t>
      </w:r>
      <w:r>
        <w:rPr>
          <w:rFonts w:hint="eastAsia"/>
          <w:color w:val="auto"/>
          <w:szCs w:val="21"/>
          <w:highlight w:val="none"/>
        </w:rPr>
        <w:t>或电话联系</w:t>
      </w:r>
      <w:r>
        <w:rPr>
          <w:color w:val="auto"/>
          <w:szCs w:val="21"/>
          <w:highlight w:val="none"/>
        </w:rPr>
        <w:t>。</w:t>
      </w:r>
    </w:p>
    <w:p w14:paraId="6683F900">
      <w:pPr>
        <w:pStyle w:val="53"/>
        <w:spacing w:before="120"/>
        <w:rPr>
          <w:rStyle w:val="46"/>
          <w:rFonts w:ascii="Times New Roman" w:hAnsi="Times New Roman" w:eastAsia="宋体" w:cs="Times New Roman"/>
          <w:b/>
          <w:bCs w:val="0"/>
          <w:color w:val="auto"/>
          <w:sz w:val="28"/>
          <w:szCs w:val="28"/>
          <w:highlight w:val="none"/>
        </w:rPr>
      </w:pPr>
      <w:bookmarkStart w:id="230" w:name="_Toc53945790"/>
      <w:bookmarkStart w:id="231" w:name="_Toc53948766"/>
      <w:bookmarkStart w:id="232" w:name="_Toc53949187"/>
      <w:bookmarkStart w:id="233" w:name="_Toc54279948"/>
      <w:bookmarkStart w:id="234" w:name="_Toc53936525"/>
      <w:bookmarkStart w:id="235" w:name="_Toc54281226"/>
      <w:bookmarkStart w:id="236" w:name="_Toc54280374"/>
      <w:bookmarkStart w:id="237" w:name="_Toc53918816"/>
      <w:bookmarkStart w:id="238" w:name="_Toc54280800"/>
      <w:bookmarkStart w:id="239" w:name="_Toc53939589"/>
      <w:bookmarkStart w:id="240" w:name="_Toc53948345"/>
      <w:bookmarkStart w:id="241" w:name="_Toc145499746"/>
      <w:r>
        <w:rPr>
          <w:rStyle w:val="46"/>
          <w:rFonts w:ascii="Times New Roman" w:hAnsi="Times New Roman" w:eastAsia="宋体" w:cs="Times New Roman"/>
          <w:b/>
          <w:bCs w:val="0"/>
          <w:color w:val="auto"/>
          <w:sz w:val="28"/>
          <w:szCs w:val="28"/>
          <w:highlight w:val="none"/>
        </w:rPr>
        <w:t>14.采购文件的修改</w:t>
      </w:r>
      <w:bookmarkEnd w:id="230"/>
      <w:bookmarkEnd w:id="231"/>
      <w:bookmarkEnd w:id="232"/>
      <w:bookmarkEnd w:id="233"/>
      <w:bookmarkEnd w:id="234"/>
      <w:bookmarkEnd w:id="235"/>
      <w:bookmarkEnd w:id="236"/>
      <w:bookmarkEnd w:id="237"/>
      <w:bookmarkEnd w:id="238"/>
      <w:bookmarkEnd w:id="239"/>
      <w:bookmarkEnd w:id="240"/>
      <w:bookmarkEnd w:id="241"/>
    </w:p>
    <w:p w14:paraId="6FF45CA0">
      <w:pPr>
        <w:widowControl/>
        <w:spacing w:line="360" w:lineRule="auto"/>
        <w:ind w:left="516" w:leftChars="33" w:hanging="447" w:hangingChars="213"/>
        <w:rPr>
          <w:color w:val="auto"/>
          <w:szCs w:val="21"/>
          <w:highlight w:val="none"/>
        </w:rPr>
      </w:pPr>
      <w:r>
        <w:rPr>
          <w:color w:val="auto"/>
          <w:szCs w:val="21"/>
          <w:highlight w:val="none"/>
        </w:rPr>
        <w:t>14.1采购人应在《响应单位须知前附表》第</w:t>
      </w:r>
      <w:r>
        <w:rPr>
          <w:rFonts w:hint="eastAsia"/>
          <w:color w:val="auto"/>
          <w:szCs w:val="21"/>
          <w:highlight w:val="none"/>
        </w:rPr>
        <w:t>7</w:t>
      </w:r>
      <w:r>
        <w:rPr>
          <w:color w:val="auto"/>
          <w:szCs w:val="21"/>
          <w:highlight w:val="none"/>
        </w:rPr>
        <w:t>项要求的截止时间之前，可因任何原因，对采购文件进行修改。这种修改可能是采购人主动做出的，也可能是为了解答响应单位要求澄清的问题而做出的。</w:t>
      </w:r>
    </w:p>
    <w:p w14:paraId="0C9247FC">
      <w:pPr>
        <w:widowControl/>
        <w:spacing w:line="360" w:lineRule="auto"/>
        <w:ind w:left="516" w:leftChars="33" w:hanging="447" w:hangingChars="213"/>
        <w:rPr>
          <w:color w:val="auto"/>
          <w:szCs w:val="21"/>
          <w:highlight w:val="none"/>
        </w:rPr>
      </w:pPr>
      <w:r>
        <w:rPr>
          <w:color w:val="auto"/>
          <w:szCs w:val="21"/>
          <w:highlight w:val="none"/>
        </w:rPr>
        <w:t>14.</w:t>
      </w:r>
      <w:r>
        <w:rPr>
          <w:rFonts w:hint="eastAsia"/>
          <w:color w:val="auto"/>
          <w:szCs w:val="21"/>
          <w:highlight w:val="none"/>
        </w:rPr>
        <w:t>2</w:t>
      </w:r>
      <w:r>
        <w:rPr>
          <w:color w:val="auto"/>
          <w:szCs w:val="21"/>
          <w:highlight w:val="none"/>
        </w:rPr>
        <w:t>如果采购文件作了修改，采购人应在响应文件递交截止之日</w:t>
      </w:r>
      <w:r>
        <w:rPr>
          <w:rFonts w:hint="eastAsia"/>
          <w:color w:val="auto"/>
          <w:szCs w:val="21"/>
          <w:highlight w:val="none"/>
        </w:rPr>
        <w:t>1</w:t>
      </w:r>
      <w:r>
        <w:rPr>
          <w:color w:val="auto"/>
          <w:szCs w:val="21"/>
          <w:highlight w:val="none"/>
        </w:rPr>
        <w:t>天前，</w:t>
      </w:r>
      <w:r>
        <w:rPr>
          <w:rFonts w:hint="eastAsia"/>
          <w:color w:val="auto"/>
          <w:szCs w:val="21"/>
          <w:highlight w:val="none"/>
        </w:rPr>
        <w:t>以书面的</w:t>
      </w:r>
      <w:r>
        <w:rPr>
          <w:color w:val="auto"/>
          <w:szCs w:val="21"/>
          <w:highlight w:val="none"/>
        </w:rPr>
        <w:t>补充采购文件形式，送达所有已购买采购文件的响应单位。</w:t>
      </w:r>
    </w:p>
    <w:p w14:paraId="62E04AB6">
      <w:pPr>
        <w:widowControl/>
        <w:spacing w:line="360" w:lineRule="auto"/>
        <w:ind w:left="516" w:leftChars="33" w:hanging="447" w:hangingChars="213"/>
        <w:rPr>
          <w:color w:val="auto"/>
          <w:szCs w:val="21"/>
          <w:highlight w:val="none"/>
        </w:rPr>
      </w:pPr>
      <w:r>
        <w:rPr>
          <w:color w:val="auto"/>
          <w:szCs w:val="21"/>
          <w:highlight w:val="none"/>
        </w:rPr>
        <w:t>14.</w:t>
      </w:r>
      <w:r>
        <w:rPr>
          <w:rFonts w:hint="eastAsia"/>
          <w:color w:val="auto"/>
          <w:szCs w:val="21"/>
          <w:highlight w:val="none"/>
        </w:rPr>
        <w:t>3</w:t>
      </w:r>
      <w:r>
        <w:rPr>
          <w:color w:val="auto"/>
          <w:szCs w:val="21"/>
          <w:highlight w:val="none"/>
        </w:rPr>
        <w:t>响应单位有责任和义务对工程量清单进行校核，如发现错漏项或数量偏差应在</w:t>
      </w:r>
      <w:r>
        <w:rPr>
          <w:rFonts w:hint="eastAsia"/>
          <w:color w:val="auto"/>
          <w:szCs w:val="21"/>
          <w:highlight w:val="none"/>
        </w:rPr>
        <w:t>采购</w:t>
      </w:r>
      <w:r>
        <w:rPr>
          <w:color w:val="auto"/>
          <w:szCs w:val="21"/>
          <w:highlight w:val="none"/>
        </w:rPr>
        <w:t>阶段提出质疑，采购人确认后以补充采购文件的方式进行修正。</w:t>
      </w:r>
    </w:p>
    <w:p w14:paraId="519F22D9">
      <w:pPr>
        <w:widowControl/>
        <w:spacing w:line="360" w:lineRule="auto"/>
        <w:ind w:left="516" w:leftChars="33" w:hanging="447" w:hangingChars="213"/>
        <w:rPr>
          <w:color w:val="auto"/>
          <w:szCs w:val="21"/>
          <w:highlight w:val="none"/>
        </w:rPr>
      </w:pPr>
      <w:r>
        <w:rPr>
          <w:color w:val="auto"/>
          <w:szCs w:val="21"/>
          <w:highlight w:val="none"/>
        </w:rPr>
        <w:t>14.</w:t>
      </w:r>
      <w:r>
        <w:rPr>
          <w:rFonts w:hint="eastAsia"/>
          <w:color w:val="auto"/>
          <w:szCs w:val="21"/>
          <w:highlight w:val="none"/>
        </w:rPr>
        <w:t>4</w:t>
      </w:r>
      <w:r>
        <w:rPr>
          <w:color w:val="auto"/>
          <w:szCs w:val="21"/>
          <w:highlight w:val="none"/>
        </w:rPr>
        <w:t>如果采购人前后发放的补充采购文件内容不一致或相互抵触时，则以后发出的补充采购文件为准。</w:t>
      </w:r>
    </w:p>
    <w:p w14:paraId="6108CCE6">
      <w:pPr>
        <w:widowControl/>
        <w:spacing w:line="360" w:lineRule="auto"/>
        <w:ind w:left="516" w:leftChars="33" w:hanging="447" w:hangingChars="213"/>
        <w:rPr>
          <w:color w:val="auto"/>
          <w:szCs w:val="21"/>
          <w:highlight w:val="none"/>
        </w:rPr>
      </w:pPr>
      <w:r>
        <w:rPr>
          <w:rFonts w:hint="eastAsia"/>
          <w:color w:val="auto"/>
          <w:szCs w:val="21"/>
          <w:highlight w:val="none"/>
        </w:rPr>
        <w:t>14.5</w:t>
      </w:r>
      <w:r>
        <w:rPr>
          <w:color w:val="auto"/>
          <w:szCs w:val="21"/>
          <w:highlight w:val="none"/>
        </w:rPr>
        <w:t>响应单位在收到该补充采购文件后，应</w:t>
      </w:r>
      <w:r>
        <w:rPr>
          <w:rFonts w:hint="eastAsia"/>
          <w:color w:val="auto"/>
          <w:szCs w:val="21"/>
          <w:highlight w:val="none"/>
        </w:rPr>
        <w:t>当场签收或</w:t>
      </w:r>
      <w:r>
        <w:rPr>
          <w:color w:val="auto"/>
          <w:szCs w:val="21"/>
          <w:highlight w:val="none"/>
        </w:rPr>
        <w:t>立即以加盖公章的函件方式向采购人确认收悉。</w:t>
      </w:r>
    </w:p>
    <w:p w14:paraId="29A98D3D">
      <w:pPr>
        <w:pStyle w:val="3"/>
        <w:spacing w:before="240" w:beforeLines="100" w:after="120" w:afterLines="50" w:line="360" w:lineRule="auto"/>
        <w:jc w:val="center"/>
        <w:rPr>
          <w:rStyle w:val="46"/>
          <w:rFonts w:ascii="Times New Roman" w:hAnsi="Times New Roman" w:eastAsia="宋体"/>
          <w:b/>
          <w:bCs w:val="0"/>
          <w:color w:val="auto"/>
          <w:sz w:val="28"/>
          <w:szCs w:val="28"/>
          <w:highlight w:val="none"/>
        </w:rPr>
      </w:pPr>
      <w:bookmarkStart w:id="242" w:name="_Toc53939590"/>
      <w:bookmarkStart w:id="243" w:name="_Toc53945791"/>
      <w:bookmarkStart w:id="244" w:name="_Toc54280801"/>
      <w:bookmarkStart w:id="245" w:name="_Toc284135590"/>
      <w:bookmarkStart w:id="246" w:name="_Toc53949188"/>
      <w:bookmarkStart w:id="247" w:name="_Toc54280375"/>
      <w:bookmarkStart w:id="248" w:name="_Toc54281227"/>
      <w:bookmarkStart w:id="249" w:name="_Toc53948767"/>
      <w:bookmarkStart w:id="250" w:name="_Toc145499747"/>
      <w:bookmarkStart w:id="251" w:name="_Toc53936526"/>
      <w:bookmarkStart w:id="252" w:name="_Toc53948346"/>
      <w:bookmarkStart w:id="253" w:name="_Toc53918817"/>
      <w:bookmarkStart w:id="254" w:name="_Toc54279949"/>
      <w:r>
        <w:rPr>
          <w:rStyle w:val="46"/>
          <w:rFonts w:ascii="Times New Roman" w:hAnsi="宋体" w:eastAsia="宋体"/>
          <w:b/>
          <w:bCs w:val="0"/>
          <w:color w:val="auto"/>
          <w:sz w:val="28"/>
          <w:szCs w:val="28"/>
          <w:highlight w:val="none"/>
        </w:rPr>
        <w:t>第三章</w:t>
      </w:r>
      <w:r>
        <w:rPr>
          <w:rStyle w:val="46"/>
          <w:rFonts w:ascii="Times New Roman" w:hAnsi="Times New Roman" w:eastAsia="宋体"/>
          <w:b/>
          <w:bCs w:val="0"/>
          <w:color w:val="auto"/>
          <w:sz w:val="28"/>
          <w:szCs w:val="28"/>
          <w:highlight w:val="none"/>
        </w:rPr>
        <w:t xml:space="preserve">  </w:t>
      </w:r>
      <w:r>
        <w:rPr>
          <w:rStyle w:val="46"/>
          <w:rFonts w:ascii="Times New Roman" w:hAnsi="宋体" w:eastAsia="宋体"/>
          <w:b/>
          <w:bCs w:val="0"/>
          <w:color w:val="auto"/>
          <w:sz w:val="28"/>
          <w:szCs w:val="28"/>
          <w:highlight w:val="none"/>
        </w:rPr>
        <w:t>响应文件</w:t>
      </w:r>
      <w:bookmarkEnd w:id="242"/>
      <w:bookmarkEnd w:id="243"/>
      <w:bookmarkEnd w:id="244"/>
      <w:bookmarkEnd w:id="245"/>
      <w:bookmarkEnd w:id="246"/>
      <w:bookmarkEnd w:id="247"/>
      <w:bookmarkEnd w:id="248"/>
      <w:bookmarkEnd w:id="249"/>
      <w:bookmarkEnd w:id="250"/>
      <w:bookmarkEnd w:id="251"/>
      <w:bookmarkEnd w:id="252"/>
      <w:bookmarkEnd w:id="253"/>
      <w:bookmarkEnd w:id="254"/>
    </w:p>
    <w:p w14:paraId="689C3666">
      <w:pPr>
        <w:pStyle w:val="53"/>
        <w:spacing w:before="120"/>
        <w:rPr>
          <w:rStyle w:val="46"/>
          <w:rFonts w:ascii="Times New Roman" w:hAnsi="Times New Roman" w:eastAsia="宋体" w:cs="Times New Roman"/>
          <w:b/>
          <w:bCs w:val="0"/>
          <w:color w:val="auto"/>
          <w:sz w:val="28"/>
          <w:szCs w:val="28"/>
          <w:highlight w:val="none"/>
        </w:rPr>
      </w:pPr>
      <w:bookmarkStart w:id="255" w:name="_Toc53948768"/>
      <w:bookmarkStart w:id="256" w:name="_Toc54279950"/>
      <w:bookmarkStart w:id="257" w:name="_Toc53939591"/>
      <w:bookmarkStart w:id="258" w:name="_Toc54281228"/>
      <w:bookmarkStart w:id="259" w:name="_Toc53945792"/>
      <w:bookmarkStart w:id="260" w:name="_Toc53948347"/>
      <w:bookmarkStart w:id="261" w:name="_Toc53936527"/>
      <w:bookmarkStart w:id="262" w:name="_Toc53918818"/>
      <w:bookmarkStart w:id="263" w:name="_Toc54280376"/>
      <w:bookmarkStart w:id="264" w:name="_Toc53949189"/>
      <w:bookmarkStart w:id="265" w:name="_Toc54280802"/>
      <w:bookmarkStart w:id="266" w:name="_Toc145499748"/>
      <w:r>
        <w:rPr>
          <w:rStyle w:val="46"/>
          <w:rFonts w:ascii="Times New Roman" w:hAnsi="Times New Roman" w:eastAsia="宋体" w:cs="Times New Roman"/>
          <w:b/>
          <w:bCs w:val="0"/>
          <w:color w:val="auto"/>
          <w:sz w:val="28"/>
          <w:szCs w:val="28"/>
          <w:highlight w:val="none"/>
        </w:rPr>
        <w:t>15.响应文件的组成</w:t>
      </w:r>
      <w:bookmarkEnd w:id="255"/>
      <w:bookmarkEnd w:id="256"/>
      <w:bookmarkEnd w:id="257"/>
      <w:bookmarkEnd w:id="258"/>
      <w:bookmarkEnd w:id="259"/>
      <w:bookmarkEnd w:id="260"/>
      <w:bookmarkEnd w:id="261"/>
      <w:bookmarkEnd w:id="262"/>
      <w:bookmarkEnd w:id="263"/>
      <w:bookmarkEnd w:id="264"/>
      <w:bookmarkEnd w:id="265"/>
      <w:r>
        <w:rPr>
          <w:rStyle w:val="46"/>
          <w:rFonts w:ascii="Times New Roman" w:hAnsi="Times New Roman" w:eastAsia="宋体" w:cs="Times New Roman"/>
          <w:b/>
          <w:bCs w:val="0"/>
          <w:color w:val="auto"/>
          <w:sz w:val="28"/>
          <w:szCs w:val="28"/>
          <w:highlight w:val="none"/>
        </w:rPr>
        <w:t>及格式</w:t>
      </w:r>
      <w:bookmarkEnd w:id="266"/>
    </w:p>
    <w:p w14:paraId="4BDFCDB5">
      <w:pPr>
        <w:widowControl/>
        <w:spacing w:line="360" w:lineRule="auto"/>
        <w:ind w:left="516" w:leftChars="33" w:hanging="447" w:hangingChars="213"/>
        <w:rPr>
          <w:color w:val="auto"/>
          <w:szCs w:val="21"/>
          <w:highlight w:val="none"/>
        </w:rPr>
      </w:pPr>
      <w:r>
        <w:rPr>
          <w:color w:val="auto"/>
          <w:szCs w:val="21"/>
          <w:highlight w:val="none"/>
        </w:rPr>
        <w:t>15.1响应文件由第一</w:t>
      </w:r>
      <w:r>
        <w:rPr>
          <w:rFonts w:hint="eastAsia"/>
          <w:color w:val="auto"/>
          <w:szCs w:val="21"/>
          <w:highlight w:val="none"/>
        </w:rPr>
        <w:t>部分</w:t>
      </w:r>
      <w:r>
        <w:rPr>
          <w:color w:val="auto"/>
          <w:szCs w:val="21"/>
          <w:highlight w:val="none"/>
        </w:rPr>
        <w:t>《经济部分》、第二</w:t>
      </w:r>
      <w:r>
        <w:rPr>
          <w:rFonts w:hint="eastAsia"/>
          <w:color w:val="auto"/>
          <w:szCs w:val="21"/>
          <w:highlight w:val="none"/>
        </w:rPr>
        <w:t>部分</w:t>
      </w:r>
      <w:r>
        <w:rPr>
          <w:color w:val="auto"/>
          <w:szCs w:val="21"/>
          <w:highlight w:val="none"/>
        </w:rPr>
        <w:t>《技术部分》及第三</w:t>
      </w:r>
      <w:r>
        <w:rPr>
          <w:rFonts w:hint="eastAsia"/>
          <w:color w:val="auto"/>
          <w:szCs w:val="21"/>
          <w:highlight w:val="none"/>
        </w:rPr>
        <w:t>部</w:t>
      </w:r>
      <w:r>
        <w:rPr>
          <w:color w:val="auto"/>
          <w:szCs w:val="21"/>
          <w:highlight w:val="none"/>
        </w:rPr>
        <w:t>《商务部分》</w:t>
      </w:r>
      <w:r>
        <w:rPr>
          <w:rFonts w:hint="eastAsia"/>
          <w:color w:val="auto"/>
          <w:szCs w:val="21"/>
          <w:highlight w:val="none"/>
        </w:rPr>
        <w:t>分</w:t>
      </w:r>
      <w:r>
        <w:rPr>
          <w:color w:val="auto"/>
          <w:szCs w:val="21"/>
          <w:highlight w:val="none"/>
        </w:rPr>
        <w:t>三部分组成。</w:t>
      </w:r>
    </w:p>
    <w:p w14:paraId="63E36CBF">
      <w:pPr>
        <w:widowControl/>
        <w:spacing w:line="360" w:lineRule="auto"/>
        <w:ind w:left="516" w:leftChars="33" w:hanging="447" w:hangingChars="213"/>
        <w:rPr>
          <w:color w:val="auto"/>
          <w:szCs w:val="21"/>
          <w:highlight w:val="none"/>
        </w:rPr>
      </w:pPr>
      <w:r>
        <w:rPr>
          <w:color w:val="auto"/>
          <w:szCs w:val="21"/>
          <w:highlight w:val="none"/>
        </w:rPr>
        <w:t>15.2响应单位应毫无例外地使用采购文件中的规定格式编制响应文件</w:t>
      </w:r>
      <w:r>
        <w:rPr>
          <w:rFonts w:hint="eastAsia"/>
          <w:color w:val="auto"/>
          <w:szCs w:val="21"/>
          <w:highlight w:val="none"/>
        </w:rPr>
        <w:t>（</w:t>
      </w:r>
      <w:r>
        <w:rPr>
          <w:color w:val="auto"/>
          <w:szCs w:val="21"/>
          <w:highlight w:val="none"/>
        </w:rPr>
        <w:t>表格可按同样格式扩展和复制</w:t>
      </w:r>
      <w:r>
        <w:rPr>
          <w:rFonts w:hint="eastAsia"/>
          <w:color w:val="auto"/>
          <w:szCs w:val="21"/>
          <w:highlight w:val="none"/>
        </w:rPr>
        <w:t>）</w:t>
      </w:r>
      <w:r>
        <w:rPr>
          <w:color w:val="auto"/>
          <w:szCs w:val="21"/>
          <w:highlight w:val="none"/>
        </w:rPr>
        <w:t>；未有规定格式的，响应单位可自行编制。</w:t>
      </w:r>
    </w:p>
    <w:p w14:paraId="26CFCCFB">
      <w:pPr>
        <w:spacing w:line="360" w:lineRule="auto"/>
        <w:ind w:left="516" w:leftChars="33" w:hanging="447" w:hangingChars="213"/>
        <w:rPr>
          <w:color w:val="auto"/>
          <w:szCs w:val="21"/>
          <w:highlight w:val="none"/>
        </w:rPr>
      </w:pPr>
      <w:r>
        <w:rPr>
          <w:rFonts w:hint="eastAsia"/>
          <w:color w:val="auto"/>
          <w:szCs w:val="21"/>
          <w:highlight w:val="none"/>
        </w:rPr>
        <w:t>1</w:t>
      </w:r>
      <w:r>
        <w:rPr>
          <w:color w:val="auto"/>
          <w:szCs w:val="21"/>
          <w:highlight w:val="none"/>
        </w:rPr>
        <w:t>5.</w:t>
      </w:r>
      <w:r>
        <w:rPr>
          <w:rFonts w:hint="eastAsia"/>
          <w:color w:val="auto"/>
          <w:szCs w:val="21"/>
          <w:highlight w:val="none"/>
        </w:rPr>
        <w:t>3</w:t>
      </w:r>
      <w:r>
        <w:rPr>
          <w:rFonts w:hAnsi="宋体"/>
          <w:color w:val="auto"/>
          <w:szCs w:val="21"/>
          <w:highlight w:val="none"/>
        </w:rPr>
        <w:t>第</w:t>
      </w:r>
      <w:r>
        <w:rPr>
          <w:rFonts w:hint="eastAsia" w:hAnsi="宋体"/>
          <w:color w:val="auto"/>
          <w:szCs w:val="21"/>
          <w:highlight w:val="none"/>
        </w:rPr>
        <w:t>一部分</w:t>
      </w:r>
      <w:r>
        <w:rPr>
          <w:rFonts w:hAnsi="宋体"/>
          <w:color w:val="auto"/>
          <w:szCs w:val="21"/>
          <w:highlight w:val="none"/>
        </w:rPr>
        <w:t>《经济部分》包括并不限于下列内容：</w:t>
      </w:r>
    </w:p>
    <w:p w14:paraId="0CF77AC0">
      <w:pPr>
        <w:spacing w:line="360" w:lineRule="auto"/>
        <w:ind w:left="1035" w:leftChars="247" w:hanging="516" w:hangingChars="246"/>
        <w:rPr>
          <w:color w:val="auto"/>
          <w:szCs w:val="21"/>
          <w:highlight w:val="none"/>
        </w:rPr>
      </w:pPr>
      <w:r>
        <w:rPr>
          <w:color w:val="auto"/>
          <w:szCs w:val="21"/>
          <w:highlight w:val="none"/>
        </w:rPr>
        <w:t>15.</w:t>
      </w:r>
      <w:r>
        <w:rPr>
          <w:rFonts w:hint="eastAsia"/>
          <w:color w:val="auto"/>
          <w:szCs w:val="21"/>
          <w:highlight w:val="none"/>
        </w:rPr>
        <w:t>3</w:t>
      </w:r>
      <w:r>
        <w:rPr>
          <w:color w:val="auto"/>
          <w:szCs w:val="21"/>
          <w:highlight w:val="none"/>
        </w:rPr>
        <w:t>.1</w:t>
      </w:r>
      <w:r>
        <w:rPr>
          <w:rFonts w:hint="eastAsia" w:hAnsi="宋体"/>
          <w:color w:val="auto"/>
          <w:szCs w:val="21"/>
          <w:highlight w:val="none"/>
        </w:rPr>
        <w:t>响应</w:t>
      </w:r>
      <w:r>
        <w:rPr>
          <w:rFonts w:hAnsi="宋体"/>
          <w:color w:val="auto"/>
          <w:szCs w:val="21"/>
          <w:highlight w:val="none"/>
        </w:rPr>
        <w:t>函</w:t>
      </w:r>
      <w:r>
        <w:rPr>
          <w:rFonts w:hint="eastAsia"/>
          <w:color w:val="auto"/>
          <w:szCs w:val="21"/>
          <w:highlight w:val="none"/>
        </w:rPr>
        <w:t>（</w:t>
      </w:r>
      <w:r>
        <w:rPr>
          <w:rFonts w:hAnsi="宋体"/>
          <w:color w:val="auto"/>
          <w:szCs w:val="21"/>
          <w:highlight w:val="none"/>
        </w:rPr>
        <w:t>格式见第</w:t>
      </w:r>
      <w:r>
        <w:rPr>
          <w:rFonts w:hint="eastAsia" w:hAnsi="宋体"/>
          <w:color w:val="auto"/>
          <w:szCs w:val="21"/>
          <w:highlight w:val="none"/>
        </w:rPr>
        <w:t>六</w:t>
      </w:r>
      <w:r>
        <w:rPr>
          <w:rFonts w:hAnsi="宋体"/>
          <w:color w:val="auto"/>
          <w:szCs w:val="21"/>
          <w:highlight w:val="none"/>
        </w:rPr>
        <w:t>篇</w:t>
      </w:r>
      <w:r>
        <w:rPr>
          <w:rFonts w:hint="eastAsia"/>
          <w:color w:val="auto"/>
          <w:szCs w:val="21"/>
          <w:highlight w:val="none"/>
        </w:rPr>
        <w:t>）</w:t>
      </w:r>
      <w:r>
        <w:rPr>
          <w:rFonts w:hAnsi="宋体"/>
          <w:color w:val="auto"/>
          <w:szCs w:val="21"/>
          <w:highlight w:val="none"/>
        </w:rPr>
        <w:t>；</w:t>
      </w:r>
    </w:p>
    <w:p w14:paraId="0D2CC8C2">
      <w:pPr>
        <w:spacing w:line="360" w:lineRule="auto"/>
        <w:ind w:left="1035" w:leftChars="247" w:hanging="516" w:hangingChars="246"/>
        <w:rPr>
          <w:rFonts w:hint="eastAsia" w:hAnsi="宋体"/>
          <w:color w:val="auto"/>
          <w:szCs w:val="21"/>
          <w:highlight w:val="none"/>
        </w:rPr>
      </w:pPr>
      <w:r>
        <w:rPr>
          <w:color w:val="auto"/>
          <w:szCs w:val="21"/>
          <w:highlight w:val="none"/>
        </w:rPr>
        <w:t>15.</w:t>
      </w:r>
      <w:r>
        <w:rPr>
          <w:rFonts w:hint="eastAsia"/>
          <w:color w:val="auto"/>
          <w:szCs w:val="21"/>
          <w:highlight w:val="none"/>
        </w:rPr>
        <w:t>3</w:t>
      </w:r>
      <w:r>
        <w:rPr>
          <w:color w:val="auto"/>
          <w:szCs w:val="21"/>
          <w:highlight w:val="none"/>
        </w:rPr>
        <w:t>.</w:t>
      </w:r>
      <w:r>
        <w:rPr>
          <w:rFonts w:hint="eastAsia"/>
          <w:color w:val="auto"/>
          <w:szCs w:val="21"/>
          <w:highlight w:val="none"/>
        </w:rPr>
        <w:t>2</w:t>
      </w:r>
      <w:r>
        <w:rPr>
          <w:rFonts w:hAnsi="宋体"/>
          <w:color w:val="auto"/>
          <w:szCs w:val="21"/>
          <w:highlight w:val="none"/>
        </w:rPr>
        <w:t>法定代表人证明书或授权委托书</w:t>
      </w:r>
      <w:r>
        <w:rPr>
          <w:rFonts w:hint="eastAsia"/>
          <w:color w:val="auto"/>
          <w:szCs w:val="21"/>
          <w:highlight w:val="none"/>
        </w:rPr>
        <w:t>（</w:t>
      </w:r>
      <w:r>
        <w:rPr>
          <w:rFonts w:hAnsi="宋体"/>
          <w:color w:val="auto"/>
          <w:szCs w:val="21"/>
          <w:highlight w:val="none"/>
        </w:rPr>
        <w:t>格式见第</w:t>
      </w:r>
      <w:r>
        <w:rPr>
          <w:rFonts w:hint="eastAsia" w:hAnsi="宋体"/>
          <w:color w:val="auto"/>
          <w:szCs w:val="21"/>
          <w:highlight w:val="none"/>
        </w:rPr>
        <w:t>六</w:t>
      </w:r>
      <w:r>
        <w:rPr>
          <w:rFonts w:hAnsi="宋体"/>
          <w:color w:val="auto"/>
          <w:szCs w:val="21"/>
          <w:highlight w:val="none"/>
        </w:rPr>
        <w:t>篇</w:t>
      </w:r>
      <w:r>
        <w:rPr>
          <w:rFonts w:hint="eastAsia"/>
          <w:color w:val="auto"/>
          <w:szCs w:val="21"/>
          <w:highlight w:val="none"/>
        </w:rPr>
        <w:t>）</w:t>
      </w:r>
      <w:r>
        <w:rPr>
          <w:rFonts w:hAnsi="宋体"/>
          <w:color w:val="auto"/>
          <w:szCs w:val="21"/>
          <w:highlight w:val="none"/>
        </w:rPr>
        <w:t>；</w:t>
      </w:r>
    </w:p>
    <w:p w14:paraId="0A1E6603">
      <w:pPr>
        <w:spacing w:line="360" w:lineRule="auto"/>
        <w:ind w:left="1035" w:leftChars="247" w:hanging="516" w:hangingChars="246"/>
        <w:rPr>
          <w:color w:val="auto"/>
          <w:szCs w:val="21"/>
          <w:highlight w:val="none"/>
        </w:rPr>
      </w:pPr>
      <w:r>
        <w:rPr>
          <w:rFonts w:hint="eastAsia"/>
          <w:color w:val="auto"/>
          <w:szCs w:val="21"/>
          <w:highlight w:val="none"/>
        </w:rPr>
        <w:t>15.3.</w:t>
      </w:r>
      <w:r>
        <w:rPr>
          <w:color w:val="auto"/>
          <w:szCs w:val="21"/>
          <w:highlight w:val="none"/>
        </w:rPr>
        <w:t>3</w:t>
      </w:r>
      <w:r>
        <w:rPr>
          <w:rFonts w:hint="eastAsia"/>
          <w:color w:val="auto"/>
          <w:szCs w:val="21"/>
          <w:highlight w:val="none"/>
        </w:rPr>
        <w:t>响应担保；</w:t>
      </w:r>
    </w:p>
    <w:p w14:paraId="4B3C4905">
      <w:pPr>
        <w:spacing w:line="360" w:lineRule="auto"/>
        <w:ind w:left="1035" w:leftChars="247" w:hanging="516" w:hangingChars="246"/>
        <w:rPr>
          <w:color w:val="auto"/>
          <w:szCs w:val="21"/>
          <w:highlight w:val="none"/>
        </w:rPr>
      </w:pPr>
      <w:r>
        <w:rPr>
          <w:color w:val="auto"/>
          <w:szCs w:val="21"/>
          <w:highlight w:val="none"/>
        </w:rPr>
        <w:t>15.</w:t>
      </w:r>
      <w:r>
        <w:rPr>
          <w:rFonts w:hint="eastAsia"/>
          <w:color w:val="auto"/>
          <w:szCs w:val="21"/>
          <w:highlight w:val="none"/>
        </w:rPr>
        <w:t>3</w:t>
      </w:r>
      <w:r>
        <w:rPr>
          <w:color w:val="auto"/>
          <w:szCs w:val="21"/>
          <w:highlight w:val="none"/>
        </w:rPr>
        <w:t>.4</w:t>
      </w:r>
      <w:r>
        <w:rPr>
          <w:rFonts w:hint="eastAsia"/>
          <w:color w:val="auto"/>
          <w:szCs w:val="21"/>
          <w:highlight w:val="none"/>
        </w:rPr>
        <w:t>总报价（</w:t>
      </w:r>
      <w:r>
        <w:rPr>
          <w:rFonts w:hAnsi="宋体"/>
          <w:color w:val="auto"/>
          <w:szCs w:val="21"/>
          <w:highlight w:val="none"/>
        </w:rPr>
        <w:t>格式见第</w:t>
      </w:r>
      <w:r>
        <w:rPr>
          <w:rFonts w:hint="eastAsia" w:hAnsi="宋体"/>
          <w:color w:val="auto"/>
          <w:szCs w:val="21"/>
          <w:highlight w:val="none"/>
        </w:rPr>
        <w:t>六</w:t>
      </w:r>
      <w:r>
        <w:rPr>
          <w:rFonts w:hAnsi="宋体"/>
          <w:color w:val="auto"/>
          <w:szCs w:val="21"/>
          <w:highlight w:val="none"/>
        </w:rPr>
        <w:t>篇</w:t>
      </w:r>
      <w:r>
        <w:rPr>
          <w:rFonts w:hint="eastAsia"/>
          <w:color w:val="auto"/>
          <w:szCs w:val="21"/>
          <w:highlight w:val="none"/>
        </w:rPr>
        <w:t>）</w:t>
      </w:r>
      <w:r>
        <w:rPr>
          <w:rFonts w:hint="eastAsia" w:hAnsi="宋体"/>
          <w:color w:val="auto"/>
          <w:szCs w:val="21"/>
          <w:highlight w:val="none"/>
        </w:rPr>
        <w:t>；</w:t>
      </w:r>
    </w:p>
    <w:p w14:paraId="62CA2D0A">
      <w:pPr>
        <w:spacing w:line="360" w:lineRule="auto"/>
        <w:ind w:left="1035" w:leftChars="247" w:hanging="516" w:hangingChars="246"/>
        <w:rPr>
          <w:color w:val="auto"/>
          <w:szCs w:val="21"/>
          <w:highlight w:val="none"/>
        </w:rPr>
      </w:pPr>
      <w:r>
        <w:rPr>
          <w:color w:val="auto"/>
          <w:szCs w:val="21"/>
          <w:highlight w:val="none"/>
        </w:rPr>
        <w:t>15.</w:t>
      </w:r>
      <w:r>
        <w:rPr>
          <w:rFonts w:hint="eastAsia"/>
          <w:color w:val="auto"/>
          <w:szCs w:val="21"/>
          <w:highlight w:val="none"/>
        </w:rPr>
        <w:t>3</w:t>
      </w:r>
      <w:r>
        <w:rPr>
          <w:color w:val="auto"/>
          <w:szCs w:val="21"/>
          <w:highlight w:val="none"/>
        </w:rPr>
        <w:t>.5</w:t>
      </w:r>
      <w:r>
        <w:rPr>
          <w:rFonts w:hint="eastAsia"/>
          <w:color w:val="auto"/>
          <w:szCs w:val="21"/>
          <w:highlight w:val="none"/>
        </w:rPr>
        <w:t>工程量清单计价表（</w:t>
      </w:r>
      <w:r>
        <w:rPr>
          <w:rFonts w:hAnsi="宋体"/>
          <w:color w:val="auto"/>
          <w:szCs w:val="21"/>
          <w:highlight w:val="none"/>
        </w:rPr>
        <w:t>格式见第</w:t>
      </w:r>
      <w:r>
        <w:rPr>
          <w:rFonts w:hint="eastAsia" w:hAnsi="宋体"/>
          <w:color w:val="auto"/>
          <w:szCs w:val="21"/>
          <w:highlight w:val="none"/>
        </w:rPr>
        <w:t>六</w:t>
      </w:r>
      <w:r>
        <w:rPr>
          <w:rFonts w:hAnsi="宋体"/>
          <w:color w:val="auto"/>
          <w:szCs w:val="21"/>
          <w:highlight w:val="none"/>
        </w:rPr>
        <w:t>篇</w:t>
      </w:r>
      <w:r>
        <w:rPr>
          <w:rFonts w:hint="eastAsia"/>
          <w:color w:val="auto"/>
          <w:szCs w:val="21"/>
          <w:highlight w:val="none"/>
        </w:rPr>
        <w:t>）</w:t>
      </w:r>
      <w:r>
        <w:rPr>
          <w:rFonts w:hint="eastAsia" w:hAnsi="宋体"/>
          <w:color w:val="auto"/>
          <w:szCs w:val="21"/>
          <w:highlight w:val="none"/>
        </w:rPr>
        <w:t>；</w:t>
      </w:r>
    </w:p>
    <w:p w14:paraId="012ECBE0">
      <w:pPr>
        <w:spacing w:line="360" w:lineRule="auto"/>
        <w:ind w:left="1035" w:leftChars="247" w:hanging="516" w:hangingChars="246"/>
        <w:rPr>
          <w:rFonts w:hint="eastAsia" w:hAnsi="宋体"/>
          <w:color w:val="auto"/>
          <w:szCs w:val="21"/>
          <w:highlight w:val="none"/>
        </w:rPr>
      </w:pPr>
      <w:r>
        <w:rPr>
          <w:color w:val="auto"/>
          <w:szCs w:val="21"/>
          <w:highlight w:val="none"/>
        </w:rPr>
        <w:t>15.</w:t>
      </w:r>
      <w:r>
        <w:rPr>
          <w:rFonts w:hint="eastAsia"/>
          <w:color w:val="auto"/>
          <w:szCs w:val="21"/>
          <w:highlight w:val="none"/>
        </w:rPr>
        <w:t>3</w:t>
      </w:r>
      <w:r>
        <w:rPr>
          <w:color w:val="auto"/>
          <w:szCs w:val="21"/>
          <w:highlight w:val="none"/>
        </w:rPr>
        <w:t>.6</w:t>
      </w:r>
      <w:r>
        <w:rPr>
          <w:rFonts w:hint="eastAsia"/>
          <w:color w:val="auto"/>
          <w:szCs w:val="21"/>
          <w:highlight w:val="none"/>
        </w:rPr>
        <w:t>工程量清单综合单价分析表（</w:t>
      </w:r>
      <w:r>
        <w:rPr>
          <w:rFonts w:hAnsi="宋体"/>
          <w:color w:val="auto"/>
          <w:szCs w:val="21"/>
          <w:highlight w:val="none"/>
        </w:rPr>
        <w:t>格式见第</w:t>
      </w:r>
      <w:r>
        <w:rPr>
          <w:rFonts w:hint="eastAsia" w:hAnsi="宋体"/>
          <w:color w:val="auto"/>
          <w:szCs w:val="21"/>
          <w:highlight w:val="none"/>
        </w:rPr>
        <w:t>六</w:t>
      </w:r>
      <w:r>
        <w:rPr>
          <w:rFonts w:hAnsi="宋体"/>
          <w:color w:val="auto"/>
          <w:szCs w:val="21"/>
          <w:highlight w:val="none"/>
        </w:rPr>
        <w:t>篇</w:t>
      </w:r>
      <w:r>
        <w:rPr>
          <w:rFonts w:hint="eastAsia"/>
          <w:color w:val="auto"/>
          <w:szCs w:val="21"/>
          <w:highlight w:val="none"/>
        </w:rPr>
        <w:t>）</w:t>
      </w:r>
      <w:r>
        <w:rPr>
          <w:rFonts w:hint="eastAsia" w:hAnsi="宋体"/>
          <w:color w:val="auto"/>
          <w:szCs w:val="21"/>
          <w:highlight w:val="none"/>
        </w:rPr>
        <w:t>。（如需）</w:t>
      </w:r>
    </w:p>
    <w:p w14:paraId="7B5011C9">
      <w:pPr>
        <w:widowControl/>
        <w:spacing w:line="360" w:lineRule="auto"/>
        <w:ind w:left="516" w:leftChars="33" w:hanging="447" w:hangingChars="213"/>
        <w:rPr>
          <w:color w:val="auto"/>
          <w:szCs w:val="21"/>
          <w:highlight w:val="none"/>
        </w:rPr>
      </w:pPr>
      <w:r>
        <w:rPr>
          <w:color w:val="auto"/>
          <w:szCs w:val="21"/>
          <w:highlight w:val="none"/>
        </w:rPr>
        <w:t>15.</w:t>
      </w:r>
      <w:r>
        <w:rPr>
          <w:rFonts w:hint="eastAsia"/>
          <w:color w:val="auto"/>
          <w:szCs w:val="21"/>
          <w:highlight w:val="none"/>
        </w:rPr>
        <w:t>4</w:t>
      </w:r>
      <w:r>
        <w:rPr>
          <w:color w:val="auto"/>
          <w:szCs w:val="21"/>
          <w:highlight w:val="none"/>
        </w:rPr>
        <w:t>第</w:t>
      </w:r>
      <w:r>
        <w:rPr>
          <w:rFonts w:hint="eastAsia"/>
          <w:color w:val="auto"/>
          <w:szCs w:val="21"/>
          <w:highlight w:val="none"/>
        </w:rPr>
        <w:t>二部分</w:t>
      </w:r>
      <w:r>
        <w:rPr>
          <w:color w:val="auto"/>
          <w:szCs w:val="21"/>
          <w:highlight w:val="none"/>
        </w:rPr>
        <w:t>《技术部分》即施工组织设计，包括并不限于下列内容：</w:t>
      </w:r>
    </w:p>
    <w:p w14:paraId="49C73BD0">
      <w:pPr>
        <w:spacing w:line="360" w:lineRule="auto"/>
        <w:ind w:left="1035" w:leftChars="247" w:hanging="516" w:hangingChars="246"/>
        <w:rPr>
          <w:color w:val="auto"/>
          <w:szCs w:val="21"/>
          <w:highlight w:val="none"/>
        </w:rPr>
      </w:pPr>
      <w:r>
        <w:rPr>
          <w:color w:val="auto"/>
          <w:szCs w:val="21"/>
          <w:highlight w:val="none"/>
        </w:rPr>
        <w:t>15.4.1</w:t>
      </w:r>
      <w:r>
        <w:rPr>
          <w:rFonts w:hAnsi="宋体"/>
          <w:color w:val="auto"/>
          <w:szCs w:val="21"/>
          <w:highlight w:val="none"/>
        </w:rPr>
        <w:t>主要施工方案；</w:t>
      </w:r>
    </w:p>
    <w:p w14:paraId="7B4E803D">
      <w:pPr>
        <w:spacing w:line="360" w:lineRule="auto"/>
        <w:ind w:left="1035" w:leftChars="247" w:hanging="516" w:hangingChars="246"/>
        <w:rPr>
          <w:color w:val="auto"/>
          <w:szCs w:val="21"/>
          <w:highlight w:val="none"/>
        </w:rPr>
      </w:pPr>
      <w:r>
        <w:rPr>
          <w:color w:val="auto"/>
          <w:szCs w:val="21"/>
          <w:highlight w:val="none"/>
        </w:rPr>
        <w:t>15.4.2</w:t>
      </w:r>
      <w:r>
        <w:rPr>
          <w:rFonts w:hAnsi="宋体"/>
          <w:color w:val="auto"/>
          <w:szCs w:val="21"/>
          <w:highlight w:val="none"/>
        </w:rPr>
        <w:t>进度计划及措施；</w:t>
      </w:r>
    </w:p>
    <w:p w14:paraId="0D9A90A9">
      <w:pPr>
        <w:spacing w:line="360" w:lineRule="auto"/>
        <w:ind w:left="1035" w:leftChars="247" w:hanging="516" w:hangingChars="246"/>
        <w:rPr>
          <w:color w:val="auto"/>
          <w:szCs w:val="21"/>
          <w:highlight w:val="none"/>
        </w:rPr>
      </w:pPr>
      <w:r>
        <w:rPr>
          <w:color w:val="auto"/>
          <w:szCs w:val="21"/>
          <w:highlight w:val="none"/>
        </w:rPr>
        <w:t>15.4.3</w:t>
      </w:r>
      <w:r>
        <w:rPr>
          <w:rFonts w:hAnsi="宋体"/>
          <w:color w:val="auto"/>
          <w:szCs w:val="21"/>
          <w:highlight w:val="none"/>
        </w:rPr>
        <w:t>质量保证及措施；</w:t>
      </w:r>
    </w:p>
    <w:p w14:paraId="7DAC5777">
      <w:pPr>
        <w:spacing w:line="360" w:lineRule="auto"/>
        <w:ind w:left="1035" w:leftChars="247" w:hanging="516" w:hangingChars="246"/>
        <w:rPr>
          <w:color w:val="auto"/>
          <w:szCs w:val="21"/>
          <w:highlight w:val="none"/>
        </w:rPr>
      </w:pPr>
      <w:r>
        <w:rPr>
          <w:color w:val="auto"/>
          <w:szCs w:val="21"/>
          <w:highlight w:val="none"/>
        </w:rPr>
        <w:t>15.4.4</w:t>
      </w:r>
      <w:r>
        <w:rPr>
          <w:rFonts w:hAnsi="宋体"/>
          <w:color w:val="auto"/>
          <w:szCs w:val="21"/>
          <w:highlight w:val="none"/>
        </w:rPr>
        <w:t>安全管理及措施；</w:t>
      </w:r>
    </w:p>
    <w:p w14:paraId="57A479A6">
      <w:pPr>
        <w:spacing w:line="360" w:lineRule="auto"/>
        <w:ind w:left="1035" w:leftChars="247" w:hanging="516" w:hangingChars="246"/>
        <w:rPr>
          <w:color w:val="auto"/>
          <w:szCs w:val="21"/>
          <w:highlight w:val="none"/>
        </w:rPr>
      </w:pPr>
      <w:r>
        <w:rPr>
          <w:color w:val="auto"/>
          <w:szCs w:val="21"/>
          <w:highlight w:val="none"/>
        </w:rPr>
        <w:t>15.4.5</w:t>
      </w:r>
      <w:r>
        <w:rPr>
          <w:rFonts w:hAnsi="宋体"/>
          <w:color w:val="auto"/>
          <w:szCs w:val="21"/>
          <w:highlight w:val="none"/>
        </w:rPr>
        <w:t>文明施工、环境保护及措施；</w:t>
      </w:r>
    </w:p>
    <w:p w14:paraId="5BDBB43D">
      <w:pPr>
        <w:spacing w:line="360" w:lineRule="auto"/>
        <w:ind w:left="1035" w:leftChars="247" w:hanging="516" w:hangingChars="246"/>
        <w:rPr>
          <w:color w:val="auto"/>
          <w:szCs w:val="21"/>
          <w:highlight w:val="none"/>
        </w:rPr>
      </w:pPr>
      <w:r>
        <w:rPr>
          <w:color w:val="auto"/>
          <w:szCs w:val="21"/>
          <w:highlight w:val="none"/>
        </w:rPr>
        <w:t>15.4.6</w:t>
      </w:r>
      <w:r>
        <w:rPr>
          <w:rFonts w:hAnsi="宋体"/>
          <w:color w:val="auto"/>
          <w:szCs w:val="21"/>
          <w:highlight w:val="none"/>
        </w:rPr>
        <w:t>消防、保卫、健康及措施；</w:t>
      </w:r>
    </w:p>
    <w:p w14:paraId="169E6752">
      <w:pPr>
        <w:spacing w:line="360" w:lineRule="auto"/>
        <w:ind w:left="1035" w:leftChars="247" w:hanging="516" w:hangingChars="246"/>
        <w:rPr>
          <w:color w:val="auto"/>
          <w:szCs w:val="21"/>
          <w:highlight w:val="none"/>
        </w:rPr>
      </w:pPr>
      <w:r>
        <w:rPr>
          <w:color w:val="auto"/>
          <w:szCs w:val="21"/>
          <w:highlight w:val="none"/>
        </w:rPr>
        <w:t>15.4.7</w:t>
      </w:r>
      <w:r>
        <w:rPr>
          <w:rFonts w:hAnsi="宋体"/>
          <w:color w:val="auto"/>
          <w:szCs w:val="21"/>
          <w:highlight w:val="none"/>
        </w:rPr>
        <w:t>机械设备配置及保障；</w:t>
      </w:r>
    </w:p>
    <w:p w14:paraId="55EE827D">
      <w:pPr>
        <w:spacing w:line="360" w:lineRule="auto"/>
        <w:ind w:left="1035" w:leftChars="247" w:hanging="516" w:hangingChars="246"/>
        <w:rPr>
          <w:color w:val="auto"/>
          <w:szCs w:val="21"/>
          <w:highlight w:val="none"/>
        </w:rPr>
      </w:pPr>
      <w:r>
        <w:rPr>
          <w:color w:val="auto"/>
          <w:szCs w:val="21"/>
          <w:highlight w:val="none"/>
        </w:rPr>
        <w:t>15.4.8</w:t>
      </w:r>
      <w:r>
        <w:rPr>
          <w:rFonts w:hAnsi="宋体"/>
          <w:color w:val="auto"/>
          <w:szCs w:val="21"/>
          <w:highlight w:val="none"/>
        </w:rPr>
        <w:t>劳动力、材料配置计划及保障；</w:t>
      </w:r>
    </w:p>
    <w:p w14:paraId="3A10DD1D">
      <w:pPr>
        <w:spacing w:line="360" w:lineRule="auto"/>
        <w:ind w:left="1035" w:leftChars="247" w:hanging="516" w:hangingChars="246"/>
        <w:rPr>
          <w:color w:val="auto"/>
          <w:szCs w:val="21"/>
          <w:highlight w:val="none"/>
        </w:rPr>
      </w:pPr>
      <w:r>
        <w:rPr>
          <w:color w:val="auto"/>
          <w:szCs w:val="21"/>
          <w:highlight w:val="none"/>
        </w:rPr>
        <w:t>15.4.</w:t>
      </w:r>
      <w:r>
        <w:rPr>
          <w:rFonts w:hint="eastAsia"/>
          <w:color w:val="auto"/>
          <w:szCs w:val="21"/>
          <w:highlight w:val="none"/>
        </w:rPr>
        <w:t>9</w:t>
      </w:r>
      <w:r>
        <w:rPr>
          <w:rFonts w:hAnsi="宋体"/>
          <w:color w:val="auto"/>
          <w:szCs w:val="21"/>
          <w:highlight w:val="none"/>
        </w:rPr>
        <w:t>协调配合措施；</w:t>
      </w:r>
    </w:p>
    <w:p w14:paraId="33FF63FF">
      <w:pPr>
        <w:spacing w:line="360" w:lineRule="auto"/>
        <w:ind w:left="1035" w:leftChars="247" w:hanging="516" w:hangingChars="246"/>
        <w:rPr>
          <w:color w:val="auto"/>
          <w:szCs w:val="21"/>
          <w:highlight w:val="none"/>
        </w:rPr>
      </w:pPr>
      <w:r>
        <w:rPr>
          <w:color w:val="auto"/>
          <w:szCs w:val="21"/>
          <w:highlight w:val="none"/>
        </w:rPr>
        <w:t>15.4.1</w:t>
      </w:r>
      <w:r>
        <w:rPr>
          <w:rFonts w:hint="eastAsia"/>
          <w:color w:val="auto"/>
          <w:szCs w:val="21"/>
          <w:highlight w:val="none"/>
        </w:rPr>
        <w:t>0</w:t>
      </w:r>
      <w:r>
        <w:rPr>
          <w:rFonts w:hAnsi="宋体"/>
          <w:color w:val="auto"/>
          <w:szCs w:val="21"/>
          <w:highlight w:val="none"/>
        </w:rPr>
        <w:t>施工现场平面图；</w:t>
      </w:r>
      <w:r>
        <w:rPr>
          <w:rFonts w:hint="eastAsia" w:hAnsi="宋体"/>
          <w:color w:val="auto"/>
          <w:szCs w:val="21"/>
          <w:highlight w:val="none"/>
        </w:rPr>
        <w:t>（如需）</w:t>
      </w:r>
    </w:p>
    <w:p w14:paraId="67AC0BE5">
      <w:pPr>
        <w:spacing w:line="360" w:lineRule="auto"/>
        <w:ind w:left="1035" w:leftChars="247" w:hanging="516" w:hangingChars="246"/>
        <w:rPr>
          <w:color w:val="auto"/>
          <w:szCs w:val="21"/>
          <w:highlight w:val="none"/>
        </w:rPr>
      </w:pPr>
      <w:r>
        <w:rPr>
          <w:color w:val="auto"/>
          <w:szCs w:val="21"/>
          <w:highlight w:val="none"/>
        </w:rPr>
        <w:t>15.4.1</w:t>
      </w:r>
      <w:r>
        <w:rPr>
          <w:rFonts w:hint="eastAsia"/>
          <w:color w:val="auto"/>
          <w:szCs w:val="21"/>
          <w:highlight w:val="none"/>
        </w:rPr>
        <w:t>1</w:t>
      </w:r>
      <w:r>
        <w:rPr>
          <w:rFonts w:hAnsi="宋体"/>
          <w:color w:val="auto"/>
          <w:szCs w:val="21"/>
          <w:highlight w:val="none"/>
        </w:rPr>
        <w:t>现场组织机构框图及职责；</w:t>
      </w:r>
    </w:p>
    <w:p w14:paraId="4E513D5D">
      <w:pPr>
        <w:spacing w:line="360" w:lineRule="auto"/>
        <w:ind w:left="1035" w:leftChars="247" w:hanging="516" w:hangingChars="246"/>
        <w:rPr>
          <w:color w:val="auto"/>
          <w:szCs w:val="21"/>
          <w:highlight w:val="none"/>
        </w:rPr>
      </w:pPr>
      <w:r>
        <w:rPr>
          <w:color w:val="auto"/>
          <w:szCs w:val="21"/>
          <w:highlight w:val="none"/>
        </w:rPr>
        <w:t>15.4.1</w:t>
      </w:r>
      <w:r>
        <w:rPr>
          <w:rFonts w:hint="eastAsia"/>
          <w:color w:val="auto"/>
          <w:szCs w:val="21"/>
          <w:highlight w:val="none"/>
        </w:rPr>
        <w:t>2</w:t>
      </w:r>
      <w:r>
        <w:rPr>
          <w:rFonts w:ascii="Arial" w:hAnsi="Arial" w:cs="Arial"/>
          <w:color w:val="auto"/>
          <w:highlight w:val="none"/>
        </w:rPr>
        <w:t>冬季和雨季施工方案</w:t>
      </w:r>
      <w:r>
        <w:rPr>
          <w:rFonts w:hint="eastAsia" w:ascii="Arial" w:hAnsi="Arial" w:cs="Arial"/>
          <w:color w:val="auto"/>
          <w:highlight w:val="none"/>
        </w:rPr>
        <w:t>；</w:t>
      </w:r>
    </w:p>
    <w:p w14:paraId="1DABE537">
      <w:pPr>
        <w:spacing w:line="360" w:lineRule="auto"/>
        <w:ind w:left="1035" w:leftChars="247" w:hanging="516" w:hangingChars="246"/>
        <w:rPr>
          <w:color w:val="auto"/>
          <w:szCs w:val="21"/>
          <w:highlight w:val="none"/>
        </w:rPr>
      </w:pPr>
      <w:r>
        <w:rPr>
          <w:color w:val="auto"/>
          <w:szCs w:val="21"/>
          <w:highlight w:val="none"/>
        </w:rPr>
        <w:t>15.4.1</w:t>
      </w:r>
      <w:r>
        <w:rPr>
          <w:rFonts w:hint="eastAsia"/>
          <w:color w:val="auto"/>
          <w:szCs w:val="21"/>
          <w:highlight w:val="none"/>
        </w:rPr>
        <w:t>3</w:t>
      </w:r>
      <w:r>
        <w:rPr>
          <w:rFonts w:hint="eastAsia"/>
          <w:color w:val="auto"/>
          <w:kern w:val="0"/>
          <w:highlight w:val="none"/>
        </w:rPr>
        <w:t>方案或设计优化的合理化建议；</w:t>
      </w:r>
    </w:p>
    <w:p w14:paraId="66852CF2">
      <w:pPr>
        <w:spacing w:line="360" w:lineRule="auto"/>
        <w:ind w:left="516" w:leftChars="33" w:hanging="447" w:hangingChars="213"/>
        <w:rPr>
          <w:color w:val="auto"/>
          <w:szCs w:val="21"/>
          <w:highlight w:val="none"/>
        </w:rPr>
      </w:pPr>
      <w:r>
        <w:rPr>
          <w:color w:val="auto"/>
          <w:szCs w:val="21"/>
          <w:highlight w:val="none"/>
        </w:rPr>
        <w:t>15.</w:t>
      </w:r>
      <w:r>
        <w:rPr>
          <w:rFonts w:hint="eastAsia"/>
          <w:color w:val="auto"/>
          <w:szCs w:val="21"/>
          <w:highlight w:val="none"/>
        </w:rPr>
        <w:t>5</w:t>
      </w:r>
      <w:r>
        <w:rPr>
          <w:rFonts w:hAnsi="宋体"/>
          <w:color w:val="auto"/>
          <w:szCs w:val="21"/>
          <w:highlight w:val="none"/>
        </w:rPr>
        <w:t>第</w:t>
      </w:r>
      <w:r>
        <w:rPr>
          <w:rFonts w:hint="eastAsia" w:hAnsi="宋体"/>
          <w:color w:val="auto"/>
          <w:szCs w:val="21"/>
          <w:highlight w:val="none"/>
        </w:rPr>
        <w:t>三部分</w:t>
      </w:r>
      <w:r>
        <w:rPr>
          <w:rFonts w:hAnsi="宋体"/>
          <w:color w:val="auto"/>
          <w:szCs w:val="21"/>
          <w:highlight w:val="none"/>
        </w:rPr>
        <w:t>《商务部分》包括并不限于下列内容：</w:t>
      </w:r>
    </w:p>
    <w:p w14:paraId="1E1A2213">
      <w:pPr>
        <w:spacing w:line="360" w:lineRule="auto"/>
        <w:ind w:firstLine="525" w:firstLineChars="250"/>
        <w:rPr>
          <w:rFonts w:ascii="Arial" w:hAnsi="Arial"/>
          <w:color w:val="auto"/>
          <w:highlight w:val="none"/>
        </w:rPr>
      </w:pPr>
      <w:r>
        <w:rPr>
          <w:rFonts w:hint="eastAsia"/>
          <w:color w:val="auto"/>
          <w:szCs w:val="21"/>
          <w:highlight w:val="none"/>
        </w:rPr>
        <w:t>15.5.1</w:t>
      </w:r>
      <w:r>
        <w:rPr>
          <w:rFonts w:hint="eastAsia" w:ascii="Arial" w:hAnsi="Arial"/>
          <w:color w:val="auto"/>
          <w:highlight w:val="none"/>
        </w:rPr>
        <w:t>企业营业执照复印件（加盖公章）；</w:t>
      </w:r>
    </w:p>
    <w:p w14:paraId="6B99E46D">
      <w:pPr>
        <w:spacing w:line="360" w:lineRule="auto"/>
        <w:ind w:firstLine="525" w:firstLineChars="250"/>
        <w:rPr>
          <w:rFonts w:ascii="Arial" w:hAnsi="Arial"/>
          <w:color w:val="auto"/>
          <w:highlight w:val="none"/>
        </w:rPr>
      </w:pPr>
      <w:r>
        <w:rPr>
          <w:rFonts w:hint="eastAsia"/>
          <w:color w:val="auto"/>
          <w:szCs w:val="21"/>
          <w:highlight w:val="none"/>
        </w:rPr>
        <w:t>15.5.2</w:t>
      </w:r>
      <w:r>
        <w:rPr>
          <w:rFonts w:hint="eastAsia" w:ascii="Arial" w:hAnsi="Arial"/>
          <w:color w:val="auto"/>
          <w:highlight w:val="none"/>
        </w:rPr>
        <w:t>企业资质证书复印件（加盖公章）；</w:t>
      </w:r>
    </w:p>
    <w:p w14:paraId="09DD2C47">
      <w:pPr>
        <w:spacing w:line="360" w:lineRule="auto"/>
        <w:ind w:firstLine="525" w:firstLineChars="250"/>
        <w:rPr>
          <w:rFonts w:ascii="Arial" w:hAnsi="Arial"/>
          <w:color w:val="auto"/>
          <w:highlight w:val="none"/>
        </w:rPr>
      </w:pPr>
      <w:r>
        <w:rPr>
          <w:rFonts w:hint="eastAsia"/>
          <w:color w:val="auto"/>
          <w:szCs w:val="21"/>
          <w:highlight w:val="none"/>
        </w:rPr>
        <w:t>15.5.3</w:t>
      </w:r>
      <w:r>
        <w:rPr>
          <w:rFonts w:hint="eastAsia" w:ascii="Arial" w:hAnsi="Arial"/>
          <w:color w:val="auto"/>
          <w:highlight w:val="none"/>
        </w:rPr>
        <w:t>安全生产许可证证书复印件（加盖公章）；</w:t>
      </w:r>
    </w:p>
    <w:p w14:paraId="04F84AE1">
      <w:pPr>
        <w:spacing w:line="360" w:lineRule="auto"/>
        <w:ind w:left="1035" w:leftChars="247" w:hanging="516" w:hangingChars="246"/>
        <w:rPr>
          <w:color w:val="auto"/>
          <w:szCs w:val="21"/>
          <w:highlight w:val="none"/>
        </w:rPr>
      </w:pPr>
      <w:r>
        <w:rPr>
          <w:color w:val="auto"/>
          <w:szCs w:val="21"/>
          <w:highlight w:val="none"/>
        </w:rPr>
        <w:t>15.</w:t>
      </w:r>
      <w:r>
        <w:rPr>
          <w:rFonts w:hint="eastAsia"/>
          <w:color w:val="auto"/>
          <w:szCs w:val="21"/>
          <w:highlight w:val="none"/>
        </w:rPr>
        <w:t>5</w:t>
      </w:r>
      <w:r>
        <w:rPr>
          <w:color w:val="auto"/>
          <w:szCs w:val="21"/>
          <w:highlight w:val="none"/>
        </w:rPr>
        <w:t>.</w:t>
      </w:r>
      <w:r>
        <w:rPr>
          <w:rFonts w:hint="eastAsia"/>
          <w:color w:val="auto"/>
          <w:szCs w:val="21"/>
          <w:highlight w:val="none"/>
        </w:rPr>
        <w:t>4</w:t>
      </w:r>
      <w:r>
        <w:rPr>
          <w:rFonts w:hAnsi="宋体"/>
          <w:color w:val="auto"/>
          <w:szCs w:val="21"/>
          <w:highlight w:val="none"/>
        </w:rPr>
        <w:t>拟投入本合同工程主要人员汇总表</w:t>
      </w:r>
      <w:r>
        <w:rPr>
          <w:rFonts w:hint="eastAsia"/>
          <w:color w:val="auto"/>
          <w:szCs w:val="21"/>
          <w:highlight w:val="none"/>
        </w:rPr>
        <w:t>（</w:t>
      </w:r>
      <w:r>
        <w:rPr>
          <w:rFonts w:hAnsi="宋体"/>
          <w:color w:val="auto"/>
          <w:szCs w:val="21"/>
          <w:highlight w:val="none"/>
        </w:rPr>
        <w:t>格式见第</w:t>
      </w:r>
      <w:r>
        <w:rPr>
          <w:rFonts w:hint="eastAsia" w:hAnsi="宋体"/>
          <w:color w:val="auto"/>
          <w:szCs w:val="21"/>
          <w:highlight w:val="none"/>
        </w:rPr>
        <w:t>六</w:t>
      </w:r>
      <w:r>
        <w:rPr>
          <w:rFonts w:hAnsi="宋体"/>
          <w:color w:val="auto"/>
          <w:szCs w:val="21"/>
          <w:highlight w:val="none"/>
        </w:rPr>
        <w:t>篇</w:t>
      </w:r>
      <w:r>
        <w:rPr>
          <w:rFonts w:hint="eastAsia"/>
          <w:color w:val="auto"/>
          <w:szCs w:val="21"/>
          <w:highlight w:val="none"/>
        </w:rPr>
        <w:t>）</w:t>
      </w:r>
      <w:r>
        <w:rPr>
          <w:rFonts w:hAnsi="宋体"/>
          <w:color w:val="auto"/>
          <w:szCs w:val="21"/>
          <w:highlight w:val="none"/>
        </w:rPr>
        <w:t>；</w:t>
      </w:r>
    </w:p>
    <w:p w14:paraId="445D5E39">
      <w:pPr>
        <w:spacing w:line="360" w:lineRule="auto"/>
        <w:ind w:left="1035" w:leftChars="247" w:hanging="516" w:hangingChars="246"/>
        <w:rPr>
          <w:rFonts w:hint="eastAsia" w:hAnsi="宋体"/>
          <w:color w:val="auto"/>
          <w:szCs w:val="21"/>
          <w:highlight w:val="none"/>
        </w:rPr>
      </w:pPr>
      <w:r>
        <w:rPr>
          <w:color w:val="auto"/>
          <w:szCs w:val="21"/>
          <w:highlight w:val="none"/>
        </w:rPr>
        <w:t>15.</w:t>
      </w:r>
      <w:r>
        <w:rPr>
          <w:rFonts w:hint="eastAsia"/>
          <w:color w:val="auto"/>
          <w:szCs w:val="21"/>
          <w:highlight w:val="none"/>
        </w:rPr>
        <w:t>5</w:t>
      </w:r>
      <w:r>
        <w:rPr>
          <w:color w:val="auto"/>
          <w:szCs w:val="21"/>
          <w:highlight w:val="none"/>
        </w:rPr>
        <w:t>.</w:t>
      </w:r>
      <w:r>
        <w:rPr>
          <w:rFonts w:hint="eastAsia"/>
          <w:color w:val="auto"/>
          <w:szCs w:val="21"/>
          <w:highlight w:val="none"/>
        </w:rPr>
        <w:t>5</w:t>
      </w:r>
      <w:r>
        <w:rPr>
          <w:rFonts w:hAnsi="宋体"/>
          <w:color w:val="auto"/>
          <w:szCs w:val="21"/>
          <w:highlight w:val="none"/>
        </w:rPr>
        <w:t>拟投入本合同工程主要人员简历表</w:t>
      </w:r>
      <w:r>
        <w:rPr>
          <w:rFonts w:hint="eastAsia"/>
          <w:color w:val="auto"/>
          <w:szCs w:val="21"/>
          <w:highlight w:val="none"/>
        </w:rPr>
        <w:t>（</w:t>
      </w:r>
      <w:r>
        <w:rPr>
          <w:rFonts w:hAnsi="宋体"/>
          <w:color w:val="auto"/>
          <w:szCs w:val="21"/>
          <w:highlight w:val="none"/>
        </w:rPr>
        <w:t>格式见第</w:t>
      </w:r>
      <w:r>
        <w:rPr>
          <w:rFonts w:hint="eastAsia" w:hAnsi="宋体"/>
          <w:color w:val="auto"/>
          <w:szCs w:val="21"/>
          <w:highlight w:val="none"/>
        </w:rPr>
        <w:t>六</w:t>
      </w:r>
      <w:r>
        <w:rPr>
          <w:rFonts w:hAnsi="宋体"/>
          <w:color w:val="auto"/>
          <w:szCs w:val="21"/>
          <w:highlight w:val="none"/>
        </w:rPr>
        <w:t>篇</w:t>
      </w:r>
      <w:r>
        <w:rPr>
          <w:rFonts w:hint="eastAsia"/>
          <w:color w:val="auto"/>
          <w:szCs w:val="21"/>
          <w:highlight w:val="none"/>
        </w:rPr>
        <w:t>）</w:t>
      </w:r>
      <w:r>
        <w:rPr>
          <w:rFonts w:hAnsi="宋体"/>
          <w:color w:val="auto"/>
          <w:szCs w:val="21"/>
          <w:highlight w:val="none"/>
        </w:rPr>
        <w:t>；</w:t>
      </w:r>
    </w:p>
    <w:p w14:paraId="4CF48B4B">
      <w:pPr>
        <w:spacing w:line="360" w:lineRule="auto"/>
        <w:ind w:left="1035" w:leftChars="247" w:hanging="516" w:hangingChars="246"/>
        <w:rPr>
          <w:rFonts w:ascii="Arial" w:hAnsi="Arial"/>
          <w:color w:val="auto"/>
          <w:highlight w:val="none"/>
        </w:rPr>
      </w:pPr>
      <w:r>
        <w:rPr>
          <w:rFonts w:hint="eastAsia"/>
          <w:color w:val="auto"/>
          <w:szCs w:val="21"/>
          <w:highlight w:val="none"/>
        </w:rPr>
        <w:t>15.5.6</w:t>
      </w:r>
      <w:r>
        <w:rPr>
          <w:rFonts w:hint="eastAsia" w:ascii="Arial" w:hAnsi="Arial"/>
          <w:color w:val="auto"/>
          <w:highlight w:val="none"/>
        </w:rPr>
        <w:t>拟派项目负责人相关证件复印件（加盖公章）；</w:t>
      </w:r>
    </w:p>
    <w:p w14:paraId="5C90AD3D">
      <w:pPr>
        <w:spacing w:line="360" w:lineRule="auto"/>
        <w:ind w:left="1035" w:leftChars="247" w:hanging="516" w:hangingChars="246"/>
        <w:rPr>
          <w:rFonts w:ascii="Arial" w:hAnsi="Arial"/>
          <w:color w:val="auto"/>
          <w:highlight w:val="none"/>
        </w:rPr>
      </w:pPr>
      <w:r>
        <w:rPr>
          <w:color w:val="auto"/>
          <w:szCs w:val="21"/>
          <w:highlight w:val="none"/>
        </w:rPr>
        <w:t>15.</w:t>
      </w:r>
      <w:r>
        <w:rPr>
          <w:rFonts w:hint="eastAsia"/>
          <w:color w:val="auto"/>
          <w:szCs w:val="21"/>
          <w:highlight w:val="none"/>
        </w:rPr>
        <w:t>5</w:t>
      </w:r>
      <w:r>
        <w:rPr>
          <w:color w:val="auto"/>
          <w:szCs w:val="21"/>
          <w:highlight w:val="none"/>
        </w:rPr>
        <w:t>.</w:t>
      </w:r>
      <w:r>
        <w:rPr>
          <w:rFonts w:hint="eastAsia"/>
          <w:color w:val="auto"/>
          <w:szCs w:val="21"/>
          <w:highlight w:val="none"/>
        </w:rPr>
        <w:t>7</w:t>
      </w:r>
      <w:r>
        <w:rPr>
          <w:rFonts w:hAnsi="宋体"/>
          <w:color w:val="auto"/>
          <w:szCs w:val="21"/>
          <w:highlight w:val="none"/>
        </w:rPr>
        <w:t>拟投入本合同工程主要施工机械表</w:t>
      </w:r>
      <w:r>
        <w:rPr>
          <w:rFonts w:hint="eastAsia"/>
          <w:color w:val="auto"/>
          <w:szCs w:val="21"/>
          <w:highlight w:val="none"/>
        </w:rPr>
        <w:t>（</w:t>
      </w:r>
      <w:r>
        <w:rPr>
          <w:rFonts w:hAnsi="宋体"/>
          <w:color w:val="auto"/>
          <w:szCs w:val="21"/>
          <w:highlight w:val="none"/>
        </w:rPr>
        <w:t>格式见第</w:t>
      </w:r>
      <w:r>
        <w:rPr>
          <w:rFonts w:hint="eastAsia" w:hAnsi="宋体"/>
          <w:color w:val="auto"/>
          <w:szCs w:val="21"/>
          <w:highlight w:val="none"/>
        </w:rPr>
        <w:t>六</w:t>
      </w:r>
      <w:r>
        <w:rPr>
          <w:rFonts w:hAnsi="宋体"/>
          <w:color w:val="auto"/>
          <w:szCs w:val="21"/>
          <w:highlight w:val="none"/>
        </w:rPr>
        <w:t>篇</w:t>
      </w:r>
      <w:r>
        <w:rPr>
          <w:rFonts w:hint="eastAsia"/>
          <w:color w:val="auto"/>
          <w:szCs w:val="21"/>
          <w:highlight w:val="none"/>
        </w:rPr>
        <w:t>）</w:t>
      </w:r>
      <w:r>
        <w:rPr>
          <w:rFonts w:hint="eastAsia" w:hAnsi="宋体"/>
          <w:color w:val="auto"/>
          <w:szCs w:val="21"/>
          <w:highlight w:val="none"/>
        </w:rPr>
        <w:t>。</w:t>
      </w:r>
    </w:p>
    <w:p w14:paraId="3552D3B4">
      <w:pPr>
        <w:spacing w:line="360" w:lineRule="auto"/>
        <w:ind w:left="1035" w:leftChars="247" w:hanging="516" w:hangingChars="246"/>
        <w:rPr>
          <w:rFonts w:ascii="Arial" w:hAnsi="Arial"/>
          <w:color w:val="auto"/>
          <w:highlight w:val="none"/>
        </w:rPr>
      </w:pPr>
      <w:r>
        <w:rPr>
          <w:color w:val="auto"/>
          <w:szCs w:val="21"/>
          <w:highlight w:val="none"/>
        </w:rPr>
        <w:t>15.</w:t>
      </w:r>
      <w:r>
        <w:rPr>
          <w:rFonts w:hint="eastAsia"/>
          <w:color w:val="auto"/>
          <w:szCs w:val="21"/>
          <w:highlight w:val="none"/>
        </w:rPr>
        <w:t>5</w:t>
      </w:r>
      <w:r>
        <w:rPr>
          <w:color w:val="auto"/>
          <w:szCs w:val="21"/>
          <w:highlight w:val="none"/>
        </w:rPr>
        <w:t>.</w:t>
      </w:r>
      <w:r>
        <w:rPr>
          <w:rFonts w:hint="eastAsia"/>
          <w:color w:val="auto"/>
          <w:szCs w:val="21"/>
          <w:highlight w:val="none"/>
        </w:rPr>
        <w:t>8</w:t>
      </w:r>
      <w:r>
        <w:rPr>
          <w:rFonts w:hAnsi="宋体"/>
          <w:color w:val="auto"/>
          <w:szCs w:val="21"/>
          <w:highlight w:val="none"/>
        </w:rPr>
        <w:t>近</w:t>
      </w:r>
      <w:r>
        <w:rPr>
          <w:color w:val="auto"/>
          <w:szCs w:val="21"/>
          <w:highlight w:val="none"/>
        </w:rPr>
        <w:t>5</w:t>
      </w:r>
      <w:r>
        <w:rPr>
          <w:rFonts w:hAnsi="宋体"/>
          <w:color w:val="auto"/>
          <w:szCs w:val="21"/>
          <w:highlight w:val="none"/>
        </w:rPr>
        <w:t>年</w:t>
      </w:r>
      <w:r>
        <w:rPr>
          <w:rFonts w:hint="eastAsia" w:hAnsi="宋体"/>
          <w:color w:val="auto"/>
          <w:szCs w:val="21"/>
          <w:highlight w:val="none"/>
        </w:rPr>
        <w:t>内</w:t>
      </w:r>
      <w:r>
        <w:rPr>
          <w:rFonts w:hAnsi="宋体"/>
          <w:color w:val="auto"/>
          <w:szCs w:val="21"/>
          <w:highlight w:val="none"/>
        </w:rPr>
        <w:t>类似工程情况一览表</w:t>
      </w:r>
      <w:r>
        <w:rPr>
          <w:rFonts w:hint="eastAsia"/>
          <w:color w:val="auto"/>
          <w:szCs w:val="21"/>
          <w:highlight w:val="none"/>
        </w:rPr>
        <w:t>（</w:t>
      </w:r>
      <w:r>
        <w:rPr>
          <w:rFonts w:hAnsi="宋体"/>
          <w:color w:val="auto"/>
          <w:szCs w:val="21"/>
          <w:highlight w:val="none"/>
        </w:rPr>
        <w:t>格式见第</w:t>
      </w:r>
      <w:r>
        <w:rPr>
          <w:rFonts w:hint="eastAsia" w:hAnsi="宋体"/>
          <w:color w:val="auto"/>
          <w:szCs w:val="21"/>
          <w:highlight w:val="none"/>
        </w:rPr>
        <w:t>六</w:t>
      </w:r>
      <w:r>
        <w:rPr>
          <w:rFonts w:hAnsi="宋体"/>
          <w:color w:val="auto"/>
          <w:szCs w:val="21"/>
          <w:highlight w:val="none"/>
        </w:rPr>
        <w:t>篇</w:t>
      </w:r>
      <w:r>
        <w:rPr>
          <w:rFonts w:hint="eastAsia"/>
          <w:color w:val="auto"/>
          <w:szCs w:val="21"/>
          <w:highlight w:val="none"/>
        </w:rPr>
        <w:t>）</w:t>
      </w:r>
      <w:r>
        <w:rPr>
          <w:rFonts w:hint="eastAsia" w:hAnsi="宋体"/>
          <w:color w:val="auto"/>
          <w:szCs w:val="21"/>
          <w:highlight w:val="none"/>
        </w:rPr>
        <w:t>，</w:t>
      </w:r>
      <w:r>
        <w:rPr>
          <w:rFonts w:hint="eastAsia" w:ascii="Arial" w:hAnsi="Arial"/>
          <w:color w:val="auto"/>
          <w:highlight w:val="none"/>
        </w:rPr>
        <w:t>上述业绩必须提供相应的证明文件，如合同主要章节等相关证明材料的复印件；</w:t>
      </w:r>
    </w:p>
    <w:p w14:paraId="4590725D">
      <w:pPr>
        <w:spacing w:line="360" w:lineRule="auto"/>
        <w:ind w:left="1035" w:leftChars="247" w:hanging="516" w:hangingChars="246"/>
        <w:rPr>
          <w:rFonts w:ascii="Arial" w:hAnsi="Arial"/>
          <w:color w:val="auto"/>
          <w:highlight w:val="none"/>
        </w:rPr>
      </w:pPr>
      <w:r>
        <w:rPr>
          <w:rFonts w:hint="eastAsia"/>
          <w:color w:val="auto"/>
          <w:szCs w:val="21"/>
          <w:highlight w:val="none"/>
        </w:rPr>
        <w:t>15.5.9</w:t>
      </w:r>
      <w:r>
        <w:rPr>
          <w:rFonts w:hint="eastAsia" w:ascii="Arial" w:hAnsi="Arial"/>
          <w:bCs/>
          <w:color w:val="auto"/>
          <w:highlight w:val="none"/>
        </w:rPr>
        <w:t>响应单位的纳税资格的确认。</w:t>
      </w:r>
    </w:p>
    <w:p w14:paraId="518028AF">
      <w:pPr>
        <w:pStyle w:val="53"/>
        <w:spacing w:before="120"/>
        <w:rPr>
          <w:rStyle w:val="46"/>
          <w:rFonts w:ascii="Times New Roman" w:hAnsi="Times New Roman" w:eastAsia="宋体" w:cs="Times New Roman"/>
          <w:b/>
          <w:bCs w:val="0"/>
          <w:color w:val="auto"/>
          <w:sz w:val="28"/>
          <w:szCs w:val="28"/>
          <w:highlight w:val="none"/>
        </w:rPr>
      </w:pPr>
      <w:bookmarkStart w:id="267" w:name="_Toc145499749"/>
      <w:r>
        <w:rPr>
          <w:rStyle w:val="46"/>
          <w:rFonts w:ascii="Times New Roman" w:hAnsi="Times New Roman" w:eastAsia="宋体" w:cs="Times New Roman"/>
          <w:b/>
          <w:bCs w:val="0"/>
          <w:color w:val="auto"/>
          <w:sz w:val="28"/>
          <w:szCs w:val="28"/>
          <w:highlight w:val="none"/>
        </w:rPr>
        <w:t>16.响应文件的形式和签署</w:t>
      </w:r>
      <w:bookmarkEnd w:id="267"/>
    </w:p>
    <w:p w14:paraId="3CA5A5AE">
      <w:pPr>
        <w:widowControl/>
        <w:spacing w:line="360" w:lineRule="auto"/>
        <w:ind w:left="516" w:leftChars="33" w:hanging="447" w:hangingChars="213"/>
        <w:rPr>
          <w:color w:val="auto"/>
          <w:szCs w:val="21"/>
          <w:highlight w:val="none"/>
        </w:rPr>
      </w:pPr>
      <w:r>
        <w:rPr>
          <w:color w:val="auto"/>
          <w:szCs w:val="21"/>
          <w:highlight w:val="none"/>
        </w:rPr>
        <w:t>16.1响应单位应按《响应单位须知前附表》第</w:t>
      </w:r>
      <w:r>
        <w:rPr>
          <w:rFonts w:hint="eastAsia"/>
          <w:color w:val="auto"/>
          <w:szCs w:val="21"/>
          <w:highlight w:val="none"/>
        </w:rPr>
        <w:t>8</w:t>
      </w:r>
      <w:r>
        <w:rPr>
          <w:color w:val="auto"/>
          <w:szCs w:val="21"/>
          <w:highlight w:val="none"/>
        </w:rPr>
        <w:t>项要求的形式和份数，编制和签署响应文件。</w:t>
      </w:r>
    </w:p>
    <w:p w14:paraId="39D1D176">
      <w:pPr>
        <w:spacing w:line="360" w:lineRule="auto"/>
        <w:ind w:left="516" w:leftChars="33" w:hanging="447" w:hangingChars="213"/>
        <w:rPr>
          <w:color w:val="auto"/>
          <w:szCs w:val="21"/>
          <w:highlight w:val="none"/>
        </w:rPr>
      </w:pPr>
      <w:r>
        <w:rPr>
          <w:color w:val="auto"/>
          <w:szCs w:val="21"/>
          <w:highlight w:val="none"/>
        </w:rPr>
        <w:t>16.2</w:t>
      </w:r>
      <w:r>
        <w:rPr>
          <w:rFonts w:hAnsi="宋体"/>
          <w:color w:val="auto"/>
          <w:szCs w:val="21"/>
          <w:highlight w:val="none"/>
        </w:rPr>
        <w:t>响应文件封面的大小和形式见《响应单位须知前附表》第</w:t>
      </w:r>
      <w:r>
        <w:rPr>
          <w:rFonts w:hint="eastAsia"/>
          <w:color w:val="auto"/>
          <w:szCs w:val="21"/>
          <w:highlight w:val="none"/>
        </w:rPr>
        <w:t>9</w:t>
      </w:r>
      <w:r>
        <w:rPr>
          <w:rFonts w:hAnsi="宋体"/>
          <w:color w:val="auto"/>
          <w:szCs w:val="21"/>
          <w:highlight w:val="none"/>
        </w:rPr>
        <w:t>项的相应规定。</w:t>
      </w:r>
      <w:r>
        <w:rPr>
          <w:rFonts w:hint="eastAsia" w:hAnsi="宋体"/>
          <w:color w:val="auto"/>
          <w:szCs w:val="21"/>
          <w:highlight w:val="none"/>
        </w:rPr>
        <w:t>以最终提交采购响应流程所附响应文件扫描件版本为准</w:t>
      </w:r>
      <w:r>
        <w:rPr>
          <w:rFonts w:hAnsi="宋体"/>
          <w:color w:val="auto"/>
          <w:szCs w:val="21"/>
          <w:highlight w:val="none"/>
        </w:rPr>
        <w:t>。</w:t>
      </w:r>
    </w:p>
    <w:p w14:paraId="415D801F">
      <w:pPr>
        <w:spacing w:line="360" w:lineRule="auto"/>
        <w:ind w:left="516" w:leftChars="33" w:hanging="447" w:hangingChars="213"/>
        <w:rPr>
          <w:rFonts w:hint="eastAsia" w:hAnsi="宋体"/>
          <w:color w:val="auto"/>
          <w:szCs w:val="21"/>
          <w:highlight w:val="none"/>
        </w:rPr>
      </w:pPr>
      <w:r>
        <w:rPr>
          <w:color w:val="auto"/>
          <w:szCs w:val="21"/>
          <w:highlight w:val="none"/>
        </w:rPr>
        <w:t>16.3</w:t>
      </w:r>
      <w:r>
        <w:rPr>
          <w:rFonts w:hAnsi="宋体"/>
          <w:color w:val="auto"/>
          <w:szCs w:val="21"/>
          <w:highlight w:val="none"/>
        </w:rPr>
        <w:t>由响应单位按相应规定在封面和文本中加盖公章和进行签字</w:t>
      </w:r>
      <w:r>
        <w:rPr>
          <w:rFonts w:hint="eastAsia" w:hAnsi="宋体"/>
          <w:color w:val="auto"/>
          <w:szCs w:val="21"/>
          <w:highlight w:val="none"/>
        </w:rPr>
        <w:t>。</w:t>
      </w:r>
    </w:p>
    <w:p w14:paraId="3B090073">
      <w:pPr>
        <w:spacing w:line="360" w:lineRule="auto"/>
        <w:ind w:left="516" w:leftChars="33" w:hanging="447" w:hangingChars="213"/>
        <w:rPr>
          <w:color w:val="auto"/>
          <w:szCs w:val="21"/>
          <w:highlight w:val="none"/>
        </w:rPr>
      </w:pPr>
      <w:r>
        <w:rPr>
          <w:color w:val="auto"/>
          <w:szCs w:val="21"/>
          <w:highlight w:val="none"/>
        </w:rPr>
        <w:t>16.</w:t>
      </w:r>
      <w:r>
        <w:rPr>
          <w:rFonts w:hint="eastAsia"/>
          <w:color w:val="auto"/>
          <w:szCs w:val="21"/>
          <w:highlight w:val="none"/>
        </w:rPr>
        <w:t>4</w:t>
      </w:r>
      <w:r>
        <w:rPr>
          <w:rFonts w:hAnsi="宋体"/>
          <w:color w:val="auto"/>
          <w:szCs w:val="21"/>
          <w:highlight w:val="none"/>
        </w:rPr>
        <w:t>响应文件的文本内容均应打印或用不褪色的墨水填写，全套文件应无涂改、行间插字或删除等修改。除非修改是根据已发出的采购文件的指示进行的，或者是响应单位造成必须修改的错误；修改处应由法定代表人或授权代理人进行签字并加盖单位公章。</w:t>
      </w:r>
    </w:p>
    <w:p w14:paraId="636317CA">
      <w:pPr>
        <w:pStyle w:val="53"/>
        <w:spacing w:before="120"/>
        <w:rPr>
          <w:rStyle w:val="46"/>
          <w:rFonts w:ascii="Times New Roman" w:hAnsi="Times New Roman" w:eastAsia="宋体" w:cs="Times New Roman"/>
          <w:b/>
          <w:bCs w:val="0"/>
          <w:color w:val="auto"/>
          <w:sz w:val="28"/>
          <w:szCs w:val="28"/>
          <w:highlight w:val="none"/>
        </w:rPr>
      </w:pPr>
      <w:bookmarkStart w:id="268" w:name="_Toc53939592"/>
      <w:bookmarkStart w:id="269" w:name="_Toc53948348"/>
      <w:bookmarkStart w:id="270" w:name="_Toc99114783"/>
      <w:bookmarkStart w:id="271" w:name="_Toc99114418"/>
      <w:bookmarkStart w:id="272" w:name="_Toc98988350"/>
      <w:bookmarkStart w:id="273" w:name="_Toc54281229"/>
      <w:bookmarkStart w:id="274" w:name="_Toc53945793"/>
      <w:bookmarkStart w:id="275" w:name="_Toc53918819"/>
      <w:bookmarkStart w:id="276" w:name="_Toc99076132"/>
      <w:bookmarkStart w:id="277" w:name="_Toc53936528"/>
      <w:bookmarkStart w:id="278" w:name="_Toc99075811"/>
      <w:bookmarkStart w:id="279" w:name="_Toc54280377"/>
      <w:bookmarkStart w:id="280" w:name="_Toc54279951"/>
      <w:bookmarkStart w:id="281" w:name="_Toc99075232"/>
      <w:bookmarkStart w:id="282" w:name="_Toc54280803"/>
      <w:bookmarkStart w:id="283" w:name="_Toc53948769"/>
      <w:bookmarkStart w:id="284" w:name="_Toc99076421"/>
      <w:bookmarkStart w:id="285" w:name="_Toc53949190"/>
      <w:bookmarkStart w:id="286" w:name="_Toc101598024"/>
      <w:bookmarkStart w:id="287" w:name="_Toc101074626"/>
      <w:bookmarkStart w:id="288" w:name="_Toc100928421"/>
      <w:bookmarkStart w:id="289" w:name="_Toc101076023"/>
      <w:bookmarkStart w:id="290" w:name="_Toc101064260"/>
      <w:bookmarkStart w:id="291" w:name="_Toc100928199"/>
      <w:bookmarkStart w:id="292" w:name="_Toc145499750"/>
      <w:bookmarkStart w:id="293" w:name="_Toc101074408"/>
      <w:bookmarkStart w:id="294" w:name="_Toc101075778"/>
      <w:bookmarkStart w:id="295" w:name="_Toc100508605"/>
      <w:bookmarkStart w:id="296" w:name="_Toc100928643"/>
      <w:bookmarkStart w:id="297" w:name="_Toc100511812"/>
      <w:bookmarkStart w:id="298" w:name="_Toc101986479"/>
      <w:bookmarkStart w:id="299" w:name="_Toc53948771"/>
      <w:bookmarkStart w:id="300" w:name="_Toc54280805"/>
      <w:bookmarkStart w:id="301" w:name="_Toc54279953"/>
      <w:bookmarkStart w:id="302" w:name="_Toc53945795"/>
      <w:bookmarkStart w:id="303" w:name="_Toc53939594"/>
      <w:bookmarkStart w:id="304" w:name="_Toc53936530"/>
      <w:bookmarkStart w:id="305" w:name="_Toc53948350"/>
      <w:bookmarkStart w:id="306" w:name="_Toc54280379"/>
      <w:bookmarkStart w:id="307" w:name="_Toc54281231"/>
      <w:bookmarkStart w:id="308" w:name="_Toc53918821"/>
      <w:bookmarkStart w:id="309" w:name="_Toc53949192"/>
      <w:r>
        <w:rPr>
          <w:rStyle w:val="46"/>
          <w:rFonts w:ascii="Times New Roman" w:hAnsi="Times New Roman" w:eastAsia="宋体" w:cs="Times New Roman"/>
          <w:b/>
          <w:bCs w:val="0"/>
          <w:color w:val="auto"/>
          <w:sz w:val="28"/>
          <w:szCs w:val="28"/>
          <w:highlight w:val="none"/>
        </w:rPr>
        <w:t>17.</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46"/>
          <w:rFonts w:ascii="Times New Roman" w:hAnsi="Times New Roman" w:eastAsia="宋体" w:cs="Times New Roman"/>
          <w:b/>
          <w:bCs w:val="0"/>
          <w:color w:val="auto"/>
          <w:sz w:val="28"/>
          <w:szCs w:val="28"/>
          <w:highlight w:val="none"/>
        </w:rPr>
        <w:t>报价</w:t>
      </w:r>
      <w:bookmarkEnd w:id="286"/>
      <w:bookmarkEnd w:id="287"/>
      <w:bookmarkEnd w:id="288"/>
      <w:bookmarkEnd w:id="289"/>
      <w:bookmarkEnd w:id="290"/>
      <w:bookmarkEnd w:id="291"/>
      <w:bookmarkEnd w:id="292"/>
      <w:bookmarkEnd w:id="293"/>
      <w:bookmarkEnd w:id="294"/>
      <w:bookmarkEnd w:id="295"/>
      <w:bookmarkEnd w:id="296"/>
      <w:bookmarkEnd w:id="297"/>
      <w:bookmarkEnd w:id="298"/>
    </w:p>
    <w:p w14:paraId="6B947C51">
      <w:pPr>
        <w:spacing w:line="360" w:lineRule="auto"/>
        <w:ind w:left="516" w:leftChars="33" w:hanging="447" w:hangingChars="213"/>
        <w:rPr>
          <w:color w:val="auto"/>
          <w:szCs w:val="21"/>
          <w:highlight w:val="none"/>
        </w:rPr>
      </w:pPr>
      <w:r>
        <w:rPr>
          <w:color w:val="auto"/>
          <w:szCs w:val="21"/>
          <w:highlight w:val="none"/>
        </w:rPr>
        <w:t>17.1</w:t>
      </w:r>
      <w:r>
        <w:rPr>
          <w:rFonts w:hint="eastAsia"/>
          <w:color w:val="auto"/>
          <w:szCs w:val="21"/>
          <w:highlight w:val="none"/>
        </w:rPr>
        <w:t>报价说明</w:t>
      </w:r>
    </w:p>
    <w:p w14:paraId="3A722AC2">
      <w:pPr>
        <w:spacing w:line="360" w:lineRule="auto"/>
        <w:ind w:left="1153" w:leftChars="247" w:hanging="634" w:hangingChars="302"/>
        <w:rPr>
          <w:color w:val="auto"/>
          <w:szCs w:val="21"/>
          <w:highlight w:val="none"/>
        </w:rPr>
      </w:pPr>
      <w:r>
        <w:rPr>
          <w:color w:val="auto"/>
          <w:szCs w:val="21"/>
          <w:highlight w:val="none"/>
        </w:rPr>
        <w:t>17.</w:t>
      </w:r>
      <w:r>
        <w:rPr>
          <w:rFonts w:hint="eastAsia"/>
          <w:color w:val="auto"/>
          <w:szCs w:val="21"/>
          <w:highlight w:val="none"/>
        </w:rPr>
        <w:t>1</w:t>
      </w:r>
      <w:r>
        <w:rPr>
          <w:color w:val="auto"/>
          <w:szCs w:val="21"/>
          <w:highlight w:val="none"/>
        </w:rPr>
        <w:t>.1</w:t>
      </w:r>
      <w:r>
        <w:rPr>
          <w:rFonts w:hint="eastAsia"/>
          <w:color w:val="auto"/>
          <w:szCs w:val="21"/>
          <w:highlight w:val="none"/>
        </w:rPr>
        <w:t>报价</w:t>
      </w:r>
      <w:r>
        <w:rPr>
          <w:color w:val="auto"/>
          <w:szCs w:val="21"/>
          <w:highlight w:val="none"/>
        </w:rPr>
        <w:t>为响应单位在其响应文件提出的各项支付金额的总和，应包括完成本采购工程的全部工作</w:t>
      </w:r>
      <w:r>
        <w:rPr>
          <w:rFonts w:hint="eastAsia"/>
          <w:color w:val="auto"/>
          <w:szCs w:val="21"/>
          <w:highlight w:val="none"/>
        </w:rPr>
        <w:t>并满足工期、质量要求的全部</w:t>
      </w:r>
      <w:r>
        <w:rPr>
          <w:color w:val="auto"/>
          <w:szCs w:val="21"/>
          <w:highlight w:val="none"/>
        </w:rPr>
        <w:t>费用和采购文件规定的全部暂估价。</w:t>
      </w:r>
    </w:p>
    <w:p w14:paraId="48DF2DB7">
      <w:pPr>
        <w:spacing w:line="360" w:lineRule="auto"/>
        <w:ind w:left="1153" w:leftChars="247" w:hanging="634" w:hangingChars="302"/>
        <w:rPr>
          <w:color w:val="auto"/>
          <w:szCs w:val="21"/>
          <w:highlight w:val="none"/>
        </w:rPr>
      </w:pPr>
      <w:r>
        <w:rPr>
          <w:rFonts w:hint="eastAsia" w:hAnsi="宋体"/>
          <w:color w:val="auto"/>
          <w:szCs w:val="21"/>
          <w:highlight w:val="none"/>
        </w:rPr>
        <w:t>17.1.2</w:t>
      </w:r>
      <w:r>
        <w:rPr>
          <w:rFonts w:hAnsi="宋体"/>
          <w:color w:val="auto"/>
          <w:szCs w:val="21"/>
          <w:highlight w:val="none"/>
        </w:rPr>
        <w:t>本采购文件中工程量清单</w:t>
      </w:r>
      <w:r>
        <w:rPr>
          <w:rFonts w:hint="eastAsia" w:hAnsi="宋体"/>
          <w:color w:val="auto"/>
          <w:szCs w:val="21"/>
          <w:highlight w:val="none"/>
        </w:rPr>
        <w:t>依据现行国家、行业规范标准，按照图纸和工程情况</w:t>
      </w:r>
      <w:r>
        <w:rPr>
          <w:rFonts w:hAnsi="宋体"/>
          <w:color w:val="auto"/>
          <w:szCs w:val="21"/>
          <w:highlight w:val="none"/>
        </w:rPr>
        <w:t>进行编制。响应单位可参照企业定额，在充分考虑市场竞争因素的前提下进行</w:t>
      </w:r>
      <w:r>
        <w:rPr>
          <w:rFonts w:hint="eastAsia" w:hAnsi="宋体"/>
          <w:color w:val="auto"/>
          <w:szCs w:val="21"/>
          <w:highlight w:val="none"/>
        </w:rPr>
        <w:t>报</w:t>
      </w:r>
      <w:r>
        <w:rPr>
          <w:rFonts w:hAnsi="宋体"/>
          <w:color w:val="auto"/>
          <w:szCs w:val="21"/>
          <w:highlight w:val="none"/>
        </w:rPr>
        <w:t>价。</w:t>
      </w:r>
    </w:p>
    <w:p w14:paraId="34E9AC22">
      <w:pPr>
        <w:spacing w:line="360" w:lineRule="auto"/>
        <w:ind w:left="1153" w:leftChars="247" w:hanging="634" w:hangingChars="302"/>
        <w:rPr>
          <w:rFonts w:hint="eastAsia" w:hAnsi="宋体"/>
          <w:color w:val="auto"/>
          <w:szCs w:val="21"/>
          <w:highlight w:val="none"/>
        </w:rPr>
      </w:pPr>
      <w:r>
        <w:rPr>
          <w:color w:val="auto"/>
          <w:szCs w:val="21"/>
          <w:highlight w:val="none"/>
        </w:rPr>
        <w:t>17.</w:t>
      </w:r>
      <w:r>
        <w:rPr>
          <w:rFonts w:hint="eastAsia"/>
          <w:color w:val="auto"/>
          <w:szCs w:val="21"/>
          <w:highlight w:val="none"/>
        </w:rPr>
        <w:t>1</w:t>
      </w:r>
      <w:r>
        <w:rPr>
          <w:color w:val="auto"/>
          <w:szCs w:val="21"/>
          <w:highlight w:val="none"/>
        </w:rPr>
        <w:t>.</w:t>
      </w:r>
      <w:r>
        <w:rPr>
          <w:rFonts w:hint="eastAsia"/>
          <w:color w:val="auto"/>
          <w:szCs w:val="21"/>
          <w:highlight w:val="none"/>
        </w:rPr>
        <w:t>3</w:t>
      </w:r>
      <w:r>
        <w:rPr>
          <w:rFonts w:hAnsi="宋体"/>
          <w:color w:val="auto"/>
          <w:szCs w:val="21"/>
          <w:highlight w:val="none"/>
        </w:rPr>
        <w:t>采购人鼓励响应单位在保证不低于成本的基础上，就本工程各项工作的消耗量水平、工料机价格水平、各类费用标准、有关费率和响应单位应承担的风险做切合自身实力的竞争性考虑。响应单位可以根据各自对本工程的综合预测、自身实力及市场风险因素填报各个项目的单价，并按清单数量计算合价，列入报价之中。</w:t>
      </w:r>
    </w:p>
    <w:p w14:paraId="037D685A">
      <w:pPr>
        <w:spacing w:line="360" w:lineRule="auto"/>
        <w:ind w:left="1153" w:leftChars="247" w:hanging="634" w:hangingChars="302"/>
        <w:rPr>
          <w:rFonts w:hint="eastAsia" w:hAnsi="宋体"/>
          <w:color w:val="auto"/>
          <w:szCs w:val="21"/>
          <w:highlight w:val="none"/>
        </w:rPr>
      </w:pPr>
      <w:r>
        <w:rPr>
          <w:color w:val="auto"/>
          <w:szCs w:val="21"/>
          <w:highlight w:val="none"/>
        </w:rPr>
        <w:t>17.</w:t>
      </w:r>
      <w:r>
        <w:rPr>
          <w:rFonts w:hint="eastAsia"/>
          <w:color w:val="auto"/>
          <w:szCs w:val="21"/>
          <w:highlight w:val="none"/>
        </w:rPr>
        <w:t>1</w:t>
      </w:r>
      <w:r>
        <w:rPr>
          <w:color w:val="auto"/>
          <w:szCs w:val="21"/>
          <w:highlight w:val="none"/>
        </w:rPr>
        <w:t>.</w:t>
      </w:r>
      <w:r>
        <w:rPr>
          <w:rFonts w:hint="eastAsia"/>
          <w:color w:val="auto"/>
          <w:szCs w:val="21"/>
          <w:highlight w:val="none"/>
        </w:rPr>
        <w:t>4</w:t>
      </w:r>
      <w:r>
        <w:rPr>
          <w:color w:val="auto"/>
          <w:szCs w:val="21"/>
          <w:highlight w:val="none"/>
        </w:rPr>
        <w:t xml:space="preserve"> </w:t>
      </w:r>
      <w:r>
        <w:rPr>
          <w:rFonts w:hint="eastAsia" w:hAnsi="宋体"/>
          <w:color w:val="auto"/>
          <w:szCs w:val="21"/>
          <w:highlight w:val="none"/>
        </w:rPr>
        <w:t>响应单位应按照工程量清单所列项目及工程数量填报单价和合价，每一个项目应当只有唯一报价，任何有选择的报价将不予以接受。响应单位对列有数量的项目，如没有填报单价或合价，则其费用视为已经含在其他列有单价或合价的项目之中，在工程实施期间不再另行支付。</w:t>
      </w:r>
    </w:p>
    <w:p w14:paraId="7D18E98E">
      <w:pPr>
        <w:spacing w:line="360" w:lineRule="auto"/>
        <w:ind w:left="516" w:leftChars="33" w:hanging="447" w:hangingChars="213"/>
        <w:rPr>
          <w:color w:val="auto"/>
          <w:szCs w:val="21"/>
          <w:highlight w:val="none"/>
        </w:rPr>
      </w:pPr>
      <w:r>
        <w:rPr>
          <w:color w:val="auto"/>
          <w:szCs w:val="21"/>
          <w:highlight w:val="none"/>
        </w:rPr>
        <w:t>17.</w:t>
      </w:r>
      <w:r>
        <w:rPr>
          <w:rFonts w:hint="eastAsia"/>
          <w:color w:val="auto"/>
          <w:szCs w:val="21"/>
          <w:highlight w:val="none"/>
        </w:rPr>
        <w:t>2</w:t>
      </w:r>
      <w:r>
        <w:rPr>
          <w:color w:val="auto"/>
          <w:szCs w:val="21"/>
          <w:highlight w:val="none"/>
        </w:rPr>
        <w:t>报价</w:t>
      </w:r>
    </w:p>
    <w:p w14:paraId="3FC4FAE0">
      <w:pPr>
        <w:spacing w:line="360" w:lineRule="auto"/>
        <w:ind w:left="1153" w:leftChars="247" w:hanging="634" w:hangingChars="302"/>
        <w:rPr>
          <w:color w:val="auto"/>
          <w:szCs w:val="21"/>
          <w:highlight w:val="none"/>
        </w:rPr>
      </w:pPr>
      <w:r>
        <w:rPr>
          <w:color w:val="auto"/>
          <w:szCs w:val="21"/>
          <w:highlight w:val="none"/>
        </w:rPr>
        <w:t>17.</w:t>
      </w:r>
      <w:r>
        <w:rPr>
          <w:rFonts w:hint="eastAsia"/>
          <w:color w:val="auto"/>
          <w:szCs w:val="21"/>
          <w:highlight w:val="none"/>
        </w:rPr>
        <w:t>2</w:t>
      </w:r>
      <w:r>
        <w:rPr>
          <w:color w:val="auto"/>
          <w:szCs w:val="21"/>
          <w:highlight w:val="none"/>
        </w:rPr>
        <w:t>.1</w:t>
      </w:r>
      <w:r>
        <w:rPr>
          <w:rFonts w:hint="eastAsia"/>
          <w:color w:val="auto"/>
          <w:szCs w:val="21"/>
          <w:highlight w:val="none"/>
        </w:rPr>
        <w:t>报价按固定综合单价报价。</w:t>
      </w:r>
    </w:p>
    <w:p w14:paraId="02D93AD2">
      <w:pPr>
        <w:spacing w:line="360" w:lineRule="auto"/>
        <w:ind w:left="1153" w:leftChars="247" w:hanging="634" w:hangingChars="302"/>
        <w:rPr>
          <w:color w:val="auto"/>
          <w:szCs w:val="21"/>
          <w:highlight w:val="none"/>
        </w:rPr>
      </w:pPr>
      <w:r>
        <w:rPr>
          <w:color w:val="auto"/>
          <w:szCs w:val="21"/>
          <w:highlight w:val="none"/>
        </w:rPr>
        <w:t>17.</w:t>
      </w:r>
      <w:r>
        <w:rPr>
          <w:rFonts w:hint="eastAsia"/>
          <w:color w:val="auto"/>
          <w:szCs w:val="21"/>
          <w:highlight w:val="none"/>
        </w:rPr>
        <w:t>2</w:t>
      </w:r>
      <w:r>
        <w:rPr>
          <w:color w:val="auto"/>
          <w:szCs w:val="21"/>
          <w:highlight w:val="none"/>
        </w:rPr>
        <w:t>.2工程量清单部分，响应单位不能增加、更改、拆分、合并或重组工程量清单中的项目及内容，应按照采购文件提供的工程数量进行报价。采购人提供的分部分项工程量清单如有漏项或错项，可</w:t>
      </w:r>
      <w:r>
        <w:rPr>
          <w:rFonts w:hint="eastAsia"/>
          <w:color w:val="auto"/>
          <w:szCs w:val="21"/>
          <w:highlight w:val="none"/>
        </w:rPr>
        <w:t>以书面形式或电话联系告知采购人，</w:t>
      </w:r>
      <w:r>
        <w:rPr>
          <w:color w:val="auto"/>
          <w:szCs w:val="21"/>
          <w:highlight w:val="none"/>
        </w:rPr>
        <w:t>经</w:t>
      </w:r>
      <w:r>
        <w:rPr>
          <w:rFonts w:hint="eastAsia"/>
          <w:color w:val="auto"/>
          <w:szCs w:val="21"/>
          <w:highlight w:val="none"/>
        </w:rPr>
        <w:t>采购人</w:t>
      </w:r>
      <w:r>
        <w:rPr>
          <w:color w:val="auto"/>
          <w:szCs w:val="21"/>
          <w:highlight w:val="none"/>
        </w:rPr>
        <w:t>确认后进行</w:t>
      </w:r>
      <w:r>
        <w:rPr>
          <w:rFonts w:hint="eastAsia"/>
          <w:color w:val="auto"/>
          <w:szCs w:val="21"/>
          <w:highlight w:val="none"/>
        </w:rPr>
        <w:t>调整</w:t>
      </w:r>
      <w:r>
        <w:rPr>
          <w:color w:val="auto"/>
          <w:szCs w:val="21"/>
          <w:highlight w:val="none"/>
        </w:rPr>
        <w:t>。响应单位对工程量清单中有数量而没有填入单价或合价的项目，其费用应视为已包括在工程量清单的其它单价或合价中，将不再予以调整。</w:t>
      </w:r>
      <w:r>
        <w:rPr>
          <w:rFonts w:hint="eastAsia"/>
          <w:color w:val="auto"/>
          <w:szCs w:val="21"/>
          <w:highlight w:val="none"/>
        </w:rPr>
        <w:t>工程量清单项目中所报单价除合同另有规定外，应包括了为实施和完成合同工程所需的劳务、材料、机械、措施、检测、质检、安装、缺陷修复、资料、保险、管理费、利润、规费、税金等费用、以及采购文件明示或暗示的所有责任、义务和合同约定的风险。</w:t>
      </w:r>
    </w:p>
    <w:p w14:paraId="62B23CCA">
      <w:pPr>
        <w:spacing w:line="360" w:lineRule="auto"/>
        <w:ind w:left="1153" w:leftChars="247" w:hanging="634" w:hangingChars="302"/>
        <w:rPr>
          <w:color w:val="auto"/>
          <w:szCs w:val="21"/>
          <w:highlight w:val="none"/>
        </w:rPr>
      </w:pPr>
      <w:r>
        <w:rPr>
          <w:color w:val="auto"/>
          <w:szCs w:val="21"/>
          <w:highlight w:val="none"/>
        </w:rPr>
        <w:t>17.</w:t>
      </w:r>
      <w:r>
        <w:rPr>
          <w:rFonts w:hint="eastAsia"/>
          <w:color w:val="auto"/>
          <w:szCs w:val="21"/>
          <w:highlight w:val="none"/>
        </w:rPr>
        <w:t>2</w:t>
      </w:r>
      <w:r>
        <w:rPr>
          <w:color w:val="auto"/>
          <w:szCs w:val="21"/>
          <w:highlight w:val="none"/>
        </w:rPr>
        <w:t>.</w:t>
      </w:r>
      <w:r>
        <w:rPr>
          <w:rFonts w:hint="eastAsia"/>
          <w:color w:val="auto"/>
          <w:szCs w:val="21"/>
          <w:highlight w:val="none"/>
        </w:rPr>
        <w:t>3</w:t>
      </w:r>
      <w:r>
        <w:rPr>
          <w:color w:val="auto"/>
          <w:szCs w:val="21"/>
          <w:highlight w:val="none"/>
        </w:rPr>
        <w:t>响应单位</w:t>
      </w:r>
      <w:r>
        <w:rPr>
          <w:rFonts w:hint="eastAsia"/>
          <w:color w:val="auto"/>
          <w:szCs w:val="21"/>
          <w:highlight w:val="none"/>
        </w:rPr>
        <w:t>应充分考虑本工程特点及拟定的施工组织设计，计取相关</w:t>
      </w:r>
      <w:r>
        <w:rPr>
          <w:color w:val="auto"/>
          <w:szCs w:val="21"/>
          <w:highlight w:val="none"/>
        </w:rPr>
        <w:t>措施</w:t>
      </w:r>
      <w:r>
        <w:rPr>
          <w:rFonts w:hint="eastAsia"/>
          <w:color w:val="auto"/>
          <w:szCs w:val="21"/>
          <w:highlight w:val="none"/>
        </w:rPr>
        <w:t>费用（不含安全</w:t>
      </w:r>
      <w:r>
        <w:rPr>
          <w:color w:val="auto"/>
          <w:szCs w:val="21"/>
          <w:highlight w:val="none"/>
        </w:rPr>
        <w:t>防护、文明施工措施费</w:t>
      </w:r>
      <w:r>
        <w:rPr>
          <w:rFonts w:hint="eastAsia"/>
          <w:color w:val="auto"/>
          <w:szCs w:val="21"/>
          <w:highlight w:val="none"/>
        </w:rPr>
        <w:t>），并将该部分费用综合考虑到报价单价中，采购人对该部分费用不作单独列项，也不做任何调整。</w:t>
      </w:r>
    </w:p>
    <w:p w14:paraId="6AD2FB8E">
      <w:pPr>
        <w:spacing w:line="360" w:lineRule="auto"/>
        <w:ind w:left="1153" w:leftChars="247" w:hanging="634" w:hangingChars="302"/>
        <w:rPr>
          <w:color w:val="auto"/>
          <w:szCs w:val="21"/>
          <w:highlight w:val="none"/>
        </w:rPr>
      </w:pPr>
      <w:r>
        <w:rPr>
          <w:color w:val="auto"/>
          <w:szCs w:val="21"/>
          <w:highlight w:val="none"/>
        </w:rPr>
        <w:t>17.</w:t>
      </w:r>
      <w:r>
        <w:rPr>
          <w:rFonts w:hint="eastAsia"/>
          <w:color w:val="auto"/>
          <w:szCs w:val="21"/>
          <w:highlight w:val="none"/>
        </w:rPr>
        <w:t>2</w:t>
      </w:r>
      <w:r>
        <w:rPr>
          <w:color w:val="auto"/>
          <w:szCs w:val="21"/>
          <w:highlight w:val="none"/>
        </w:rPr>
        <w:t>.</w:t>
      </w:r>
      <w:r>
        <w:rPr>
          <w:rFonts w:hint="eastAsia"/>
          <w:color w:val="auto"/>
          <w:szCs w:val="21"/>
          <w:highlight w:val="none"/>
        </w:rPr>
        <w:t>4采购文件如列有暂估价、计日工项目的，按采购清单要求计入总报价。</w:t>
      </w:r>
    </w:p>
    <w:p w14:paraId="3B097630">
      <w:pPr>
        <w:numPr>
          <w:ilvl w:val="0"/>
          <w:numId w:val="1"/>
        </w:numPr>
        <w:tabs>
          <w:tab w:val="left" w:pos="1890"/>
          <w:tab w:val="clear" w:pos="720"/>
        </w:tabs>
        <w:spacing w:line="360" w:lineRule="auto"/>
        <w:ind w:left="1890" w:hanging="840"/>
        <w:jc w:val="left"/>
        <w:rPr>
          <w:rFonts w:hint="eastAsia" w:hAnsi="宋体"/>
          <w:color w:val="auto"/>
          <w:szCs w:val="21"/>
          <w:highlight w:val="none"/>
        </w:rPr>
      </w:pPr>
      <w:r>
        <w:rPr>
          <w:rFonts w:hAnsi="宋体"/>
          <w:color w:val="auto"/>
          <w:szCs w:val="21"/>
          <w:highlight w:val="none"/>
        </w:rPr>
        <w:t>暂估价的材料和工程设备的暂估单价中不包括与之对应的规费和税金。响应单位在报价时应按照</w:t>
      </w:r>
      <w:r>
        <w:rPr>
          <w:rFonts w:hint="eastAsia" w:hAnsi="宋体"/>
          <w:color w:val="auto"/>
          <w:szCs w:val="21"/>
          <w:highlight w:val="none"/>
        </w:rPr>
        <w:t>采购文件清单</w:t>
      </w:r>
      <w:r>
        <w:rPr>
          <w:rFonts w:hAnsi="宋体"/>
          <w:color w:val="auto"/>
          <w:szCs w:val="21"/>
          <w:highlight w:val="none"/>
        </w:rPr>
        <w:t>中给定的暂估单价计入分部分项工程量清单综合单价中。</w:t>
      </w:r>
    </w:p>
    <w:p w14:paraId="7507F629">
      <w:pPr>
        <w:numPr>
          <w:ilvl w:val="0"/>
          <w:numId w:val="1"/>
        </w:numPr>
        <w:tabs>
          <w:tab w:val="left" w:pos="1890"/>
          <w:tab w:val="clear" w:pos="720"/>
        </w:tabs>
        <w:spacing w:line="360" w:lineRule="auto"/>
        <w:ind w:left="1890" w:hanging="840"/>
        <w:jc w:val="left"/>
        <w:rPr>
          <w:rFonts w:hint="eastAsia" w:hAnsi="宋体"/>
          <w:color w:val="auto"/>
          <w:szCs w:val="21"/>
          <w:highlight w:val="none"/>
        </w:rPr>
      </w:pPr>
      <w:r>
        <w:rPr>
          <w:rFonts w:hAnsi="宋体"/>
          <w:color w:val="auto"/>
          <w:szCs w:val="21"/>
          <w:highlight w:val="none"/>
        </w:rPr>
        <w:t>响应单位应按照</w:t>
      </w:r>
      <w:r>
        <w:rPr>
          <w:rFonts w:hint="eastAsia" w:hAnsi="宋体"/>
          <w:color w:val="auto"/>
          <w:szCs w:val="21"/>
          <w:highlight w:val="none"/>
        </w:rPr>
        <w:t>工程量清单</w:t>
      </w:r>
      <w:r>
        <w:rPr>
          <w:rFonts w:hAnsi="宋体"/>
          <w:color w:val="auto"/>
          <w:szCs w:val="21"/>
          <w:highlight w:val="none"/>
        </w:rPr>
        <w:t>中计日工的列项报出相应的综合单价，所报的计日工综合单价用于本合同下计日工项目的计价。</w:t>
      </w:r>
    </w:p>
    <w:p w14:paraId="4D7B8438">
      <w:pPr>
        <w:spacing w:line="360" w:lineRule="auto"/>
        <w:ind w:left="1140" w:leftChars="247" w:hanging="621" w:hangingChars="296"/>
        <w:rPr>
          <w:color w:val="auto"/>
          <w:szCs w:val="21"/>
          <w:highlight w:val="none"/>
        </w:rPr>
      </w:pPr>
      <w:r>
        <w:rPr>
          <w:color w:val="auto"/>
          <w:szCs w:val="21"/>
          <w:highlight w:val="none"/>
        </w:rPr>
        <w:t>17.</w:t>
      </w:r>
      <w:r>
        <w:rPr>
          <w:rFonts w:hint="eastAsia"/>
          <w:color w:val="auto"/>
          <w:szCs w:val="21"/>
          <w:highlight w:val="none"/>
        </w:rPr>
        <w:t>2</w:t>
      </w:r>
      <w:r>
        <w:rPr>
          <w:color w:val="auto"/>
          <w:szCs w:val="21"/>
          <w:highlight w:val="none"/>
        </w:rPr>
        <w:t>.</w:t>
      </w:r>
      <w:r>
        <w:rPr>
          <w:rFonts w:hint="eastAsia"/>
          <w:color w:val="auto"/>
          <w:szCs w:val="21"/>
          <w:highlight w:val="none"/>
        </w:rPr>
        <w:t>5如发生</w:t>
      </w:r>
      <w:r>
        <w:rPr>
          <w:color w:val="auto"/>
          <w:szCs w:val="21"/>
          <w:highlight w:val="none"/>
        </w:rPr>
        <w:t>甲供材料、</w:t>
      </w:r>
      <w:r>
        <w:rPr>
          <w:rFonts w:hint="eastAsia"/>
          <w:color w:val="auto"/>
          <w:szCs w:val="21"/>
          <w:highlight w:val="none"/>
        </w:rPr>
        <w:t>构件</w:t>
      </w:r>
      <w:r>
        <w:rPr>
          <w:color w:val="auto"/>
          <w:szCs w:val="21"/>
          <w:highlight w:val="none"/>
        </w:rPr>
        <w:t>的</w:t>
      </w:r>
      <w:r>
        <w:rPr>
          <w:rFonts w:hint="eastAsia"/>
          <w:color w:val="auto"/>
          <w:szCs w:val="21"/>
          <w:highlight w:val="none"/>
        </w:rPr>
        <w:t>情况，</w:t>
      </w:r>
      <w:r>
        <w:rPr>
          <w:color w:val="auto"/>
          <w:szCs w:val="21"/>
          <w:highlight w:val="none"/>
        </w:rPr>
        <w:t>甲供材料、</w:t>
      </w:r>
      <w:r>
        <w:rPr>
          <w:rFonts w:hint="eastAsia"/>
          <w:color w:val="auto"/>
          <w:szCs w:val="21"/>
          <w:highlight w:val="none"/>
        </w:rPr>
        <w:t>构件一般</w:t>
      </w:r>
      <w:r>
        <w:rPr>
          <w:color w:val="auto"/>
          <w:szCs w:val="21"/>
          <w:highlight w:val="none"/>
        </w:rPr>
        <w:t>为运抵施工现场落地，</w:t>
      </w:r>
      <w:r>
        <w:rPr>
          <w:rFonts w:hint="eastAsia"/>
          <w:color w:val="auto"/>
          <w:szCs w:val="21"/>
          <w:highlight w:val="none"/>
        </w:rPr>
        <w:t>响应单位应计取施工、安装、倒运、保管等所需的费用。使用时超出采购人本合同规定损耗量的，按合同相关规定承担相应费用。</w:t>
      </w:r>
    </w:p>
    <w:p w14:paraId="168C45F7">
      <w:pPr>
        <w:spacing w:line="360" w:lineRule="auto"/>
        <w:ind w:left="1153" w:leftChars="247" w:hanging="634" w:hangingChars="302"/>
        <w:rPr>
          <w:color w:val="auto"/>
          <w:szCs w:val="21"/>
          <w:highlight w:val="none"/>
        </w:rPr>
      </w:pPr>
      <w:r>
        <w:rPr>
          <w:color w:val="auto"/>
          <w:szCs w:val="21"/>
          <w:highlight w:val="none"/>
        </w:rPr>
        <w:t>17.</w:t>
      </w:r>
      <w:r>
        <w:rPr>
          <w:rFonts w:hint="eastAsia"/>
          <w:color w:val="auto"/>
          <w:szCs w:val="21"/>
          <w:highlight w:val="none"/>
        </w:rPr>
        <w:t>2</w:t>
      </w:r>
      <w:r>
        <w:rPr>
          <w:color w:val="auto"/>
          <w:szCs w:val="21"/>
          <w:highlight w:val="none"/>
        </w:rPr>
        <w:t>.</w:t>
      </w:r>
      <w:r>
        <w:rPr>
          <w:rFonts w:hint="eastAsia"/>
          <w:color w:val="auto"/>
          <w:szCs w:val="21"/>
          <w:highlight w:val="none"/>
        </w:rPr>
        <w:t>6</w:t>
      </w:r>
      <w:r>
        <w:rPr>
          <w:color w:val="auto"/>
          <w:szCs w:val="21"/>
          <w:highlight w:val="none"/>
        </w:rPr>
        <w:t>响应单位应根据第</w:t>
      </w:r>
      <w:r>
        <w:rPr>
          <w:rFonts w:hint="eastAsia"/>
          <w:color w:val="auto"/>
          <w:szCs w:val="21"/>
          <w:highlight w:val="none"/>
        </w:rPr>
        <w:t>三</w:t>
      </w:r>
      <w:r>
        <w:rPr>
          <w:color w:val="auto"/>
          <w:szCs w:val="21"/>
          <w:highlight w:val="none"/>
        </w:rPr>
        <w:t>篇</w:t>
      </w:r>
      <w:r>
        <w:rPr>
          <w:rFonts w:hint="eastAsia"/>
          <w:color w:val="auto"/>
          <w:szCs w:val="21"/>
          <w:highlight w:val="none"/>
        </w:rPr>
        <w:t>分包合同条款</w:t>
      </w:r>
      <w:r>
        <w:rPr>
          <w:color w:val="auto"/>
          <w:szCs w:val="21"/>
          <w:highlight w:val="none"/>
        </w:rPr>
        <w:t>中关于安全防护、文明施工措施</w:t>
      </w:r>
      <w:r>
        <w:rPr>
          <w:rFonts w:hint="eastAsia"/>
          <w:color w:val="auto"/>
          <w:szCs w:val="21"/>
          <w:highlight w:val="none"/>
        </w:rPr>
        <w:t>的要求</w:t>
      </w:r>
      <w:r>
        <w:rPr>
          <w:color w:val="auto"/>
          <w:szCs w:val="21"/>
          <w:highlight w:val="none"/>
        </w:rPr>
        <w:t>，结合自身的技术装备、管理水平计取安全防护、文明施工措施费</w:t>
      </w:r>
      <w:r>
        <w:rPr>
          <w:rFonts w:hint="eastAsia"/>
          <w:color w:val="auto"/>
          <w:szCs w:val="21"/>
          <w:highlight w:val="none"/>
        </w:rPr>
        <w:t>（</w:t>
      </w:r>
      <w:r>
        <w:rPr>
          <w:color w:val="auto"/>
          <w:szCs w:val="21"/>
          <w:highlight w:val="none"/>
        </w:rPr>
        <w:t>包括环境保护、文明施工、安全施工、临时设施</w:t>
      </w:r>
      <w:r>
        <w:rPr>
          <w:rFonts w:hint="eastAsia"/>
          <w:color w:val="auto"/>
          <w:szCs w:val="21"/>
          <w:highlight w:val="none"/>
        </w:rPr>
        <w:t>和施工围挡共五项</w:t>
      </w:r>
      <w:r>
        <w:rPr>
          <w:color w:val="auto"/>
          <w:szCs w:val="21"/>
          <w:highlight w:val="none"/>
        </w:rPr>
        <w:t>措施</w:t>
      </w:r>
      <w:r>
        <w:rPr>
          <w:rFonts w:hint="eastAsia"/>
          <w:color w:val="auto"/>
          <w:szCs w:val="21"/>
          <w:highlight w:val="none"/>
        </w:rPr>
        <w:t>）</w:t>
      </w:r>
      <w:r>
        <w:rPr>
          <w:color w:val="auto"/>
          <w:szCs w:val="21"/>
          <w:highlight w:val="none"/>
        </w:rPr>
        <w:t>，并</w:t>
      </w:r>
      <w:r>
        <w:rPr>
          <w:rFonts w:hint="eastAsia"/>
          <w:color w:val="auto"/>
          <w:szCs w:val="21"/>
          <w:highlight w:val="none"/>
        </w:rPr>
        <w:t>将该部分费用采用固定合价形式单独列项，具体计量以安全部与合约部共同确定的方法为准。</w:t>
      </w:r>
    </w:p>
    <w:p w14:paraId="1E64E49B">
      <w:pPr>
        <w:spacing w:line="360" w:lineRule="auto"/>
        <w:ind w:left="1153" w:leftChars="247" w:hanging="634" w:hangingChars="302"/>
        <w:rPr>
          <w:color w:val="auto"/>
          <w:szCs w:val="21"/>
          <w:highlight w:val="none"/>
        </w:rPr>
      </w:pPr>
      <w:r>
        <w:rPr>
          <w:color w:val="auto"/>
          <w:szCs w:val="21"/>
          <w:highlight w:val="none"/>
        </w:rPr>
        <w:t>17.</w:t>
      </w:r>
      <w:r>
        <w:rPr>
          <w:rFonts w:hint="eastAsia"/>
          <w:color w:val="auto"/>
          <w:szCs w:val="21"/>
          <w:highlight w:val="none"/>
        </w:rPr>
        <w:t>2</w:t>
      </w:r>
      <w:r>
        <w:rPr>
          <w:color w:val="auto"/>
          <w:szCs w:val="21"/>
          <w:highlight w:val="none"/>
        </w:rPr>
        <w:t>.</w:t>
      </w:r>
      <w:r>
        <w:rPr>
          <w:rFonts w:hint="eastAsia"/>
          <w:color w:val="auto"/>
          <w:szCs w:val="21"/>
          <w:highlight w:val="none"/>
        </w:rPr>
        <w:t>7安装工程中由采购人直接采购（供应）设备的，成交单位应当承担相应的配合、协调、管理、服务的责任和义务，并将与之对应的所有费用综合考虑在报价单价中，如负责安装时，按清单要求在相应报价单价中计取相应的安装、辅材等费用。</w:t>
      </w:r>
    </w:p>
    <w:p w14:paraId="1FA2D9EA">
      <w:pPr>
        <w:spacing w:line="360" w:lineRule="auto"/>
        <w:ind w:left="1153" w:leftChars="247" w:hanging="634" w:hangingChars="302"/>
        <w:rPr>
          <w:color w:val="auto"/>
          <w:szCs w:val="21"/>
          <w:highlight w:val="none"/>
        </w:rPr>
      </w:pPr>
      <w:r>
        <w:rPr>
          <w:rFonts w:hint="eastAsia"/>
          <w:color w:val="auto"/>
          <w:szCs w:val="21"/>
          <w:highlight w:val="none"/>
        </w:rPr>
        <w:t>17.2.8</w:t>
      </w:r>
      <w:r>
        <w:rPr>
          <w:rFonts w:hAnsi="宋体"/>
          <w:bCs/>
          <w:color w:val="auto"/>
          <w:szCs w:val="21"/>
          <w:highlight w:val="none"/>
        </w:rPr>
        <w:t>规费应按国家的</w:t>
      </w:r>
      <w:r>
        <w:rPr>
          <w:rFonts w:hint="eastAsia" w:hAnsi="宋体"/>
          <w:bCs/>
          <w:color w:val="auto"/>
          <w:szCs w:val="21"/>
          <w:highlight w:val="none"/>
        </w:rPr>
        <w:t>相关</w:t>
      </w:r>
      <w:r>
        <w:rPr>
          <w:rFonts w:hAnsi="宋体"/>
          <w:bCs/>
          <w:color w:val="auto"/>
          <w:szCs w:val="21"/>
          <w:highlight w:val="none"/>
        </w:rPr>
        <w:t>规定计</w:t>
      </w:r>
      <w:r>
        <w:rPr>
          <w:rFonts w:hint="eastAsia" w:hAnsi="宋体"/>
          <w:bCs/>
          <w:color w:val="auto"/>
          <w:szCs w:val="21"/>
          <w:highlight w:val="none"/>
        </w:rPr>
        <w:t>取，</w:t>
      </w:r>
      <w:r>
        <w:rPr>
          <w:rFonts w:hint="eastAsia" w:hAnsi="宋体"/>
          <w:color w:val="auto"/>
          <w:szCs w:val="21"/>
          <w:highlight w:val="none"/>
        </w:rPr>
        <w:t>不</w:t>
      </w:r>
      <w:r>
        <w:rPr>
          <w:rFonts w:hAnsi="宋体"/>
          <w:color w:val="auto"/>
          <w:szCs w:val="21"/>
          <w:highlight w:val="none"/>
        </w:rPr>
        <w:t>单独列项</w:t>
      </w:r>
      <w:r>
        <w:rPr>
          <w:rFonts w:hint="eastAsia" w:hAnsi="宋体"/>
          <w:color w:val="auto"/>
          <w:szCs w:val="21"/>
          <w:highlight w:val="none"/>
        </w:rPr>
        <w:t>，综合考虑到报价单价中</w:t>
      </w:r>
      <w:r>
        <w:rPr>
          <w:rFonts w:hAnsi="宋体"/>
          <w:bCs/>
          <w:color w:val="auto"/>
          <w:szCs w:val="21"/>
          <w:highlight w:val="none"/>
        </w:rPr>
        <w:t>。</w:t>
      </w:r>
    </w:p>
    <w:p w14:paraId="458EA40C">
      <w:pPr>
        <w:spacing w:line="360" w:lineRule="auto"/>
        <w:ind w:left="1153" w:leftChars="247" w:hanging="634" w:hangingChars="302"/>
        <w:rPr>
          <w:color w:val="auto"/>
          <w:szCs w:val="21"/>
          <w:highlight w:val="none"/>
        </w:rPr>
      </w:pPr>
      <w:r>
        <w:rPr>
          <w:color w:val="auto"/>
          <w:szCs w:val="21"/>
          <w:highlight w:val="none"/>
        </w:rPr>
        <w:t>17.2.</w:t>
      </w:r>
      <w:r>
        <w:rPr>
          <w:rFonts w:hint="eastAsia"/>
          <w:color w:val="auto"/>
          <w:szCs w:val="21"/>
          <w:highlight w:val="none"/>
        </w:rPr>
        <w:t>9响应单位应根据项目所在地  相关文件规定、现行标准和合同文件关于农民工工伤保险的约定，计取农民工工伤保险费用。农民工工伤保险费用不单独列项，</w:t>
      </w:r>
      <w:r>
        <w:rPr>
          <w:rFonts w:hint="eastAsia" w:hAnsi="宋体"/>
          <w:color w:val="auto"/>
          <w:szCs w:val="21"/>
          <w:highlight w:val="none"/>
        </w:rPr>
        <w:t>综合考虑到报价单价中</w:t>
      </w:r>
      <w:r>
        <w:rPr>
          <w:rFonts w:hint="eastAsia"/>
          <w:color w:val="auto"/>
          <w:szCs w:val="21"/>
          <w:highlight w:val="none"/>
        </w:rPr>
        <w:t>。</w:t>
      </w:r>
    </w:p>
    <w:p w14:paraId="0C38497D">
      <w:pPr>
        <w:spacing w:line="360" w:lineRule="auto"/>
        <w:ind w:left="1153" w:leftChars="247" w:hanging="634" w:hangingChars="302"/>
        <w:rPr>
          <w:color w:val="auto"/>
          <w:szCs w:val="21"/>
          <w:highlight w:val="none"/>
        </w:rPr>
      </w:pPr>
      <w:r>
        <w:rPr>
          <w:rFonts w:hint="eastAsia"/>
          <w:color w:val="auto"/>
          <w:szCs w:val="21"/>
          <w:highlight w:val="none"/>
        </w:rPr>
        <w:t>17.2.10</w:t>
      </w:r>
      <w:r>
        <w:rPr>
          <w:rFonts w:hAnsi="宋体"/>
          <w:bCs/>
          <w:color w:val="auto"/>
          <w:szCs w:val="21"/>
          <w:highlight w:val="none"/>
        </w:rPr>
        <w:t>税金应按国家的</w:t>
      </w:r>
      <w:r>
        <w:rPr>
          <w:rFonts w:hint="eastAsia" w:hAnsi="宋体"/>
          <w:bCs/>
          <w:color w:val="auto"/>
          <w:szCs w:val="21"/>
          <w:highlight w:val="none"/>
        </w:rPr>
        <w:t>相关</w:t>
      </w:r>
      <w:r>
        <w:rPr>
          <w:rFonts w:hAnsi="宋体"/>
          <w:bCs/>
          <w:color w:val="auto"/>
          <w:szCs w:val="21"/>
          <w:highlight w:val="none"/>
        </w:rPr>
        <w:t>规定计</w:t>
      </w:r>
      <w:r>
        <w:rPr>
          <w:rFonts w:hint="eastAsia" w:hAnsi="宋体"/>
          <w:bCs/>
          <w:color w:val="auto"/>
          <w:szCs w:val="21"/>
          <w:highlight w:val="none"/>
        </w:rPr>
        <w:t>取，按照价税分离的形式</w:t>
      </w:r>
      <w:r>
        <w:rPr>
          <w:rFonts w:hAnsi="宋体"/>
          <w:color w:val="auto"/>
          <w:szCs w:val="21"/>
          <w:highlight w:val="none"/>
        </w:rPr>
        <w:t>单独列项</w:t>
      </w:r>
      <w:r>
        <w:rPr>
          <w:rFonts w:hint="eastAsia" w:hAnsi="宋体"/>
          <w:color w:val="auto"/>
          <w:szCs w:val="21"/>
          <w:highlight w:val="none"/>
        </w:rPr>
        <w:t>。</w:t>
      </w:r>
    </w:p>
    <w:p w14:paraId="6667EDD1">
      <w:pPr>
        <w:pStyle w:val="53"/>
        <w:spacing w:before="120"/>
        <w:rPr>
          <w:rStyle w:val="46"/>
          <w:rFonts w:ascii="Times New Roman" w:hAnsi="Times New Roman" w:eastAsia="宋体" w:cs="Times New Roman"/>
          <w:b/>
          <w:bCs w:val="0"/>
          <w:color w:val="auto"/>
          <w:sz w:val="28"/>
          <w:szCs w:val="28"/>
          <w:highlight w:val="none"/>
        </w:rPr>
      </w:pPr>
      <w:bookmarkStart w:id="310" w:name="_Toc145499751"/>
      <w:r>
        <w:rPr>
          <w:rStyle w:val="46"/>
          <w:rFonts w:hint="eastAsia" w:ascii="Times New Roman" w:hAnsi="Times New Roman" w:eastAsia="宋体" w:cs="Times New Roman"/>
          <w:b/>
          <w:bCs w:val="0"/>
          <w:color w:val="auto"/>
          <w:sz w:val="28"/>
          <w:szCs w:val="28"/>
          <w:highlight w:val="none"/>
        </w:rPr>
        <w:t>18</w:t>
      </w:r>
      <w:r>
        <w:rPr>
          <w:rStyle w:val="46"/>
          <w:rFonts w:ascii="Times New Roman" w:hAnsi="Times New Roman" w:eastAsia="宋体" w:cs="Times New Roman"/>
          <w:b/>
          <w:bCs w:val="0"/>
          <w:color w:val="auto"/>
          <w:sz w:val="28"/>
          <w:szCs w:val="28"/>
          <w:highlight w:val="none"/>
        </w:rPr>
        <w:t>.</w:t>
      </w:r>
      <w:r>
        <w:rPr>
          <w:rStyle w:val="46"/>
          <w:rFonts w:hint="eastAsia" w:ascii="Times New Roman" w:hAnsi="Times New Roman" w:eastAsia="宋体" w:cs="Times New Roman"/>
          <w:b/>
          <w:bCs w:val="0"/>
          <w:color w:val="auto"/>
          <w:sz w:val="28"/>
          <w:szCs w:val="28"/>
          <w:highlight w:val="none"/>
        </w:rPr>
        <w:t>响应</w:t>
      </w:r>
      <w:r>
        <w:rPr>
          <w:rStyle w:val="46"/>
          <w:rFonts w:ascii="Times New Roman" w:hAnsi="Times New Roman" w:eastAsia="宋体" w:cs="Times New Roman"/>
          <w:b/>
          <w:bCs w:val="0"/>
          <w:color w:val="auto"/>
          <w:sz w:val="28"/>
          <w:szCs w:val="28"/>
          <w:highlight w:val="none"/>
        </w:rPr>
        <w:t>有效期</w:t>
      </w:r>
      <w:bookmarkEnd w:id="299"/>
      <w:bookmarkEnd w:id="300"/>
      <w:bookmarkEnd w:id="301"/>
      <w:bookmarkEnd w:id="302"/>
      <w:bookmarkEnd w:id="303"/>
      <w:bookmarkEnd w:id="304"/>
      <w:bookmarkEnd w:id="305"/>
      <w:bookmarkEnd w:id="306"/>
      <w:bookmarkEnd w:id="307"/>
      <w:bookmarkEnd w:id="308"/>
      <w:bookmarkEnd w:id="309"/>
      <w:bookmarkEnd w:id="310"/>
    </w:p>
    <w:p w14:paraId="3C1B479D">
      <w:pPr>
        <w:spacing w:line="360" w:lineRule="auto"/>
        <w:ind w:left="516" w:leftChars="33" w:hanging="447" w:hangingChars="213"/>
        <w:rPr>
          <w:color w:val="auto"/>
          <w:szCs w:val="21"/>
          <w:highlight w:val="none"/>
        </w:rPr>
      </w:pPr>
      <w:r>
        <w:rPr>
          <w:rFonts w:hint="eastAsia"/>
          <w:color w:val="auto"/>
          <w:szCs w:val="21"/>
          <w:highlight w:val="none"/>
        </w:rPr>
        <w:t>18</w:t>
      </w:r>
      <w:r>
        <w:rPr>
          <w:color w:val="auto"/>
          <w:szCs w:val="21"/>
          <w:highlight w:val="none"/>
        </w:rPr>
        <w:t>.1响应有效期见《响应单位须知前附表》中第1</w:t>
      </w:r>
      <w:r>
        <w:rPr>
          <w:rFonts w:hint="eastAsia"/>
          <w:color w:val="auto"/>
          <w:szCs w:val="21"/>
          <w:highlight w:val="none"/>
        </w:rPr>
        <w:t>0</w:t>
      </w:r>
      <w:r>
        <w:rPr>
          <w:color w:val="auto"/>
          <w:szCs w:val="21"/>
          <w:highlight w:val="none"/>
        </w:rPr>
        <w:t>项的要求。</w:t>
      </w:r>
    </w:p>
    <w:p w14:paraId="7D971FF5">
      <w:pPr>
        <w:spacing w:line="360" w:lineRule="auto"/>
        <w:ind w:left="516" w:leftChars="33" w:hanging="447" w:hangingChars="213"/>
        <w:rPr>
          <w:color w:val="auto"/>
          <w:szCs w:val="21"/>
          <w:highlight w:val="none"/>
        </w:rPr>
      </w:pPr>
      <w:r>
        <w:rPr>
          <w:rFonts w:hint="eastAsia"/>
          <w:color w:val="auto"/>
          <w:szCs w:val="21"/>
          <w:highlight w:val="none"/>
        </w:rPr>
        <w:t>18</w:t>
      </w:r>
      <w:r>
        <w:rPr>
          <w:color w:val="auto"/>
          <w:szCs w:val="21"/>
          <w:highlight w:val="none"/>
        </w:rPr>
        <w:t>.2在原定响应有效期期满之前，如果出现特殊情况，采购人可以向响应单位提出延长其响应有效期的要求，这种要求和答复应以书面形式并加盖公章后进行。</w:t>
      </w:r>
    </w:p>
    <w:p w14:paraId="29B1F69D">
      <w:pPr>
        <w:spacing w:line="360" w:lineRule="auto"/>
        <w:ind w:left="516" w:leftChars="33" w:hanging="447" w:hangingChars="213"/>
        <w:rPr>
          <w:color w:val="auto"/>
          <w:szCs w:val="21"/>
          <w:highlight w:val="none"/>
        </w:rPr>
      </w:pPr>
      <w:r>
        <w:rPr>
          <w:rFonts w:hint="eastAsia"/>
          <w:color w:val="auto"/>
          <w:szCs w:val="21"/>
          <w:highlight w:val="none"/>
        </w:rPr>
        <w:t>18</w:t>
      </w:r>
      <w:r>
        <w:rPr>
          <w:color w:val="auto"/>
          <w:szCs w:val="21"/>
          <w:highlight w:val="none"/>
        </w:rPr>
        <w:t>.3响应单位可以拒绝这种要求，放弃其</w:t>
      </w:r>
      <w:r>
        <w:rPr>
          <w:rFonts w:hint="eastAsia"/>
          <w:color w:val="auto"/>
          <w:szCs w:val="21"/>
          <w:highlight w:val="none"/>
        </w:rPr>
        <w:t>采购响应</w:t>
      </w:r>
      <w:r>
        <w:rPr>
          <w:color w:val="auto"/>
          <w:szCs w:val="21"/>
          <w:highlight w:val="none"/>
        </w:rPr>
        <w:t>权利，但不会因此被没收响应担保。同意延期的响应单位，不需要也不允许修改其响应文件。</w:t>
      </w:r>
    </w:p>
    <w:p w14:paraId="2B4E9B36">
      <w:pPr>
        <w:pStyle w:val="53"/>
        <w:spacing w:before="120"/>
        <w:rPr>
          <w:rStyle w:val="46"/>
          <w:rFonts w:ascii="Times New Roman" w:hAnsi="Times New Roman" w:eastAsia="宋体" w:cs="Times New Roman"/>
          <w:b/>
          <w:bCs w:val="0"/>
          <w:color w:val="auto"/>
          <w:sz w:val="28"/>
          <w:szCs w:val="28"/>
          <w:highlight w:val="none"/>
        </w:rPr>
      </w:pPr>
      <w:bookmarkStart w:id="311" w:name="_Toc53945796"/>
      <w:bookmarkStart w:id="312" w:name="_Toc53918822"/>
      <w:bookmarkStart w:id="313" w:name="_Toc54280806"/>
      <w:bookmarkStart w:id="314" w:name="_Toc53936531"/>
      <w:bookmarkStart w:id="315" w:name="_Toc145499752"/>
      <w:bookmarkStart w:id="316" w:name="_Toc53949193"/>
      <w:bookmarkStart w:id="317" w:name="_Toc53948351"/>
      <w:bookmarkStart w:id="318" w:name="_Toc53948772"/>
      <w:bookmarkStart w:id="319" w:name="_Toc54280380"/>
      <w:bookmarkStart w:id="320" w:name="_Toc54281232"/>
      <w:bookmarkStart w:id="321" w:name="_Toc54279954"/>
      <w:bookmarkStart w:id="322" w:name="_Toc53939595"/>
      <w:r>
        <w:rPr>
          <w:rStyle w:val="46"/>
          <w:rFonts w:ascii="Times New Roman" w:hAnsi="Times New Roman" w:eastAsia="宋体" w:cs="Times New Roman"/>
          <w:b/>
          <w:bCs w:val="0"/>
          <w:color w:val="auto"/>
          <w:sz w:val="28"/>
          <w:szCs w:val="28"/>
          <w:highlight w:val="none"/>
        </w:rPr>
        <w:t>19.响应担保</w:t>
      </w:r>
      <w:bookmarkEnd w:id="311"/>
      <w:bookmarkEnd w:id="312"/>
      <w:bookmarkEnd w:id="313"/>
      <w:bookmarkEnd w:id="314"/>
      <w:bookmarkEnd w:id="315"/>
      <w:bookmarkEnd w:id="316"/>
      <w:bookmarkEnd w:id="317"/>
      <w:bookmarkEnd w:id="318"/>
      <w:bookmarkEnd w:id="319"/>
      <w:bookmarkEnd w:id="320"/>
      <w:bookmarkEnd w:id="321"/>
      <w:bookmarkEnd w:id="322"/>
    </w:p>
    <w:p w14:paraId="01A5269C">
      <w:pPr>
        <w:spacing w:line="360" w:lineRule="auto"/>
        <w:ind w:left="516" w:leftChars="33" w:hanging="447" w:hangingChars="213"/>
        <w:rPr>
          <w:color w:val="auto"/>
          <w:szCs w:val="21"/>
          <w:highlight w:val="none"/>
        </w:rPr>
      </w:pPr>
      <w:r>
        <w:rPr>
          <w:color w:val="auto"/>
          <w:szCs w:val="21"/>
          <w:highlight w:val="none"/>
        </w:rPr>
        <w:t>19.1响应单位在送交响应文件时，应按《响应单位须知前附表》中第1</w:t>
      </w:r>
      <w:r>
        <w:rPr>
          <w:rFonts w:hint="eastAsia"/>
          <w:color w:val="auto"/>
          <w:szCs w:val="21"/>
          <w:highlight w:val="none"/>
        </w:rPr>
        <w:t>1</w:t>
      </w:r>
      <w:r>
        <w:rPr>
          <w:color w:val="auto"/>
          <w:szCs w:val="21"/>
          <w:highlight w:val="none"/>
        </w:rPr>
        <w:t>项</w:t>
      </w:r>
      <w:r>
        <w:rPr>
          <w:rFonts w:hint="eastAsia"/>
          <w:color w:val="auto"/>
          <w:szCs w:val="21"/>
          <w:highlight w:val="none"/>
        </w:rPr>
        <w:t>要求</w:t>
      </w:r>
      <w:r>
        <w:rPr>
          <w:color w:val="auto"/>
          <w:szCs w:val="21"/>
          <w:highlight w:val="none"/>
        </w:rPr>
        <w:t>提交响应担保，用于保护采购人免受因响应单位行为而蒙受的损失。</w:t>
      </w:r>
    </w:p>
    <w:p w14:paraId="37C6E6CB">
      <w:pPr>
        <w:spacing w:line="360" w:lineRule="auto"/>
        <w:ind w:firstLine="105" w:firstLineChars="50"/>
        <w:rPr>
          <w:color w:val="auto"/>
          <w:szCs w:val="21"/>
          <w:highlight w:val="none"/>
          <w:u w:val="single"/>
        </w:rPr>
      </w:pPr>
      <w:r>
        <w:rPr>
          <w:rFonts w:hint="eastAsia"/>
          <w:color w:val="auto"/>
          <w:szCs w:val="21"/>
          <w:highlight w:val="none"/>
        </w:rPr>
        <w:t>19.2</w:t>
      </w:r>
      <w:r>
        <w:rPr>
          <w:rFonts w:hint="eastAsia"/>
          <w:b/>
          <w:bCs/>
          <w:color w:val="auto"/>
          <w:szCs w:val="21"/>
          <w:highlight w:val="none"/>
          <w:u w:val="single"/>
        </w:rPr>
        <w:t>响应单位未按采购文件要求提交足额有效的响应担保，其响应文件将被拒绝，作废标处理。</w:t>
      </w:r>
    </w:p>
    <w:p w14:paraId="6490D575">
      <w:pPr>
        <w:spacing w:line="360" w:lineRule="auto"/>
        <w:ind w:left="516" w:leftChars="33" w:hanging="447" w:hangingChars="213"/>
        <w:rPr>
          <w:color w:val="auto"/>
          <w:szCs w:val="21"/>
          <w:highlight w:val="none"/>
        </w:rPr>
      </w:pPr>
      <w:r>
        <w:rPr>
          <w:color w:val="auto"/>
          <w:szCs w:val="21"/>
          <w:highlight w:val="none"/>
        </w:rPr>
        <w:t>19.</w:t>
      </w:r>
      <w:r>
        <w:rPr>
          <w:rFonts w:hint="eastAsia"/>
          <w:color w:val="auto"/>
          <w:szCs w:val="21"/>
          <w:highlight w:val="none"/>
        </w:rPr>
        <w:t>3</w:t>
      </w:r>
      <w:r>
        <w:rPr>
          <w:color w:val="auto"/>
          <w:szCs w:val="21"/>
          <w:highlight w:val="none"/>
        </w:rPr>
        <w:t>响应担保在响应有效期满后</w:t>
      </w:r>
      <w:r>
        <w:rPr>
          <w:rFonts w:hint="eastAsia"/>
          <w:color w:val="auto"/>
          <w:szCs w:val="21"/>
          <w:highlight w:val="none"/>
        </w:rPr>
        <w:t>30</w:t>
      </w:r>
      <w:r>
        <w:rPr>
          <w:color w:val="auto"/>
          <w:szCs w:val="21"/>
          <w:highlight w:val="none"/>
        </w:rPr>
        <w:t xml:space="preserve">天内保持有效，采购人如果按规定延长了响应有效期，则响应担保的有效期也相应延长。 </w:t>
      </w:r>
    </w:p>
    <w:p w14:paraId="2359DB66">
      <w:pPr>
        <w:spacing w:line="360" w:lineRule="auto"/>
        <w:ind w:left="516" w:leftChars="33" w:hanging="447" w:hangingChars="213"/>
        <w:rPr>
          <w:color w:val="auto"/>
          <w:szCs w:val="21"/>
          <w:highlight w:val="none"/>
        </w:rPr>
      </w:pPr>
      <w:r>
        <w:rPr>
          <w:color w:val="auto"/>
          <w:szCs w:val="21"/>
          <w:highlight w:val="none"/>
        </w:rPr>
        <w:t>19.</w:t>
      </w:r>
      <w:r>
        <w:rPr>
          <w:rFonts w:hint="eastAsia"/>
          <w:color w:val="auto"/>
          <w:szCs w:val="21"/>
          <w:highlight w:val="none"/>
        </w:rPr>
        <w:t>4</w:t>
      </w:r>
      <w:r>
        <w:rPr>
          <w:color w:val="auto"/>
          <w:szCs w:val="21"/>
          <w:highlight w:val="none"/>
        </w:rPr>
        <w:t>未成交单位的响应保证金将在采购人</w:t>
      </w:r>
      <w:r>
        <w:rPr>
          <w:rFonts w:hint="eastAsia"/>
          <w:color w:val="auto"/>
          <w:szCs w:val="21"/>
          <w:highlight w:val="none"/>
        </w:rPr>
        <w:t>下发了成交单位的成交通知书</w:t>
      </w:r>
      <w:r>
        <w:rPr>
          <w:color w:val="auto"/>
          <w:szCs w:val="21"/>
          <w:highlight w:val="none"/>
        </w:rPr>
        <w:t>后</w:t>
      </w:r>
      <w:r>
        <w:rPr>
          <w:rFonts w:hint="eastAsia"/>
          <w:color w:val="auto"/>
          <w:szCs w:val="21"/>
          <w:highlight w:val="none"/>
        </w:rPr>
        <w:t>7个工作日</w:t>
      </w:r>
      <w:r>
        <w:rPr>
          <w:color w:val="auto"/>
          <w:szCs w:val="21"/>
          <w:highlight w:val="none"/>
        </w:rPr>
        <w:t xml:space="preserve">内予以退还，其期限不超过响应有效期满后30天。 </w:t>
      </w:r>
    </w:p>
    <w:p w14:paraId="49428F20">
      <w:pPr>
        <w:spacing w:line="360" w:lineRule="auto"/>
        <w:rPr>
          <w:color w:val="auto"/>
          <w:szCs w:val="21"/>
          <w:highlight w:val="none"/>
        </w:rPr>
      </w:pPr>
      <w:r>
        <w:rPr>
          <w:color w:val="auto"/>
          <w:szCs w:val="21"/>
          <w:highlight w:val="none"/>
        </w:rPr>
        <w:t>19.</w:t>
      </w:r>
      <w:r>
        <w:rPr>
          <w:rFonts w:hint="eastAsia"/>
          <w:color w:val="auto"/>
          <w:szCs w:val="21"/>
          <w:highlight w:val="none"/>
        </w:rPr>
        <w:t>5</w:t>
      </w:r>
      <w:r>
        <w:rPr>
          <w:color w:val="auto"/>
          <w:szCs w:val="21"/>
          <w:highlight w:val="none"/>
        </w:rPr>
        <w:t>成交单位的响应保证金，在与发包人签订合同协议书</w:t>
      </w:r>
      <w:r>
        <w:rPr>
          <w:rFonts w:hint="eastAsia"/>
          <w:color w:val="auto"/>
          <w:szCs w:val="21"/>
          <w:highlight w:val="none"/>
        </w:rPr>
        <w:t>后直接转为履约保证金</w:t>
      </w:r>
      <w:r>
        <w:rPr>
          <w:color w:val="auto"/>
          <w:szCs w:val="21"/>
          <w:highlight w:val="none"/>
        </w:rPr>
        <w:t>。</w:t>
      </w:r>
      <w:r>
        <w:rPr>
          <w:rFonts w:hint="eastAsia"/>
          <w:color w:val="auto"/>
          <w:szCs w:val="21"/>
          <w:highlight w:val="none"/>
        </w:rPr>
        <w:t>采用银行保函时，须在签订合同协议书前办理完成。</w:t>
      </w:r>
    </w:p>
    <w:p w14:paraId="1979ABE0">
      <w:pPr>
        <w:spacing w:line="360" w:lineRule="auto"/>
        <w:rPr>
          <w:color w:val="auto"/>
          <w:szCs w:val="21"/>
          <w:highlight w:val="none"/>
        </w:rPr>
      </w:pPr>
      <w:r>
        <w:rPr>
          <w:color w:val="auto"/>
          <w:szCs w:val="21"/>
          <w:highlight w:val="none"/>
        </w:rPr>
        <w:t>19.</w:t>
      </w:r>
      <w:r>
        <w:rPr>
          <w:rFonts w:hint="eastAsia"/>
          <w:color w:val="auto"/>
          <w:szCs w:val="21"/>
          <w:highlight w:val="none"/>
        </w:rPr>
        <w:t>6</w:t>
      </w:r>
      <w:r>
        <w:rPr>
          <w:color w:val="auto"/>
          <w:szCs w:val="21"/>
          <w:highlight w:val="none"/>
        </w:rPr>
        <w:t>响应单位有如下情况之一，将被没收其响应担保</w:t>
      </w:r>
      <w:r>
        <w:rPr>
          <w:rFonts w:hint="eastAsia"/>
          <w:color w:val="auto"/>
          <w:szCs w:val="21"/>
          <w:highlight w:val="none"/>
        </w:rPr>
        <w:t>：</w:t>
      </w:r>
      <w:r>
        <w:rPr>
          <w:color w:val="auto"/>
          <w:szCs w:val="21"/>
          <w:highlight w:val="none"/>
        </w:rPr>
        <w:t xml:space="preserve"> </w:t>
      </w:r>
    </w:p>
    <w:p w14:paraId="6BC35D68">
      <w:pPr>
        <w:spacing w:line="360" w:lineRule="auto"/>
        <w:rPr>
          <w:rStyle w:val="34"/>
          <w:color w:val="auto"/>
          <w:highlight w:val="none"/>
        </w:rPr>
      </w:pPr>
      <w:r>
        <w:rPr>
          <w:color w:val="auto"/>
          <w:highlight w:val="none"/>
        </w:rPr>
        <w:t>19.</w:t>
      </w:r>
      <w:r>
        <w:rPr>
          <w:rFonts w:hint="eastAsia"/>
          <w:color w:val="auto"/>
          <w:highlight w:val="none"/>
        </w:rPr>
        <w:t>6</w:t>
      </w:r>
      <w:r>
        <w:rPr>
          <w:color w:val="auto"/>
          <w:highlight w:val="none"/>
        </w:rPr>
        <w:t>.1在响应有效期内撤回响应文件；</w:t>
      </w:r>
    </w:p>
    <w:p w14:paraId="40E33EFD">
      <w:pPr>
        <w:spacing w:line="360" w:lineRule="auto"/>
        <w:rPr>
          <w:color w:val="auto"/>
          <w:szCs w:val="21"/>
          <w:highlight w:val="none"/>
        </w:rPr>
      </w:pPr>
      <w:r>
        <w:rPr>
          <w:color w:val="auto"/>
          <w:szCs w:val="21"/>
          <w:highlight w:val="none"/>
        </w:rPr>
        <w:t>19.</w:t>
      </w:r>
      <w:r>
        <w:rPr>
          <w:rFonts w:hint="eastAsia"/>
          <w:color w:val="auto"/>
          <w:szCs w:val="21"/>
          <w:highlight w:val="none"/>
        </w:rPr>
        <w:t>6</w:t>
      </w:r>
      <w:r>
        <w:rPr>
          <w:color w:val="auto"/>
          <w:szCs w:val="21"/>
          <w:highlight w:val="none"/>
        </w:rPr>
        <w:t>.2成交单位未能按《响应单位须知前附表》第</w:t>
      </w:r>
      <w:r>
        <w:rPr>
          <w:rFonts w:hint="eastAsia"/>
          <w:color w:val="auto"/>
          <w:szCs w:val="21"/>
          <w:highlight w:val="none"/>
        </w:rPr>
        <w:t>17项</w:t>
      </w:r>
      <w:r>
        <w:rPr>
          <w:color w:val="auto"/>
          <w:szCs w:val="21"/>
          <w:highlight w:val="none"/>
        </w:rPr>
        <w:t>的规定签订合同协议书。</w:t>
      </w:r>
    </w:p>
    <w:p w14:paraId="68F45270">
      <w:pPr>
        <w:pStyle w:val="53"/>
        <w:numPr>
          <w:ilvl w:val="0"/>
          <w:numId w:val="2"/>
        </w:numPr>
        <w:spacing w:before="120"/>
        <w:jc w:val="center"/>
        <w:rPr>
          <w:rStyle w:val="46"/>
          <w:rFonts w:hint="eastAsia" w:ascii="Times New Roman" w:hAnsi="宋体" w:eastAsia="宋体"/>
          <w:b/>
          <w:bCs w:val="0"/>
          <w:color w:val="auto"/>
          <w:sz w:val="28"/>
          <w:szCs w:val="28"/>
          <w:highlight w:val="none"/>
        </w:rPr>
      </w:pPr>
      <w:bookmarkStart w:id="323" w:name="_Toc54280808"/>
      <w:bookmarkStart w:id="324" w:name="_Toc54281234"/>
      <w:bookmarkStart w:id="325" w:name="_Toc53949195"/>
      <w:bookmarkStart w:id="326" w:name="_Toc53945798"/>
      <w:bookmarkStart w:id="327" w:name="_Toc54280382"/>
      <w:bookmarkStart w:id="328" w:name="_Toc53939597"/>
      <w:bookmarkStart w:id="329" w:name="_Toc53936533"/>
      <w:bookmarkStart w:id="330" w:name="_Toc145499753"/>
      <w:bookmarkStart w:id="331" w:name="_Toc54279956"/>
      <w:bookmarkStart w:id="332" w:name="_Toc284135591"/>
      <w:bookmarkStart w:id="333" w:name="_Toc53918824"/>
      <w:bookmarkStart w:id="334" w:name="_Toc53948774"/>
      <w:bookmarkStart w:id="335" w:name="_Toc53948353"/>
      <w:r>
        <w:rPr>
          <w:rStyle w:val="46"/>
          <w:rFonts w:ascii="Times New Roman" w:hAnsi="Times New Roman" w:eastAsia="宋体"/>
          <w:b/>
          <w:bCs w:val="0"/>
          <w:color w:val="auto"/>
          <w:sz w:val="28"/>
          <w:szCs w:val="28"/>
          <w:highlight w:val="none"/>
        </w:rPr>
        <w:t xml:space="preserve"> </w:t>
      </w:r>
      <w:r>
        <w:rPr>
          <w:rStyle w:val="46"/>
          <w:rFonts w:ascii="Times New Roman" w:hAnsi="宋体" w:eastAsia="宋体"/>
          <w:b/>
          <w:bCs w:val="0"/>
          <w:color w:val="auto"/>
          <w:sz w:val="28"/>
          <w:szCs w:val="28"/>
          <w:highlight w:val="none"/>
        </w:rPr>
        <w:t>响应文件的递交</w:t>
      </w:r>
      <w:bookmarkEnd w:id="323"/>
      <w:bookmarkEnd w:id="324"/>
      <w:bookmarkEnd w:id="325"/>
      <w:bookmarkEnd w:id="326"/>
      <w:bookmarkEnd w:id="327"/>
      <w:bookmarkEnd w:id="328"/>
      <w:bookmarkEnd w:id="329"/>
      <w:bookmarkEnd w:id="330"/>
      <w:bookmarkEnd w:id="331"/>
      <w:bookmarkEnd w:id="332"/>
      <w:bookmarkEnd w:id="333"/>
      <w:bookmarkEnd w:id="334"/>
      <w:bookmarkEnd w:id="335"/>
    </w:p>
    <w:p w14:paraId="563D2FF1">
      <w:pPr>
        <w:pStyle w:val="53"/>
        <w:spacing w:before="120"/>
        <w:rPr>
          <w:rStyle w:val="46"/>
          <w:rFonts w:ascii="Times New Roman" w:hAnsi="Times New Roman" w:eastAsia="宋体" w:cs="Times New Roman"/>
          <w:b/>
          <w:bCs w:val="0"/>
          <w:color w:val="auto"/>
          <w:sz w:val="28"/>
          <w:szCs w:val="28"/>
          <w:highlight w:val="none"/>
        </w:rPr>
      </w:pPr>
      <w:bookmarkStart w:id="336" w:name="_Toc53945799"/>
      <w:bookmarkStart w:id="337" w:name="_Toc53948775"/>
      <w:bookmarkStart w:id="338" w:name="_Toc53936534"/>
      <w:bookmarkStart w:id="339" w:name="_Toc53939598"/>
      <w:bookmarkStart w:id="340" w:name="_Toc53949196"/>
      <w:bookmarkStart w:id="341" w:name="_Toc53918825"/>
      <w:bookmarkStart w:id="342" w:name="_Toc54280383"/>
      <w:bookmarkStart w:id="343" w:name="_Toc54279957"/>
      <w:bookmarkStart w:id="344" w:name="_Toc54280809"/>
      <w:bookmarkStart w:id="345" w:name="_Toc53948354"/>
      <w:bookmarkStart w:id="346" w:name="_Toc145499754"/>
      <w:bookmarkStart w:id="347" w:name="_Toc54281235"/>
      <w:r>
        <w:rPr>
          <w:rStyle w:val="46"/>
          <w:rFonts w:ascii="Times New Roman" w:hAnsi="Times New Roman" w:eastAsia="宋体" w:cs="Times New Roman"/>
          <w:b/>
          <w:bCs w:val="0"/>
          <w:color w:val="auto"/>
          <w:sz w:val="28"/>
          <w:szCs w:val="28"/>
          <w:highlight w:val="none"/>
        </w:rPr>
        <w:t>20.响应文件的密封与标记</w:t>
      </w:r>
      <w:bookmarkEnd w:id="336"/>
      <w:bookmarkEnd w:id="337"/>
      <w:bookmarkEnd w:id="338"/>
      <w:bookmarkEnd w:id="339"/>
      <w:bookmarkEnd w:id="340"/>
      <w:bookmarkEnd w:id="341"/>
      <w:bookmarkEnd w:id="342"/>
      <w:bookmarkEnd w:id="343"/>
      <w:bookmarkEnd w:id="344"/>
      <w:bookmarkEnd w:id="345"/>
      <w:bookmarkEnd w:id="346"/>
      <w:bookmarkEnd w:id="347"/>
    </w:p>
    <w:p w14:paraId="046503E0">
      <w:pPr>
        <w:spacing w:line="360" w:lineRule="auto"/>
        <w:ind w:left="516" w:leftChars="33" w:hanging="447" w:hangingChars="213"/>
        <w:rPr>
          <w:color w:val="auto"/>
          <w:szCs w:val="21"/>
          <w:highlight w:val="none"/>
        </w:rPr>
      </w:pPr>
      <w:r>
        <w:rPr>
          <w:color w:val="auto"/>
          <w:szCs w:val="21"/>
          <w:highlight w:val="none"/>
        </w:rPr>
        <w:t>20.1响应文件均须左侧装订，装订须牢固不易拆散或换页，不得采用活页方式装订。</w:t>
      </w:r>
    </w:p>
    <w:p w14:paraId="325268E4">
      <w:pPr>
        <w:spacing w:line="360" w:lineRule="auto"/>
        <w:ind w:left="516" w:leftChars="33" w:hanging="447" w:hangingChars="213"/>
        <w:rPr>
          <w:color w:val="auto"/>
          <w:szCs w:val="21"/>
          <w:highlight w:val="none"/>
        </w:rPr>
      </w:pPr>
      <w:r>
        <w:rPr>
          <w:color w:val="auto"/>
          <w:szCs w:val="21"/>
          <w:highlight w:val="none"/>
        </w:rPr>
        <w:t>20.2响应文件</w:t>
      </w:r>
      <w:r>
        <w:rPr>
          <w:rFonts w:hint="eastAsia"/>
          <w:color w:val="auto"/>
          <w:szCs w:val="21"/>
          <w:highlight w:val="none"/>
        </w:rPr>
        <w:t>应用密封袋（箱）进行包装，袋（箱）开口处应用密封条进行密封并在骑缝处加盖响应单位公章，密封条由响应单位自行制作。</w:t>
      </w:r>
      <w:r>
        <w:rPr>
          <w:color w:val="auto"/>
          <w:szCs w:val="21"/>
          <w:highlight w:val="none"/>
        </w:rPr>
        <w:t>未密封或密封不符合采购文件规定的响应文件将不予以签收。</w:t>
      </w:r>
    </w:p>
    <w:p w14:paraId="1E8EB55E">
      <w:pPr>
        <w:spacing w:line="360" w:lineRule="auto"/>
        <w:ind w:left="516" w:leftChars="33" w:hanging="447" w:hangingChars="213"/>
        <w:rPr>
          <w:color w:val="auto"/>
          <w:szCs w:val="21"/>
          <w:highlight w:val="none"/>
        </w:rPr>
      </w:pPr>
      <w:r>
        <w:rPr>
          <w:color w:val="auto"/>
          <w:szCs w:val="21"/>
          <w:highlight w:val="none"/>
        </w:rPr>
        <w:t>20.3响应文件</w:t>
      </w:r>
      <w:r>
        <w:rPr>
          <w:rFonts w:hint="eastAsia"/>
          <w:color w:val="auto"/>
          <w:szCs w:val="21"/>
          <w:highlight w:val="none"/>
        </w:rPr>
        <w:t>正副本</w:t>
      </w:r>
      <w:r>
        <w:rPr>
          <w:color w:val="auto"/>
          <w:szCs w:val="21"/>
          <w:highlight w:val="none"/>
        </w:rPr>
        <w:t>和</w:t>
      </w:r>
      <w:r>
        <w:rPr>
          <w:rFonts w:hint="eastAsia"/>
          <w:color w:val="auto"/>
          <w:szCs w:val="21"/>
          <w:highlight w:val="none"/>
        </w:rPr>
        <w:t>U盘（</w:t>
      </w:r>
      <w:r>
        <w:rPr>
          <w:color w:val="auto"/>
          <w:szCs w:val="21"/>
          <w:highlight w:val="none"/>
        </w:rPr>
        <w:t>光盘</w:t>
      </w:r>
      <w:r>
        <w:rPr>
          <w:rFonts w:hint="eastAsia"/>
          <w:color w:val="auto"/>
          <w:szCs w:val="21"/>
          <w:highlight w:val="none"/>
        </w:rPr>
        <w:t>）可</w:t>
      </w:r>
      <w:r>
        <w:rPr>
          <w:color w:val="auto"/>
          <w:szCs w:val="21"/>
          <w:highlight w:val="none"/>
        </w:rPr>
        <w:t>一起</w:t>
      </w:r>
      <w:r>
        <w:rPr>
          <w:rFonts w:hint="eastAsia"/>
          <w:color w:val="auto"/>
          <w:szCs w:val="21"/>
          <w:highlight w:val="none"/>
        </w:rPr>
        <w:t>包装密封</w:t>
      </w:r>
      <w:r>
        <w:rPr>
          <w:color w:val="auto"/>
          <w:szCs w:val="21"/>
          <w:highlight w:val="none"/>
        </w:rPr>
        <w:t>。</w:t>
      </w:r>
    </w:p>
    <w:p w14:paraId="63D09603">
      <w:pPr>
        <w:pStyle w:val="53"/>
        <w:spacing w:before="120"/>
        <w:rPr>
          <w:rStyle w:val="46"/>
          <w:rFonts w:ascii="Times New Roman" w:hAnsi="Times New Roman" w:eastAsia="宋体" w:cs="Times New Roman"/>
          <w:b/>
          <w:bCs w:val="0"/>
          <w:color w:val="auto"/>
          <w:sz w:val="28"/>
          <w:szCs w:val="28"/>
          <w:highlight w:val="none"/>
        </w:rPr>
      </w:pPr>
      <w:bookmarkStart w:id="348" w:name="_Toc54281236"/>
      <w:bookmarkStart w:id="349" w:name="_Toc145499755"/>
      <w:bookmarkStart w:id="350" w:name="_Toc53936535"/>
      <w:bookmarkStart w:id="351" w:name="_Toc53918826"/>
      <w:bookmarkStart w:id="352" w:name="_Toc54279958"/>
      <w:bookmarkStart w:id="353" w:name="_Toc53948776"/>
      <w:bookmarkStart w:id="354" w:name="_Toc53945800"/>
      <w:bookmarkStart w:id="355" w:name="_Toc54280810"/>
      <w:bookmarkStart w:id="356" w:name="_Toc53939599"/>
      <w:bookmarkStart w:id="357" w:name="_Toc53948355"/>
      <w:bookmarkStart w:id="358" w:name="_Toc54280384"/>
      <w:bookmarkStart w:id="359" w:name="_Toc53949197"/>
      <w:r>
        <w:rPr>
          <w:rStyle w:val="46"/>
          <w:rFonts w:ascii="Times New Roman" w:hAnsi="Times New Roman" w:eastAsia="宋体" w:cs="Times New Roman"/>
          <w:b/>
          <w:bCs w:val="0"/>
          <w:color w:val="auto"/>
          <w:sz w:val="28"/>
          <w:szCs w:val="28"/>
          <w:highlight w:val="none"/>
        </w:rPr>
        <w:t>2</w:t>
      </w:r>
      <w:r>
        <w:rPr>
          <w:rStyle w:val="46"/>
          <w:rFonts w:hint="eastAsia" w:ascii="Times New Roman" w:hAnsi="Times New Roman" w:eastAsia="宋体" w:cs="Times New Roman"/>
          <w:b/>
          <w:bCs w:val="0"/>
          <w:color w:val="auto"/>
          <w:sz w:val="28"/>
          <w:szCs w:val="28"/>
          <w:highlight w:val="none"/>
        </w:rPr>
        <w:t>1</w:t>
      </w:r>
      <w:r>
        <w:rPr>
          <w:rStyle w:val="46"/>
          <w:rFonts w:ascii="Times New Roman" w:hAnsi="Times New Roman" w:eastAsia="宋体" w:cs="Times New Roman"/>
          <w:b/>
          <w:bCs w:val="0"/>
          <w:color w:val="auto"/>
          <w:sz w:val="28"/>
          <w:szCs w:val="28"/>
          <w:highlight w:val="none"/>
        </w:rPr>
        <w:t>.响应截止时间</w:t>
      </w:r>
      <w:bookmarkEnd w:id="348"/>
      <w:bookmarkEnd w:id="349"/>
      <w:bookmarkEnd w:id="350"/>
      <w:bookmarkEnd w:id="351"/>
      <w:bookmarkEnd w:id="352"/>
      <w:bookmarkEnd w:id="353"/>
      <w:bookmarkEnd w:id="354"/>
      <w:bookmarkEnd w:id="355"/>
      <w:bookmarkEnd w:id="356"/>
      <w:bookmarkEnd w:id="357"/>
      <w:bookmarkEnd w:id="358"/>
      <w:bookmarkEnd w:id="359"/>
    </w:p>
    <w:p w14:paraId="5417DA23">
      <w:pPr>
        <w:spacing w:line="360" w:lineRule="auto"/>
        <w:ind w:left="516" w:leftChars="33" w:hanging="447" w:hangingChars="213"/>
        <w:rPr>
          <w:color w:val="auto"/>
          <w:szCs w:val="21"/>
          <w:highlight w:val="none"/>
        </w:rPr>
      </w:pPr>
      <w:r>
        <w:rPr>
          <w:color w:val="auto"/>
          <w:szCs w:val="21"/>
          <w:highlight w:val="none"/>
        </w:rPr>
        <w:t>2</w:t>
      </w:r>
      <w:r>
        <w:rPr>
          <w:rFonts w:hint="eastAsia"/>
          <w:color w:val="auto"/>
          <w:szCs w:val="21"/>
          <w:highlight w:val="none"/>
        </w:rPr>
        <w:t>1</w:t>
      </w:r>
      <w:r>
        <w:rPr>
          <w:color w:val="auto"/>
          <w:szCs w:val="21"/>
          <w:highlight w:val="none"/>
        </w:rPr>
        <w:t>.1响应单位应按《响应单位须知前附表》第1</w:t>
      </w:r>
      <w:r>
        <w:rPr>
          <w:rFonts w:hint="eastAsia"/>
          <w:color w:val="auto"/>
          <w:szCs w:val="21"/>
          <w:highlight w:val="none"/>
        </w:rPr>
        <w:t>4</w:t>
      </w:r>
      <w:r>
        <w:rPr>
          <w:color w:val="auto"/>
          <w:szCs w:val="21"/>
          <w:highlight w:val="none"/>
        </w:rPr>
        <w:t>项说明的时间和地址，或根据</w:t>
      </w:r>
      <w:r>
        <w:rPr>
          <w:rFonts w:hint="eastAsia"/>
          <w:color w:val="auto"/>
          <w:szCs w:val="21"/>
          <w:highlight w:val="none"/>
        </w:rPr>
        <w:t>本第</w:t>
      </w:r>
      <w:r>
        <w:rPr>
          <w:color w:val="auto"/>
          <w:szCs w:val="21"/>
          <w:highlight w:val="none"/>
        </w:rPr>
        <w:t>1</w:t>
      </w:r>
      <w:r>
        <w:rPr>
          <w:rFonts w:hint="eastAsia"/>
          <w:color w:val="auto"/>
          <w:szCs w:val="21"/>
          <w:highlight w:val="none"/>
        </w:rPr>
        <w:t>9</w:t>
      </w:r>
      <w:r>
        <w:rPr>
          <w:color w:val="auto"/>
          <w:szCs w:val="21"/>
          <w:highlight w:val="none"/>
        </w:rPr>
        <w:t>条规定所推迟的截止时间递交响应文件。</w:t>
      </w:r>
    </w:p>
    <w:p w14:paraId="321863E1">
      <w:pPr>
        <w:spacing w:line="360" w:lineRule="auto"/>
        <w:ind w:left="516" w:leftChars="33" w:hanging="447" w:hangingChars="213"/>
        <w:rPr>
          <w:color w:val="auto"/>
          <w:szCs w:val="21"/>
          <w:highlight w:val="none"/>
        </w:rPr>
      </w:pPr>
      <w:r>
        <w:rPr>
          <w:rFonts w:hint="eastAsia"/>
          <w:color w:val="auto"/>
          <w:szCs w:val="21"/>
          <w:highlight w:val="none"/>
        </w:rPr>
        <w:t>21.2</w:t>
      </w:r>
      <w:r>
        <w:rPr>
          <w:color w:val="auto"/>
          <w:highlight w:val="none"/>
        </w:rPr>
        <w:t>采购人在本《响应单位须知前附表》第</w:t>
      </w:r>
      <w:r>
        <w:rPr>
          <w:rFonts w:hint="eastAsia"/>
          <w:color w:val="auto"/>
          <w:highlight w:val="none"/>
        </w:rPr>
        <w:t>14项</w:t>
      </w:r>
      <w:r>
        <w:rPr>
          <w:color w:val="auto"/>
          <w:highlight w:val="none"/>
        </w:rPr>
        <w:t>规定的响应截止时间</w:t>
      </w:r>
      <w:r>
        <w:rPr>
          <w:rFonts w:hint="eastAsia"/>
          <w:color w:val="auto"/>
          <w:highlight w:val="none"/>
        </w:rPr>
        <w:t>，</w:t>
      </w:r>
      <w:r>
        <w:rPr>
          <w:color w:val="auto"/>
          <w:highlight w:val="none"/>
        </w:rPr>
        <w:t>或根据</w:t>
      </w:r>
      <w:r>
        <w:rPr>
          <w:rFonts w:hint="eastAsia"/>
          <w:color w:val="auto"/>
          <w:highlight w:val="none"/>
        </w:rPr>
        <w:t>本第19</w:t>
      </w:r>
      <w:r>
        <w:rPr>
          <w:color w:val="auto"/>
          <w:highlight w:val="none"/>
        </w:rPr>
        <w:t>条规定所推迟的截止时间以后收到的任何响应文件，将予以拒收并原封退还响应单位。</w:t>
      </w:r>
    </w:p>
    <w:p w14:paraId="6CBC8F8B">
      <w:pPr>
        <w:pStyle w:val="53"/>
        <w:spacing w:before="120"/>
        <w:rPr>
          <w:rStyle w:val="46"/>
          <w:rFonts w:ascii="Times New Roman" w:hAnsi="Times New Roman" w:eastAsia="宋体" w:cs="Times New Roman"/>
          <w:b/>
          <w:bCs w:val="0"/>
          <w:color w:val="auto"/>
          <w:sz w:val="28"/>
          <w:szCs w:val="28"/>
          <w:highlight w:val="none"/>
        </w:rPr>
      </w:pPr>
      <w:bookmarkStart w:id="360" w:name="_Toc53939601"/>
      <w:bookmarkStart w:id="361" w:name="_Toc53945802"/>
      <w:bookmarkStart w:id="362" w:name="_Toc53948357"/>
      <w:bookmarkStart w:id="363" w:name="_Toc53918828"/>
      <w:bookmarkStart w:id="364" w:name="_Toc53936537"/>
      <w:bookmarkStart w:id="365" w:name="_Toc54279960"/>
      <w:bookmarkStart w:id="366" w:name="_Toc145499757"/>
      <w:bookmarkStart w:id="367" w:name="_Toc54280386"/>
      <w:bookmarkStart w:id="368" w:name="_Toc53948778"/>
      <w:bookmarkStart w:id="369" w:name="_Toc54281238"/>
      <w:bookmarkStart w:id="370" w:name="_Toc53949199"/>
      <w:bookmarkStart w:id="371" w:name="_Toc54280812"/>
      <w:r>
        <w:rPr>
          <w:rStyle w:val="46"/>
          <w:rFonts w:ascii="Times New Roman" w:hAnsi="Times New Roman" w:eastAsia="宋体" w:cs="Times New Roman"/>
          <w:b/>
          <w:bCs w:val="0"/>
          <w:color w:val="auto"/>
          <w:sz w:val="28"/>
          <w:szCs w:val="28"/>
          <w:highlight w:val="none"/>
        </w:rPr>
        <w:t>22.响应文件的更改与撤回</w:t>
      </w:r>
      <w:bookmarkEnd w:id="360"/>
      <w:bookmarkEnd w:id="361"/>
      <w:bookmarkEnd w:id="362"/>
      <w:bookmarkEnd w:id="363"/>
      <w:bookmarkEnd w:id="364"/>
      <w:bookmarkEnd w:id="365"/>
      <w:bookmarkEnd w:id="366"/>
      <w:bookmarkEnd w:id="367"/>
      <w:bookmarkEnd w:id="368"/>
      <w:bookmarkEnd w:id="369"/>
      <w:bookmarkEnd w:id="370"/>
      <w:bookmarkEnd w:id="371"/>
    </w:p>
    <w:p w14:paraId="18DBBB6A">
      <w:pPr>
        <w:spacing w:line="360" w:lineRule="auto"/>
        <w:ind w:left="516" w:leftChars="33" w:hanging="447" w:hangingChars="213"/>
        <w:rPr>
          <w:color w:val="auto"/>
          <w:szCs w:val="21"/>
          <w:highlight w:val="none"/>
        </w:rPr>
      </w:pPr>
      <w:r>
        <w:rPr>
          <w:color w:val="auto"/>
          <w:szCs w:val="21"/>
          <w:highlight w:val="none"/>
        </w:rPr>
        <w:t>22.1在响应文件递交截止时间之前，响应单位可以对已递交的响应文件进行修改或撤回。</w:t>
      </w:r>
      <w:r>
        <w:rPr>
          <w:rFonts w:hint="eastAsia"/>
          <w:color w:val="auto"/>
          <w:szCs w:val="21"/>
          <w:highlight w:val="none"/>
        </w:rPr>
        <w:t>线上完成递交文件的，不允许更改或撤回</w:t>
      </w:r>
      <w:r>
        <w:rPr>
          <w:color w:val="auto"/>
          <w:szCs w:val="21"/>
          <w:highlight w:val="none"/>
        </w:rPr>
        <w:t>。</w:t>
      </w:r>
    </w:p>
    <w:p w14:paraId="40B184FC">
      <w:pPr>
        <w:spacing w:line="360" w:lineRule="auto"/>
        <w:ind w:left="516" w:leftChars="33" w:hanging="447" w:hangingChars="213"/>
        <w:rPr>
          <w:color w:val="auto"/>
          <w:szCs w:val="21"/>
          <w:highlight w:val="none"/>
        </w:rPr>
      </w:pPr>
      <w:r>
        <w:rPr>
          <w:color w:val="auto"/>
          <w:szCs w:val="21"/>
          <w:highlight w:val="none"/>
        </w:rPr>
        <w:t>22.2在响应文件递交截止时间后，响应单位不得要求更改或撤回其响应文件。响应单位若撤回响应文件，其响应担保将不予以退还。</w:t>
      </w:r>
    </w:p>
    <w:p w14:paraId="75478937">
      <w:pPr>
        <w:pStyle w:val="3"/>
        <w:spacing w:before="240" w:beforeLines="100" w:after="120" w:afterLines="50" w:line="360" w:lineRule="auto"/>
        <w:jc w:val="center"/>
        <w:rPr>
          <w:rStyle w:val="46"/>
          <w:rFonts w:ascii="Times New Roman" w:hAnsi="Times New Roman" w:eastAsia="宋体"/>
          <w:b/>
          <w:bCs w:val="0"/>
          <w:color w:val="auto"/>
          <w:sz w:val="28"/>
          <w:szCs w:val="28"/>
          <w:highlight w:val="none"/>
        </w:rPr>
      </w:pPr>
      <w:bookmarkStart w:id="372" w:name="_Toc54279961"/>
      <w:bookmarkStart w:id="373" w:name="_Toc145499758"/>
      <w:bookmarkStart w:id="374" w:name="_Toc53949200"/>
      <w:bookmarkStart w:id="375" w:name="_Toc53939602"/>
      <w:bookmarkStart w:id="376" w:name="_Toc53948358"/>
      <w:bookmarkStart w:id="377" w:name="_Toc53936538"/>
      <w:bookmarkStart w:id="378" w:name="_Toc54280387"/>
      <w:bookmarkStart w:id="379" w:name="_Toc284135592"/>
      <w:bookmarkStart w:id="380" w:name="_Toc54281239"/>
      <w:bookmarkStart w:id="381" w:name="_Toc53948779"/>
      <w:bookmarkStart w:id="382" w:name="_Toc53918829"/>
      <w:bookmarkStart w:id="383" w:name="_Toc54280813"/>
      <w:bookmarkStart w:id="384" w:name="_Toc53945803"/>
      <w:r>
        <w:rPr>
          <w:rStyle w:val="46"/>
          <w:rFonts w:ascii="Times New Roman" w:hAnsi="宋体" w:eastAsia="宋体"/>
          <w:b/>
          <w:bCs w:val="0"/>
          <w:color w:val="auto"/>
          <w:sz w:val="28"/>
          <w:szCs w:val="28"/>
          <w:highlight w:val="none"/>
        </w:rPr>
        <w:t>第五章</w:t>
      </w:r>
      <w:r>
        <w:rPr>
          <w:rStyle w:val="46"/>
          <w:rFonts w:ascii="Times New Roman" w:hAnsi="Times New Roman" w:eastAsia="宋体"/>
          <w:b/>
          <w:bCs w:val="0"/>
          <w:color w:val="auto"/>
          <w:sz w:val="28"/>
          <w:szCs w:val="28"/>
          <w:highlight w:val="none"/>
        </w:rPr>
        <w:t xml:space="preserve">  </w:t>
      </w:r>
      <w:r>
        <w:rPr>
          <w:rStyle w:val="46"/>
          <w:rFonts w:ascii="Times New Roman" w:hAnsi="宋体" w:eastAsia="宋体"/>
          <w:b/>
          <w:bCs w:val="0"/>
          <w:color w:val="auto"/>
          <w:sz w:val="28"/>
          <w:szCs w:val="28"/>
          <w:highlight w:val="none"/>
        </w:rPr>
        <w:t>响应文件开启与</w:t>
      </w:r>
      <w:bookmarkEnd w:id="372"/>
      <w:bookmarkEnd w:id="373"/>
      <w:bookmarkEnd w:id="374"/>
      <w:bookmarkEnd w:id="375"/>
      <w:bookmarkEnd w:id="376"/>
      <w:bookmarkEnd w:id="377"/>
      <w:bookmarkEnd w:id="378"/>
      <w:bookmarkEnd w:id="379"/>
      <w:bookmarkEnd w:id="380"/>
      <w:bookmarkEnd w:id="381"/>
      <w:bookmarkEnd w:id="382"/>
      <w:bookmarkEnd w:id="383"/>
      <w:bookmarkEnd w:id="384"/>
      <w:r>
        <w:rPr>
          <w:rStyle w:val="46"/>
          <w:rFonts w:hint="eastAsia" w:ascii="Times New Roman" w:hAnsi="宋体" w:eastAsia="宋体"/>
          <w:b/>
          <w:bCs w:val="0"/>
          <w:color w:val="auto"/>
          <w:sz w:val="28"/>
          <w:szCs w:val="28"/>
          <w:highlight w:val="none"/>
        </w:rPr>
        <w:t>评审</w:t>
      </w:r>
    </w:p>
    <w:p w14:paraId="546802BB">
      <w:pPr>
        <w:pStyle w:val="53"/>
        <w:spacing w:before="120"/>
        <w:rPr>
          <w:rStyle w:val="46"/>
          <w:rFonts w:ascii="Times New Roman" w:hAnsi="Times New Roman" w:eastAsia="宋体" w:cs="Times New Roman"/>
          <w:b/>
          <w:bCs w:val="0"/>
          <w:color w:val="auto"/>
          <w:sz w:val="28"/>
          <w:szCs w:val="28"/>
          <w:highlight w:val="none"/>
        </w:rPr>
      </w:pPr>
      <w:bookmarkStart w:id="385" w:name="_Toc54280388"/>
      <w:bookmarkStart w:id="386" w:name="_Toc54281240"/>
      <w:bookmarkStart w:id="387" w:name="_Toc53918830"/>
      <w:bookmarkStart w:id="388" w:name="_Toc54279962"/>
      <w:bookmarkStart w:id="389" w:name="_Toc53949201"/>
      <w:bookmarkStart w:id="390" w:name="_Toc53936539"/>
      <w:bookmarkStart w:id="391" w:name="_Toc145499759"/>
      <w:bookmarkStart w:id="392" w:name="_Toc54280814"/>
      <w:bookmarkStart w:id="393" w:name="_Toc53945804"/>
      <w:bookmarkStart w:id="394" w:name="_Toc53948780"/>
      <w:bookmarkStart w:id="395" w:name="_Toc53939603"/>
      <w:bookmarkStart w:id="396" w:name="_Toc53948359"/>
      <w:r>
        <w:rPr>
          <w:rStyle w:val="46"/>
          <w:rFonts w:ascii="Times New Roman" w:hAnsi="Times New Roman" w:eastAsia="宋体" w:cs="Times New Roman"/>
          <w:b/>
          <w:bCs w:val="0"/>
          <w:color w:val="auto"/>
          <w:sz w:val="28"/>
          <w:szCs w:val="28"/>
          <w:highlight w:val="none"/>
        </w:rPr>
        <w:t>23.开启响应文件</w:t>
      </w:r>
      <w:bookmarkEnd w:id="385"/>
      <w:bookmarkEnd w:id="386"/>
      <w:bookmarkEnd w:id="387"/>
      <w:bookmarkEnd w:id="388"/>
      <w:bookmarkEnd w:id="389"/>
      <w:bookmarkEnd w:id="390"/>
      <w:bookmarkEnd w:id="391"/>
      <w:bookmarkEnd w:id="392"/>
      <w:bookmarkEnd w:id="393"/>
      <w:bookmarkEnd w:id="394"/>
      <w:bookmarkEnd w:id="395"/>
      <w:bookmarkEnd w:id="396"/>
    </w:p>
    <w:p w14:paraId="353DB499">
      <w:pPr>
        <w:spacing w:line="360" w:lineRule="auto"/>
        <w:ind w:left="516" w:leftChars="33" w:hanging="447" w:hangingChars="213"/>
        <w:rPr>
          <w:color w:val="auto"/>
          <w:szCs w:val="21"/>
          <w:highlight w:val="none"/>
        </w:rPr>
      </w:pPr>
      <w:r>
        <w:rPr>
          <w:color w:val="auto"/>
          <w:szCs w:val="21"/>
          <w:highlight w:val="none"/>
        </w:rPr>
        <w:t>23.1采购人将按《响应单位须知前附表》第1</w:t>
      </w:r>
      <w:r>
        <w:rPr>
          <w:rFonts w:hint="eastAsia"/>
          <w:color w:val="auto"/>
          <w:szCs w:val="21"/>
          <w:highlight w:val="none"/>
        </w:rPr>
        <w:t>5</w:t>
      </w:r>
      <w:r>
        <w:rPr>
          <w:color w:val="auto"/>
          <w:szCs w:val="21"/>
          <w:highlight w:val="none"/>
        </w:rPr>
        <w:t>项规定的时间和</w:t>
      </w:r>
      <w:r>
        <w:rPr>
          <w:rFonts w:hint="eastAsia"/>
          <w:color w:val="auto"/>
          <w:szCs w:val="21"/>
          <w:highlight w:val="none"/>
        </w:rPr>
        <w:t>方式</w:t>
      </w:r>
      <w:r>
        <w:rPr>
          <w:color w:val="auto"/>
          <w:szCs w:val="21"/>
          <w:highlight w:val="none"/>
        </w:rPr>
        <w:t>，对所有按时递交并已签收的响应文件进行开启响应文件。响应文件有下列情形之一的，采购人不予受理：</w:t>
      </w:r>
    </w:p>
    <w:p w14:paraId="1B46244E">
      <w:pPr>
        <w:spacing w:line="360" w:lineRule="auto"/>
        <w:ind w:left="1044" w:leftChars="247" w:hanging="525" w:hangingChars="250"/>
        <w:rPr>
          <w:color w:val="auto"/>
          <w:szCs w:val="21"/>
          <w:highlight w:val="none"/>
          <w:u w:val="single"/>
        </w:rPr>
      </w:pPr>
      <w:r>
        <w:rPr>
          <w:color w:val="auto"/>
          <w:szCs w:val="21"/>
          <w:highlight w:val="none"/>
          <w:u w:val="single"/>
        </w:rPr>
        <w:t>23.1.1</w:t>
      </w:r>
      <w:r>
        <w:rPr>
          <w:rFonts w:hAnsi="宋体"/>
          <w:color w:val="auto"/>
          <w:szCs w:val="21"/>
          <w:highlight w:val="none"/>
          <w:u w:val="single"/>
        </w:rPr>
        <w:t>逾期</w:t>
      </w:r>
      <w:r>
        <w:rPr>
          <w:rFonts w:hint="eastAsia" w:hAnsi="宋体"/>
          <w:color w:val="auto"/>
          <w:szCs w:val="21"/>
          <w:highlight w:val="none"/>
          <w:u w:val="single"/>
        </w:rPr>
        <w:t>未完成响应</w:t>
      </w:r>
      <w:r>
        <w:rPr>
          <w:rFonts w:hAnsi="宋体"/>
          <w:color w:val="auto"/>
          <w:szCs w:val="21"/>
          <w:highlight w:val="none"/>
          <w:u w:val="single"/>
        </w:rPr>
        <w:t>的或者未</w:t>
      </w:r>
      <w:r>
        <w:rPr>
          <w:rFonts w:hint="eastAsia" w:hAnsi="宋体"/>
          <w:color w:val="auto"/>
          <w:szCs w:val="21"/>
          <w:highlight w:val="none"/>
          <w:u w:val="single"/>
        </w:rPr>
        <w:t>按要求递交</w:t>
      </w:r>
      <w:r>
        <w:rPr>
          <w:rFonts w:hAnsi="宋体"/>
          <w:color w:val="auto"/>
          <w:szCs w:val="21"/>
          <w:highlight w:val="none"/>
          <w:u w:val="single"/>
        </w:rPr>
        <w:t>的；</w:t>
      </w:r>
    </w:p>
    <w:p w14:paraId="6CEB8C31">
      <w:pPr>
        <w:spacing w:line="360" w:lineRule="auto"/>
        <w:ind w:left="1044" w:leftChars="247" w:hanging="525" w:hangingChars="250"/>
        <w:rPr>
          <w:color w:val="auto"/>
          <w:szCs w:val="21"/>
          <w:highlight w:val="none"/>
          <w:u w:val="single"/>
        </w:rPr>
      </w:pPr>
      <w:r>
        <w:rPr>
          <w:color w:val="auto"/>
          <w:szCs w:val="21"/>
          <w:highlight w:val="none"/>
          <w:u w:val="single"/>
        </w:rPr>
        <w:t>23.1.2</w:t>
      </w:r>
      <w:r>
        <w:rPr>
          <w:rFonts w:hAnsi="宋体"/>
          <w:color w:val="auto"/>
          <w:szCs w:val="21"/>
          <w:highlight w:val="none"/>
          <w:u w:val="single"/>
        </w:rPr>
        <w:t>未按采购文件要求</w:t>
      </w:r>
      <w:r>
        <w:rPr>
          <w:rFonts w:hint="eastAsia" w:hAnsi="宋体"/>
          <w:color w:val="auto"/>
          <w:szCs w:val="21"/>
          <w:highlight w:val="none"/>
          <w:u w:val="single"/>
        </w:rPr>
        <w:t>编制</w:t>
      </w:r>
      <w:r>
        <w:rPr>
          <w:rFonts w:hAnsi="宋体"/>
          <w:color w:val="auto"/>
          <w:szCs w:val="21"/>
          <w:highlight w:val="none"/>
          <w:u w:val="single"/>
        </w:rPr>
        <w:t>的。</w:t>
      </w:r>
    </w:p>
    <w:p w14:paraId="236E150F">
      <w:pPr>
        <w:spacing w:line="360" w:lineRule="auto"/>
        <w:ind w:left="516" w:leftChars="33" w:hanging="447" w:hangingChars="213"/>
        <w:rPr>
          <w:color w:val="auto"/>
          <w:szCs w:val="21"/>
          <w:highlight w:val="none"/>
        </w:rPr>
      </w:pPr>
      <w:r>
        <w:rPr>
          <w:color w:val="auto"/>
          <w:szCs w:val="21"/>
          <w:highlight w:val="none"/>
        </w:rPr>
        <w:t>23.2</w:t>
      </w:r>
      <w:r>
        <w:rPr>
          <w:rFonts w:hint="eastAsia"/>
          <w:color w:val="auto"/>
          <w:szCs w:val="21"/>
          <w:highlight w:val="none"/>
        </w:rPr>
        <w:t>开启响应文件形式为非公开式开启响应文件，</w:t>
      </w:r>
      <w:r>
        <w:rPr>
          <w:color w:val="auto"/>
          <w:szCs w:val="21"/>
          <w:highlight w:val="none"/>
        </w:rPr>
        <w:t>由采购人</w:t>
      </w:r>
      <w:r>
        <w:rPr>
          <w:rFonts w:hint="eastAsia"/>
          <w:color w:val="auto"/>
          <w:szCs w:val="21"/>
          <w:highlight w:val="none"/>
        </w:rPr>
        <w:t>自行主持并</w:t>
      </w:r>
      <w:r>
        <w:rPr>
          <w:color w:val="auto"/>
          <w:szCs w:val="21"/>
          <w:highlight w:val="none"/>
        </w:rPr>
        <w:t>邀请有关部门参加</w:t>
      </w:r>
      <w:r>
        <w:rPr>
          <w:rFonts w:hint="eastAsia"/>
          <w:color w:val="auto"/>
          <w:szCs w:val="21"/>
          <w:highlight w:val="none"/>
        </w:rPr>
        <w:t>，响应单位不参加开启响应文件会</w:t>
      </w:r>
      <w:r>
        <w:rPr>
          <w:color w:val="auto"/>
          <w:szCs w:val="21"/>
          <w:highlight w:val="none"/>
        </w:rPr>
        <w:t>。</w:t>
      </w:r>
    </w:p>
    <w:p w14:paraId="512AB199">
      <w:pPr>
        <w:spacing w:line="360" w:lineRule="auto"/>
        <w:ind w:left="516" w:leftChars="33" w:hanging="447" w:hangingChars="213"/>
        <w:rPr>
          <w:color w:val="auto"/>
          <w:szCs w:val="21"/>
          <w:highlight w:val="none"/>
        </w:rPr>
      </w:pPr>
      <w:r>
        <w:rPr>
          <w:color w:val="auto"/>
          <w:szCs w:val="21"/>
          <w:highlight w:val="none"/>
        </w:rPr>
        <w:t>23.</w:t>
      </w:r>
      <w:r>
        <w:rPr>
          <w:rFonts w:hint="eastAsia"/>
          <w:color w:val="auto"/>
          <w:szCs w:val="21"/>
          <w:highlight w:val="none"/>
        </w:rPr>
        <w:t>3开启响应文件采取线上开启响应文件方式，采购人进行开启响应文件操作，并核查响应文件的签署、内容、格式等有关情况，以确定其完备性。</w:t>
      </w:r>
    </w:p>
    <w:p w14:paraId="6DEC098E">
      <w:pPr>
        <w:spacing w:line="360" w:lineRule="auto"/>
        <w:ind w:left="516" w:leftChars="33" w:hanging="447" w:hangingChars="213"/>
        <w:rPr>
          <w:color w:val="auto"/>
          <w:szCs w:val="21"/>
          <w:highlight w:val="none"/>
        </w:rPr>
      </w:pPr>
      <w:r>
        <w:rPr>
          <w:color w:val="auto"/>
          <w:szCs w:val="21"/>
          <w:highlight w:val="none"/>
        </w:rPr>
        <w:t>23.</w:t>
      </w:r>
      <w:r>
        <w:rPr>
          <w:rFonts w:hint="eastAsia"/>
          <w:color w:val="auto"/>
          <w:szCs w:val="21"/>
          <w:highlight w:val="none"/>
        </w:rPr>
        <w:t>4</w:t>
      </w:r>
      <w:r>
        <w:rPr>
          <w:color w:val="auto"/>
          <w:szCs w:val="21"/>
          <w:highlight w:val="none"/>
        </w:rPr>
        <w:t>采购人应做好开启响应文件会议的记录并经</w:t>
      </w:r>
      <w:r>
        <w:rPr>
          <w:rFonts w:hint="eastAsia"/>
          <w:color w:val="auto"/>
          <w:szCs w:val="21"/>
          <w:highlight w:val="none"/>
        </w:rPr>
        <w:t>参会的</w:t>
      </w:r>
      <w:r>
        <w:rPr>
          <w:color w:val="auto"/>
          <w:szCs w:val="21"/>
          <w:highlight w:val="none"/>
        </w:rPr>
        <w:t>有关部门核查人签字后存档备查。</w:t>
      </w:r>
    </w:p>
    <w:p w14:paraId="133777A9">
      <w:pPr>
        <w:pStyle w:val="53"/>
        <w:spacing w:before="120"/>
        <w:rPr>
          <w:rStyle w:val="46"/>
          <w:rFonts w:ascii="Times New Roman" w:hAnsi="Times New Roman" w:eastAsia="宋体" w:cs="Times New Roman"/>
          <w:b/>
          <w:bCs w:val="0"/>
          <w:color w:val="auto"/>
          <w:sz w:val="28"/>
          <w:szCs w:val="28"/>
          <w:highlight w:val="none"/>
        </w:rPr>
      </w:pPr>
      <w:bookmarkStart w:id="397" w:name="_Toc101076036"/>
      <w:bookmarkStart w:id="398" w:name="_Toc145499762"/>
      <w:bookmarkStart w:id="399" w:name="_Toc101074421"/>
      <w:bookmarkStart w:id="400" w:name="_Toc101598037"/>
      <w:bookmarkStart w:id="401" w:name="_Toc100928434"/>
      <w:bookmarkStart w:id="402" w:name="_Toc100511826"/>
      <w:bookmarkStart w:id="403" w:name="_Toc100508619"/>
      <w:bookmarkStart w:id="404" w:name="_Toc101986492"/>
      <w:bookmarkStart w:id="405" w:name="_Toc101064273"/>
      <w:bookmarkStart w:id="406" w:name="_Toc101074639"/>
      <w:bookmarkStart w:id="407" w:name="_Toc101075791"/>
      <w:bookmarkStart w:id="408" w:name="_Toc100928656"/>
      <w:bookmarkStart w:id="409" w:name="_Toc100928212"/>
      <w:bookmarkStart w:id="410" w:name="_Toc98988363"/>
      <w:bookmarkStart w:id="411" w:name="_Toc99114796"/>
      <w:bookmarkStart w:id="412" w:name="_Toc99076434"/>
      <w:bookmarkStart w:id="413" w:name="_Toc99075245"/>
      <w:bookmarkStart w:id="414" w:name="_Toc99114431"/>
      <w:bookmarkStart w:id="415" w:name="_Toc99076145"/>
      <w:bookmarkStart w:id="416" w:name="_Toc99075824"/>
      <w:r>
        <w:rPr>
          <w:rStyle w:val="46"/>
          <w:rFonts w:ascii="Times New Roman" w:hAnsi="Times New Roman" w:eastAsia="宋体" w:cs="Times New Roman"/>
          <w:b/>
          <w:bCs w:val="0"/>
          <w:color w:val="auto"/>
          <w:sz w:val="28"/>
          <w:szCs w:val="28"/>
          <w:highlight w:val="none"/>
        </w:rPr>
        <w:t>24.</w:t>
      </w:r>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46"/>
          <w:rFonts w:hint="eastAsia" w:ascii="Times New Roman" w:hAnsi="Times New Roman" w:eastAsia="宋体" w:cs="Times New Roman"/>
          <w:b/>
          <w:bCs w:val="0"/>
          <w:color w:val="auto"/>
          <w:sz w:val="28"/>
          <w:szCs w:val="28"/>
          <w:highlight w:val="none"/>
        </w:rPr>
        <w:t>评审、谈判、确定成交</w:t>
      </w:r>
    </w:p>
    <w:bookmarkEnd w:id="410"/>
    <w:bookmarkEnd w:id="411"/>
    <w:bookmarkEnd w:id="412"/>
    <w:bookmarkEnd w:id="413"/>
    <w:bookmarkEnd w:id="414"/>
    <w:bookmarkEnd w:id="415"/>
    <w:bookmarkEnd w:id="416"/>
    <w:p w14:paraId="51F65799">
      <w:pPr>
        <w:spacing w:line="360" w:lineRule="auto"/>
        <w:ind w:left="516" w:leftChars="33" w:hanging="447" w:hangingChars="213"/>
        <w:rPr>
          <w:color w:val="auto"/>
          <w:szCs w:val="21"/>
          <w:highlight w:val="none"/>
        </w:rPr>
      </w:pPr>
      <w:bookmarkStart w:id="417" w:name="_Toc54280817"/>
      <w:bookmarkStart w:id="418" w:name="_Toc53948783"/>
      <w:bookmarkStart w:id="419" w:name="_Toc99076146"/>
      <w:bookmarkStart w:id="420" w:name="_Toc99075825"/>
      <w:bookmarkStart w:id="421" w:name="_Toc99075246"/>
      <w:bookmarkStart w:id="422" w:name="_Toc99114432"/>
      <w:bookmarkStart w:id="423" w:name="_Toc54279965"/>
      <w:bookmarkStart w:id="424" w:name="_Toc53918833"/>
      <w:bookmarkStart w:id="425" w:name="_Toc99076435"/>
      <w:bookmarkStart w:id="426" w:name="_Toc53945807"/>
      <w:bookmarkStart w:id="427" w:name="_Toc99114797"/>
      <w:bookmarkStart w:id="428" w:name="_Toc53949204"/>
      <w:bookmarkStart w:id="429" w:name="_Toc53948362"/>
      <w:bookmarkStart w:id="430" w:name="_Toc53939606"/>
      <w:bookmarkStart w:id="431" w:name="_Toc54281243"/>
      <w:bookmarkStart w:id="432" w:name="_Toc98988364"/>
      <w:bookmarkStart w:id="433" w:name="_Toc54280391"/>
      <w:bookmarkStart w:id="434" w:name="_Toc53936542"/>
      <w:r>
        <w:rPr>
          <w:color w:val="auto"/>
          <w:szCs w:val="21"/>
          <w:highlight w:val="none"/>
        </w:rPr>
        <w:t>24.1评审方法采用综合</w:t>
      </w:r>
      <w:r>
        <w:rPr>
          <w:rFonts w:hint="eastAsia"/>
          <w:color w:val="auto"/>
          <w:szCs w:val="21"/>
          <w:highlight w:val="none"/>
        </w:rPr>
        <w:t>评分</w:t>
      </w:r>
      <w:r>
        <w:rPr>
          <w:color w:val="auto"/>
          <w:szCs w:val="21"/>
          <w:highlight w:val="none"/>
        </w:rPr>
        <w:t>法。评审程序和评审方法详见附件</w:t>
      </w:r>
      <w:r>
        <w:rPr>
          <w:rFonts w:hint="eastAsia"/>
          <w:color w:val="auto"/>
          <w:szCs w:val="21"/>
          <w:highlight w:val="none"/>
        </w:rPr>
        <w:t>一</w:t>
      </w:r>
      <w:r>
        <w:rPr>
          <w:color w:val="auto"/>
          <w:szCs w:val="21"/>
          <w:highlight w:val="none"/>
        </w:rPr>
        <w:t>。</w:t>
      </w:r>
    </w:p>
    <w:p w14:paraId="728B742D">
      <w:pPr>
        <w:spacing w:line="360" w:lineRule="auto"/>
        <w:ind w:left="516" w:leftChars="33" w:hanging="447" w:hangingChars="213"/>
        <w:rPr>
          <w:color w:val="auto"/>
          <w:szCs w:val="21"/>
          <w:highlight w:val="none"/>
        </w:rPr>
      </w:pPr>
      <w:r>
        <w:rPr>
          <w:color w:val="auto"/>
          <w:szCs w:val="21"/>
          <w:highlight w:val="none"/>
        </w:rPr>
        <w:t>24.</w:t>
      </w:r>
      <w:r>
        <w:rPr>
          <w:rFonts w:hint="eastAsia"/>
          <w:color w:val="auto"/>
          <w:szCs w:val="21"/>
          <w:highlight w:val="none"/>
        </w:rPr>
        <w:t>2</w:t>
      </w:r>
      <w:r>
        <w:rPr>
          <w:color w:val="auto"/>
          <w:szCs w:val="21"/>
          <w:highlight w:val="none"/>
        </w:rPr>
        <w:t>依据上评述</w:t>
      </w:r>
      <w:r>
        <w:rPr>
          <w:rFonts w:hint="eastAsia"/>
          <w:color w:val="auto"/>
          <w:szCs w:val="21"/>
          <w:highlight w:val="none"/>
        </w:rPr>
        <w:t>评审</w:t>
      </w:r>
      <w:r>
        <w:rPr>
          <w:color w:val="auto"/>
          <w:szCs w:val="21"/>
          <w:highlight w:val="none"/>
        </w:rPr>
        <w:t>方法，</w:t>
      </w:r>
      <w:r>
        <w:rPr>
          <w:rFonts w:hint="eastAsia"/>
          <w:color w:val="auto"/>
          <w:szCs w:val="21"/>
          <w:highlight w:val="none"/>
        </w:rPr>
        <w:t>采购人</w:t>
      </w:r>
      <w:r>
        <w:rPr>
          <w:color w:val="auto"/>
          <w:szCs w:val="21"/>
          <w:highlight w:val="none"/>
        </w:rPr>
        <w:t>评审</w:t>
      </w:r>
      <w:r>
        <w:rPr>
          <w:rFonts w:hint="eastAsia"/>
          <w:color w:val="auto"/>
          <w:szCs w:val="21"/>
          <w:highlight w:val="none"/>
        </w:rPr>
        <w:t>小组</w:t>
      </w:r>
      <w:r>
        <w:rPr>
          <w:color w:val="auto"/>
          <w:szCs w:val="21"/>
          <w:highlight w:val="none"/>
        </w:rPr>
        <w:t>将对响应文件进行初步评审</w:t>
      </w:r>
      <w:r>
        <w:rPr>
          <w:rFonts w:hint="eastAsia"/>
          <w:color w:val="auto"/>
          <w:szCs w:val="21"/>
          <w:highlight w:val="none"/>
        </w:rPr>
        <w:t>，并要求响应单位对报价进行</w:t>
      </w:r>
      <w:r>
        <w:rPr>
          <w:color w:val="auto"/>
          <w:szCs w:val="21"/>
          <w:highlight w:val="none"/>
        </w:rPr>
        <w:t>澄清或补正</w:t>
      </w:r>
      <w:r>
        <w:rPr>
          <w:rFonts w:hint="eastAsia"/>
          <w:color w:val="auto"/>
          <w:szCs w:val="21"/>
          <w:highlight w:val="none"/>
        </w:rPr>
        <w:t>，经过采购人</w:t>
      </w:r>
      <w:r>
        <w:rPr>
          <w:color w:val="auto"/>
          <w:szCs w:val="21"/>
          <w:highlight w:val="none"/>
        </w:rPr>
        <w:t>评审</w:t>
      </w:r>
      <w:r>
        <w:rPr>
          <w:rFonts w:hint="eastAsia"/>
          <w:color w:val="auto"/>
          <w:szCs w:val="21"/>
          <w:highlight w:val="none"/>
        </w:rPr>
        <w:t>小组</w:t>
      </w:r>
      <w:r>
        <w:rPr>
          <w:color w:val="auto"/>
          <w:szCs w:val="21"/>
          <w:highlight w:val="none"/>
        </w:rPr>
        <w:t>比较</w:t>
      </w:r>
      <w:r>
        <w:rPr>
          <w:rFonts w:hint="eastAsia"/>
          <w:color w:val="auto"/>
          <w:szCs w:val="21"/>
          <w:highlight w:val="none"/>
        </w:rPr>
        <w:t>分析</w:t>
      </w:r>
      <w:r>
        <w:rPr>
          <w:color w:val="auto"/>
          <w:szCs w:val="21"/>
          <w:highlight w:val="none"/>
        </w:rPr>
        <w:t>，进行综合评分，</w:t>
      </w:r>
      <w:r>
        <w:rPr>
          <w:rFonts w:hint="eastAsia"/>
          <w:color w:val="auto"/>
          <w:szCs w:val="21"/>
          <w:highlight w:val="none"/>
        </w:rPr>
        <w:t>并</w:t>
      </w:r>
      <w:r>
        <w:rPr>
          <w:color w:val="auto"/>
          <w:szCs w:val="21"/>
          <w:highlight w:val="none"/>
        </w:rPr>
        <w:t>推荐</w:t>
      </w:r>
      <w:r>
        <w:rPr>
          <w:rFonts w:hint="eastAsia"/>
          <w:color w:val="auto"/>
          <w:szCs w:val="21"/>
          <w:highlight w:val="none"/>
        </w:rPr>
        <w:t>出谈判</w:t>
      </w:r>
      <w:r>
        <w:rPr>
          <w:color w:val="auto"/>
          <w:szCs w:val="21"/>
          <w:highlight w:val="none"/>
        </w:rPr>
        <w:t>候选人</w:t>
      </w:r>
      <w:r>
        <w:rPr>
          <w:rFonts w:hint="eastAsia"/>
          <w:color w:val="auto"/>
          <w:szCs w:val="21"/>
          <w:highlight w:val="none"/>
        </w:rPr>
        <w:t>。</w:t>
      </w:r>
    </w:p>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14:paraId="6AF4DC41">
      <w:pPr>
        <w:spacing w:line="360" w:lineRule="auto"/>
        <w:ind w:left="516" w:leftChars="33" w:hanging="447" w:hangingChars="213"/>
        <w:rPr>
          <w:color w:val="auto"/>
          <w:szCs w:val="21"/>
          <w:highlight w:val="none"/>
        </w:rPr>
      </w:pPr>
      <w:r>
        <w:rPr>
          <w:color w:val="auto"/>
          <w:szCs w:val="21"/>
          <w:highlight w:val="none"/>
        </w:rPr>
        <w:t>24.</w:t>
      </w:r>
      <w:r>
        <w:rPr>
          <w:rFonts w:hint="eastAsia"/>
          <w:color w:val="auto"/>
          <w:szCs w:val="21"/>
          <w:highlight w:val="none"/>
        </w:rPr>
        <w:t>3谈判采取现场或视频会议方式进行，</w:t>
      </w:r>
      <w:r>
        <w:rPr>
          <w:color w:val="auto"/>
          <w:szCs w:val="21"/>
          <w:highlight w:val="none"/>
        </w:rPr>
        <w:t>响应单位的法定代表人或其授权代理人应携带法定代表人证明</w:t>
      </w:r>
      <w:r>
        <w:rPr>
          <w:rFonts w:hint="eastAsia"/>
          <w:color w:val="auto"/>
          <w:szCs w:val="21"/>
          <w:highlight w:val="none"/>
        </w:rPr>
        <w:t>文件</w:t>
      </w:r>
      <w:r>
        <w:rPr>
          <w:color w:val="auto"/>
          <w:szCs w:val="21"/>
          <w:highlight w:val="none"/>
        </w:rPr>
        <w:t>或授权委托书和本人的身份证的原件与复印件各1份</w:t>
      </w:r>
      <w:r>
        <w:rPr>
          <w:rFonts w:hint="eastAsia"/>
          <w:color w:val="auto"/>
          <w:szCs w:val="21"/>
          <w:highlight w:val="none"/>
        </w:rPr>
        <w:t>准时参会</w:t>
      </w:r>
      <w:r>
        <w:rPr>
          <w:color w:val="auto"/>
          <w:szCs w:val="21"/>
          <w:highlight w:val="none"/>
        </w:rPr>
        <w:t>，并在</w:t>
      </w:r>
      <w:r>
        <w:rPr>
          <w:rFonts w:hint="eastAsia"/>
          <w:color w:val="auto"/>
          <w:szCs w:val="21"/>
          <w:highlight w:val="none"/>
        </w:rPr>
        <w:t>需确认的资料上签字；采取视频会议方式的，签字、盖章原件须邮寄到采购人指定地址</w:t>
      </w:r>
      <w:r>
        <w:rPr>
          <w:color w:val="auto"/>
          <w:szCs w:val="21"/>
          <w:highlight w:val="none"/>
        </w:rPr>
        <w:t>。</w:t>
      </w:r>
    </w:p>
    <w:p w14:paraId="4EB297D5">
      <w:pPr>
        <w:spacing w:line="360" w:lineRule="auto"/>
        <w:ind w:left="516" w:leftChars="33" w:hanging="447" w:hangingChars="213"/>
        <w:rPr>
          <w:color w:val="auto"/>
          <w:szCs w:val="21"/>
          <w:highlight w:val="none"/>
        </w:rPr>
      </w:pPr>
      <w:r>
        <w:rPr>
          <w:color w:val="auto"/>
          <w:szCs w:val="21"/>
          <w:highlight w:val="none"/>
        </w:rPr>
        <w:t>24.</w:t>
      </w:r>
      <w:r>
        <w:rPr>
          <w:rFonts w:hint="eastAsia"/>
          <w:color w:val="auto"/>
          <w:szCs w:val="21"/>
          <w:highlight w:val="none"/>
        </w:rPr>
        <w:t>4采购人评审小组与谈判候选人进行谈判后，响应单位在</w:t>
      </w:r>
      <w:r>
        <w:rPr>
          <w:rFonts w:hint="eastAsia"/>
          <w:color w:val="auto"/>
          <w:szCs w:val="21"/>
          <w:highlight w:val="none"/>
          <w:lang w:val="en-US" w:eastAsia="zh-CN"/>
        </w:rPr>
        <w:t>线下</w:t>
      </w:r>
      <w:r>
        <w:rPr>
          <w:rFonts w:hint="eastAsia"/>
          <w:color w:val="auto"/>
          <w:szCs w:val="21"/>
          <w:highlight w:val="none"/>
        </w:rPr>
        <w:t>进行二次报价作为最终报价。</w:t>
      </w:r>
    </w:p>
    <w:p w14:paraId="3477A7B6">
      <w:pPr>
        <w:spacing w:line="360" w:lineRule="auto"/>
        <w:ind w:left="516" w:leftChars="33" w:hanging="447" w:hangingChars="213"/>
        <w:rPr>
          <w:color w:val="auto"/>
          <w:szCs w:val="21"/>
          <w:highlight w:val="none"/>
        </w:rPr>
      </w:pPr>
      <w:r>
        <w:rPr>
          <w:rFonts w:hint="eastAsia"/>
          <w:color w:val="auto"/>
          <w:szCs w:val="21"/>
          <w:highlight w:val="none"/>
        </w:rPr>
        <w:t>24.5</w:t>
      </w:r>
      <w:r>
        <w:rPr>
          <w:color w:val="auto"/>
          <w:szCs w:val="21"/>
          <w:highlight w:val="none"/>
        </w:rPr>
        <w:t>采购人</w:t>
      </w:r>
      <w:r>
        <w:rPr>
          <w:rFonts w:hint="eastAsia"/>
          <w:color w:val="auto"/>
          <w:szCs w:val="21"/>
          <w:highlight w:val="none"/>
        </w:rPr>
        <w:t>评审小组</w:t>
      </w:r>
      <w:r>
        <w:rPr>
          <w:color w:val="auto"/>
          <w:szCs w:val="21"/>
          <w:highlight w:val="none"/>
        </w:rPr>
        <w:t>编制和提交评审报告，并将评审报告和</w:t>
      </w:r>
      <w:r>
        <w:rPr>
          <w:rFonts w:hint="eastAsia"/>
          <w:color w:val="auto"/>
          <w:szCs w:val="21"/>
          <w:highlight w:val="none"/>
        </w:rPr>
        <w:t>拟定成交</w:t>
      </w:r>
      <w:r>
        <w:rPr>
          <w:color w:val="auto"/>
          <w:szCs w:val="21"/>
          <w:highlight w:val="none"/>
        </w:rPr>
        <w:t>结果</w:t>
      </w:r>
      <w:r>
        <w:rPr>
          <w:rFonts w:hint="eastAsia"/>
          <w:color w:val="auto"/>
          <w:szCs w:val="21"/>
          <w:highlight w:val="none"/>
        </w:rPr>
        <w:t>上</w:t>
      </w:r>
      <w:r>
        <w:rPr>
          <w:color w:val="auto"/>
          <w:szCs w:val="21"/>
          <w:highlight w:val="none"/>
        </w:rPr>
        <w:t>报</w:t>
      </w:r>
      <w:r>
        <w:rPr>
          <w:rFonts w:hint="eastAsia"/>
          <w:color w:val="auto"/>
          <w:szCs w:val="21"/>
          <w:highlight w:val="none"/>
        </w:rPr>
        <w:t>主管领导审批确定成交结果</w:t>
      </w:r>
      <w:r>
        <w:rPr>
          <w:color w:val="auto"/>
          <w:szCs w:val="21"/>
          <w:highlight w:val="none"/>
        </w:rPr>
        <w:t>。</w:t>
      </w:r>
    </w:p>
    <w:p w14:paraId="6D69C915">
      <w:pPr>
        <w:pStyle w:val="3"/>
        <w:spacing w:before="240" w:beforeLines="100" w:after="120" w:afterLines="50" w:line="360" w:lineRule="auto"/>
        <w:jc w:val="center"/>
        <w:rPr>
          <w:rStyle w:val="46"/>
          <w:rFonts w:ascii="Times New Roman" w:hAnsi="Times New Roman" w:eastAsia="宋体"/>
          <w:b/>
          <w:bCs w:val="0"/>
          <w:color w:val="auto"/>
          <w:sz w:val="28"/>
          <w:szCs w:val="28"/>
          <w:highlight w:val="none"/>
        </w:rPr>
      </w:pPr>
      <w:bookmarkStart w:id="435" w:name="_Toc145499763"/>
      <w:bookmarkStart w:id="436" w:name="_Toc54280394"/>
      <w:bookmarkStart w:id="437" w:name="_Toc54279968"/>
      <w:bookmarkStart w:id="438" w:name="_Toc53939609"/>
      <w:bookmarkStart w:id="439" w:name="_Toc284135593"/>
      <w:bookmarkStart w:id="440" w:name="_Toc54280820"/>
      <w:bookmarkStart w:id="441" w:name="_Toc53949207"/>
      <w:bookmarkStart w:id="442" w:name="_Toc53948786"/>
      <w:bookmarkStart w:id="443" w:name="_Toc53918836"/>
      <w:bookmarkStart w:id="444" w:name="_Toc53945810"/>
      <w:bookmarkStart w:id="445" w:name="_Toc53948365"/>
      <w:bookmarkStart w:id="446" w:name="_Toc53936545"/>
      <w:bookmarkStart w:id="447" w:name="_Toc54281246"/>
      <w:r>
        <w:rPr>
          <w:rStyle w:val="46"/>
          <w:rFonts w:ascii="Times New Roman" w:hAnsi="宋体" w:eastAsia="宋体"/>
          <w:b/>
          <w:bCs w:val="0"/>
          <w:color w:val="auto"/>
          <w:sz w:val="28"/>
          <w:szCs w:val="28"/>
          <w:highlight w:val="none"/>
        </w:rPr>
        <w:t>第六章</w:t>
      </w:r>
      <w:r>
        <w:rPr>
          <w:rStyle w:val="46"/>
          <w:rFonts w:ascii="Times New Roman" w:hAnsi="Times New Roman" w:eastAsia="宋体"/>
          <w:b/>
          <w:bCs w:val="0"/>
          <w:color w:val="auto"/>
          <w:sz w:val="28"/>
          <w:szCs w:val="28"/>
          <w:highlight w:val="none"/>
        </w:rPr>
        <w:t xml:space="preserve">  </w:t>
      </w:r>
      <w:r>
        <w:rPr>
          <w:rStyle w:val="46"/>
          <w:rFonts w:ascii="Times New Roman" w:hAnsi="宋体" w:eastAsia="宋体"/>
          <w:b/>
          <w:bCs w:val="0"/>
          <w:color w:val="auto"/>
          <w:sz w:val="28"/>
          <w:szCs w:val="28"/>
          <w:highlight w:val="none"/>
        </w:rPr>
        <w:t>合同的授予</w:t>
      </w:r>
      <w:bookmarkEnd w:id="435"/>
      <w:bookmarkEnd w:id="436"/>
      <w:bookmarkEnd w:id="437"/>
      <w:bookmarkEnd w:id="438"/>
      <w:bookmarkEnd w:id="439"/>
      <w:bookmarkEnd w:id="440"/>
      <w:bookmarkEnd w:id="441"/>
      <w:bookmarkEnd w:id="442"/>
      <w:bookmarkEnd w:id="443"/>
      <w:bookmarkEnd w:id="444"/>
      <w:bookmarkEnd w:id="445"/>
      <w:bookmarkEnd w:id="446"/>
      <w:bookmarkEnd w:id="447"/>
    </w:p>
    <w:p w14:paraId="0E540DEA">
      <w:pPr>
        <w:pStyle w:val="53"/>
        <w:spacing w:before="120"/>
        <w:rPr>
          <w:rStyle w:val="46"/>
          <w:rFonts w:ascii="Times New Roman" w:hAnsi="Times New Roman" w:eastAsia="宋体" w:cs="Times New Roman"/>
          <w:b/>
          <w:bCs w:val="0"/>
          <w:color w:val="auto"/>
          <w:sz w:val="28"/>
          <w:szCs w:val="28"/>
          <w:highlight w:val="none"/>
        </w:rPr>
      </w:pPr>
      <w:bookmarkStart w:id="448" w:name="_Toc54281247"/>
      <w:bookmarkStart w:id="449" w:name="_Toc53948787"/>
      <w:bookmarkStart w:id="450" w:name="_Toc99075250"/>
      <w:bookmarkStart w:id="451" w:name="_Toc101074641"/>
      <w:bookmarkStart w:id="452" w:name="_Toc100508622"/>
      <w:bookmarkStart w:id="453" w:name="_Toc98988368"/>
      <w:bookmarkStart w:id="454" w:name="_Toc100928658"/>
      <w:bookmarkStart w:id="455" w:name="_Toc100511829"/>
      <w:bookmarkStart w:id="456" w:name="_Toc53949208"/>
      <w:bookmarkStart w:id="457" w:name="_Toc53948366"/>
      <w:bookmarkStart w:id="458" w:name="_Toc99076150"/>
      <w:bookmarkStart w:id="459" w:name="_Toc101076038"/>
      <w:bookmarkStart w:id="460" w:name="_Toc101074423"/>
      <w:bookmarkStart w:id="461" w:name="_Toc99076439"/>
      <w:bookmarkStart w:id="462" w:name="_Toc53918837"/>
      <w:bookmarkStart w:id="463" w:name="_Toc99114436"/>
      <w:bookmarkStart w:id="464" w:name="_Toc54280821"/>
      <w:bookmarkStart w:id="465" w:name="_Toc101075793"/>
      <w:bookmarkStart w:id="466" w:name="_Toc53939610"/>
      <w:bookmarkStart w:id="467" w:name="_Toc99075829"/>
      <w:bookmarkStart w:id="468" w:name="_Toc99114801"/>
      <w:bookmarkStart w:id="469" w:name="_Toc54280395"/>
      <w:bookmarkStart w:id="470" w:name="_Toc100928436"/>
      <w:bookmarkStart w:id="471" w:name="_Toc53945811"/>
      <w:bookmarkStart w:id="472" w:name="_Toc145499764"/>
      <w:bookmarkStart w:id="473" w:name="_Toc101064275"/>
      <w:bookmarkStart w:id="474" w:name="_Toc101598039"/>
      <w:bookmarkStart w:id="475" w:name="_Toc101986494"/>
      <w:bookmarkStart w:id="476" w:name="_Toc100928214"/>
      <w:bookmarkStart w:id="477" w:name="_Toc53936546"/>
      <w:bookmarkStart w:id="478" w:name="_Toc54279969"/>
      <w:bookmarkStart w:id="479" w:name="_Toc53936548"/>
      <w:bookmarkStart w:id="480" w:name="_Toc54280397"/>
      <w:bookmarkStart w:id="481" w:name="_Toc53948789"/>
      <w:bookmarkStart w:id="482" w:name="_Toc53948368"/>
      <w:bookmarkStart w:id="483" w:name="_Toc53918839"/>
      <w:bookmarkStart w:id="484" w:name="_Toc53939612"/>
      <w:bookmarkStart w:id="485" w:name="_Toc54280823"/>
      <w:bookmarkStart w:id="486" w:name="_Toc53949210"/>
      <w:bookmarkStart w:id="487" w:name="_Toc54281249"/>
      <w:bookmarkStart w:id="488" w:name="_Toc54279971"/>
      <w:bookmarkStart w:id="489" w:name="_Toc53945813"/>
      <w:r>
        <w:rPr>
          <w:rStyle w:val="46"/>
          <w:rFonts w:ascii="Times New Roman" w:hAnsi="Times New Roman" w:eastAsia="宋体" w:cs="Times New Roman"/>
          <w:b/>
          <w:bCs w:val="0"/>
          <w:color w:val="auto"/>
          <w:sz w:val="28"/>
          <w:szCs w:val="28"/>
          <w:highlight w:val="none"/>
        </w:rPr>
        <w:t>25.成交通知书</w:t>
      </w:r>
    </w:p>
    <w:p w14:paraId="49A6710C">
      <w:pPr>
        <w:spacing w:line="360" w:lineRule="auto"/>
        <w:ind w:left="516" w:leftChars="33" w:hanging="447" w:hangingChars="213"/>
        <w:rPr>
          <w:color w:val="auto"/>
          <w:szCs w:val="21"/>
          <w:highlight w:val="none"/>
        </w:rPr>
      </w:pPr>
      <w:r>
        <w:rPr>
          <w:rFonts w:hint="eastAsia"/>
          <w:color w:val="auto"/>
          <w:szCs w:val="21"/>
          <w:highlight w:val="none"/>
        </w:rPr>
        <w:t>25</w:t>
      </w:r>
      <w:r>
        <w:rPr>
          <w:color w:val="auto"/>
          <w:szCs w:val="21"/>
          <w:highlight w:val="none"/>
        </w:rPr>
        <w:t>.1</w:t>
      </w:r>
      <w:r>
        <w:rPr>
          <w:rFonts w:hint="eastAsia"/>
          <w:color w:val="auto"/>
          <w:szCs w:val="21"/>
          <w:highlight w:val="none"/>
        </w:rPr>
        <w:t>成交结果确定</w:t>
      </w:r>
      <w:r>
        <w:rPr>
          <w:color w:val="auto"/>
          <w:szCs w:val="21"/>
          <w:highlight w:val="none"/>
        </w:rPr>
        <w:t>后，采购人即向成交单位发出“成交通知书”，确认其</w:t>
      </w:r>
      <w:r>
        <w:rPr>
          <w:rFonts w:hint="eastAsia"/>
          <w:color w:val="auto"/>
          <w:szCs w:val="21"/>
          <w:highlight w:val="none"/>
        </w:rPr>
        <w:t>响应文件</w:t>
      </w:r>
      <w:r>
        <w:rPr>
          <w:color w:val="auto"/>
          <w:szCs w:val="21"/>
          <w:highlight w:val="none"/>
        </w:rPr>
        <w:t>已被接受，发出时间不超过响应有效期。</w:t>
      </w:r>
    </w:p>
    <w:p w14:paraId="114BA531">
      <w:pPr>
        <w:spacing w:line="360" w:lineRule="auto"/>
        <w:ind w:left="516" w:leftChars="33" w:hanging="447" w:hangingChars="213"/>
        <w:rPr>
          <w:bCs/>
          <w:color w:val="auto"/>
          <w:szCs w:val="21"/>
          <w:highlight w:val="none"/>
        </w:rPr>
      </w:pPr>
      <w:r>
        <w:rPr>
          <w:rFonts w:hint="eastAsia"/>
          <w:color w:val="auto"/>
          <w:szCs w:val="21"/>
          <w:highlight w:val="none"/>
        </w:rPr>
        <w:t>25.2</w:t>
      </w:r>
      <w:r>
        <w:rPr>
          <w:color w:val="auto"/>
          <w:szCs w:val="21"/>
          <w:highlight w:val="none"/>
        </w:rPr>
        <w:t>采购人在发出成交通知书的同时</w:t>
      </w:r>
      <w:r>
        <w:rPr>
          <w:rFonts w:hint="eastAsia"/>
          <w:color w:val="auto"/>
          <w:szCs w:val="21"/>
          <w:highlight w:val="none"/>
        </w:rPr>
        <w:t>通知</w:t>
      </w:r>
      <w:r>
        <w:rPr>
          <w:color w:val="auto"/>
          <w:szCs w:val="21"/>
          <w:highlight w:val="none"/>
        </w:rPr>
        <w:t>所有未</w:t>
      </w:r>
      <w:r>
        <w:rPr>
          <w:rFonts w:hint="eastAsia"/>
          <w:color w:val="auto"/>
          <w:szCs w:val="21"/>
          <w:highlight w:val="none"/>
        </w:rPr>
        <w:t>成交</w:t>
      </w:r>
      <w:r>
        <w:rPr>
          <w:color w:val="auto"/>
          <w:szCs w:val="21"/>
          <w:highlight w:val="none"/>
        </w:rPr>
        <w:t>的响应单位</w:t>
      </w:r>
      <w:r>
        <w:rPr>
          <w:rFonts w:hint="eastAsia"/>
          <w:color w:val="auto"/>
          <w:szCs w:val="21"/>
          <w:highlight w:val="none"/>
        </w:rPr>
        <w:t>领回相应响应保证金或响应保函</w:t>
      </w:r>
      <w:r>
        <w:rPr>
          <w:color w:val="auto"/>
          <w:szCs w:val="21"/>
          <w:highlight w:val="none"/>
        </w:rPr>
        <w:t>。</w:t>
      </w:r>
    </w:p>
    <w:p w14:paraId="1E0CF563">
      <w:pPr>
        <w:pStyle w:val="53"/>
        <w:spacing w:before="120"/>
        <w:rPr>
          <w:rStyle w:val="46"/>
          <w:rFonts w:ascii="Times New Roman" w:hAnsi="Times New Roman" w:eastAsia="宋体" w:cs="Times New Roman"/>
          <w:b/>
          <w:bCs w:val="0"/>
          <w:color w:val="auto"/>
          <w:sz w:val="28"/>
          <w:szCs w:val="28"/>
          <w:highlight w:val="none"/>
        </w:rPr>
      </w:pPr>
      <w:r>
        <w:rPr>
          <w:rStyle w:val="46"/>
          <w:rFonts w:hint="eastAsia" w:ascii="Times New Roman" w:hAnsi="Times New Roman" w:eastAsia="宋体" w:cs="Times New Roman"/>
          <w:b/>
          <w:bCs w:val="0"/>
          <w:color w:val="auto"/>
          <w:sz w:val="28"/>
          <w:szCs w:val="28"/>
          <w:highlight w:val="none"/>
        </w:rPr>
        <w:t>26.</w:t>
      </w:r>
      <w:r>
        <w:rPr>
          <w:rStyle w:val="46"/>
          <w:rFonts w:ascii="Times New Roman" w:hAnsi="Times New Roman" w:eastAsia="宋体" w:cs="Times New Roman"/>
          <w:b/>
          <w:bCs w:val="0"/>
          <w:color w:val="auto"/>
          <w:sz w:val="28"/>
          <w:szCs w:val="28"/>
          <w:highlight w:val="none"/>
        </w:rPr>
        <w:t>合同授予的条件</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14:paraId="722E8D5C">
      <w:pPr>
        <w:spacing w:line="360" w:lineRule="auto"/>
        <w:ind w:left="516" w:leftChars="33" w:hanging="447" w:hangingChars="213"/>
        <w:rPr>
          <w:color w:val="auto"/>
          <w:szCs w:val="21"/>
          <w:highlight w:val="none"/>
        </w:rPr>
      </w:pPr>
      <w:r>
        <w:rPr>
          <w:color w:val="auto"/>
          <w:szCs w:val="21"/>
          <w:highlight w:val="none"/>
        </w:rPr>
        <w:t>2</w:t>
      </w:r>
      <w:r>
        <w:rPr>
          <w:rFonts w:hint="eastAsia"/>
          <w:color w:val="auto"/>
          <w:szCs w:val="21"/>
          <w:highlight w:val="none"/>
        </w:rPr>
        <w:t>6</w:t>
      </w:r>
      <w:r>
        <w:rPr>
          <w:color w:val="auto"/>
          <w:szCs w:val="21"/>
          <w:highlight w:val="none"/>
        </w:rPr>
        <w:t>.1本合同将授予资格复审合格、响应文件合规、综合评分第一的响应单位。采购人不承诺将本合同授予给最低报价的响应单位。</w:t>
      </w:r>
    </w:p>
    <w:p w14:paraId="7EF1FDAD">
      <w:pPr>
        <w:spacing w:line="360" w:lineRule="auto"/>
        <w:ind w:left="516" w:leftChars="33" w:hanging="447" w:hangingChars="213"/>
        <w:rPr>
          <w:color w:val="auto"/>
          <w:szCs w:val="21"/>
          <w:highlight w:val="none"/>
        </w:rPr>
      </w:pPr>
      <w:r>
        <w:rPr>
          <w:color w:val="auto"/>
          <w:szCs w:val="21"/>
          <w:highlight w:val="none"/>
        </w:rPr>
        <w:t>2</w:t>
      </w:r>
      <w:r>
        <w:rPr>
          <w:rFonts w:hint="eastAsia"/>
          <w:color w:val="auto"/>
          <w:szCs w:val="21"/>
          <w:highlight w:val="none"/>
        </w:rPr>
        <w:t>6</w:t>
      </w:r>
      <w:r>
        <w:rPr>
          <w:color w:val="auto"/>
          <w:szCs w:val="21"/>
          <w:highlight w:val="none"/>
        </w:rPr>
        <w:t>.2如果排名第一的响应单位主动放弃其合同授予资格或因未遵循采购文件的要求被采购人取消其合同授予资格，则由排名第二的响应单位获得合同授予资格，以此类推，直至排名第三的响应单位获得合同授予资格。如果前三名均放弃合同授予资格或被采购人取消合同授予资格，采购人则</w:t>
      </w:r>
      <w:r>
        <w:rPr>
          <w:rFonts w:hint="eastAsia"/>
          <w:color w:val="auto"/>
          <w:szCs w:val="21"/>
          <w:highlight w:val="none"/>
        </w:rPr>
        <w:t>应</w:t>
      </w:r>
      <w:r>
        <w:rPr>
          <w:color w:val="auto"/>
          <w:szCs w:val="21"/>
          <w:highlight w:val="none"/>
        </w:rPr>
        <w:t>重新</w:t>
      </w:r>
      <w:r>
        <w:rPr>
          <w:rFonts w:hint="eastAsia"/>
          <w:color w:val="auto"/>
          <w:szCs w:val="21"/>
          <w:highlight w:val="none"/>
        </w:rPr>
        <w:t>组织</w:t>
      </w:r>
      <w:r>
        <w:rPr>
          <w:color w:val="auto"/>
          <w:szCs w:val="21"/>
          <w:highlight w:val="none"/>
        </w:rPr>
        <w:t>采购。</w:t>
      </w:r>
    </w:p>
    <w:p w14:paraId="249DCE69">
      <w:pPr>
        <w:spacing w:line="360" w:lineRule="auto"/>
        <w:ind w:left="516" w:leftChars="33" w:hanging="447" w:hangingChars="213"/>
        <w:rPr>
          <w:color w:val="auto"/>
          <w:szCs w:val="21"/>
          <w:highlight w:val="none"/>
        </w:rPr>
      </w:pPr>
      <w:r>
        <w:rPr>
          <w:rFonts w:hint="eastAsia"/>
          <w:color w:val="auto"/>
          <w:szCs w:val="21"/>
          <w:highlight w:val="none"/>
        </w:rPr>
        <w:t>26.3如拟成交单位存在不平衡报价，在合同签订前采购人可要求拟成交单位把单价调整至合理水平。</w:t>
      </w:r>
    </w:p>
    <w:bookmarkEnd w:id="479"/>
    <w:bookmarkEnd w:id="480"/>
    <w:bookmarkEnd w:id="481"/>
    <w:bookmarkEnd w:id="482"/>
    <w:bookmarkEnd w:id="483"/>
    <w:bookmarkEnd w:id="484"/>
    <w:bookmarkEnd w:id="485"/>
    <w:bookmarkEnd w:id="486"/>
    <w:bookmarkEnd w:id="487"/>
    <w:bookmarkEnd w:id="488"/>
    <w:bookmarkEnd w:id="489"/>
    <w:p w14:paraId="55044FA9">
      <w:pPr>
        <w:pStyle w:val="53"/>
        <w:spacing w:before="120"/>
        <w:rPr>
          <w:rStyle w:val="46"/>
          <w:rFonts w:ascii="Times New Roman" w:hAnsi="Times New Roman" w:eastAsia="宋体" w:cs="Times New Roman"/>
          <w:b/>
          <w:bCs w:val="0"/>
          <w:color w:val="auto"/>
          <w:sz w:val="28"/>
          <w:szCs w:val="28"/>
          <w:highlight w:val="none"/>
        </w:rPr>
      </w:pPr>
      <w:bookmarkStart w:id="490" w:name="_Toc53945814"/>
      <w:bookmarkStart w:id="491" w:name="_Toc53936549"/>
      <w:bookmarkStart w:id="492" w:name="_Toc54280398"/>
      <w:bookmarkStart w:id="493" w:name="_Toc54281250"/>
      <w:bookmarkStart w:id="494" w:name="_Toc54279972"/>
      <w:bookmarkStart w:id="495" w:name="_Toc53949211"/>
      <w:bookmarkStart w:id="496" w:name="_Toc53948369"/>
      <w:bookmarkStart w:id="497" w:name="_Toc54280824"/>
      <w:bookmarkStart w:id="498" w:name="_Toc53948790"/>
      <w:bookmarkStart w:id="499" w:name="_Toc53918840"/>
      <w:bookmarkStart w:id="500" w:name="_Toc53939613"/>
      <w:bookmarkStart w:id="501" w:name="_Toc145499766"/>
      <w:r>
        <w:rPr>
          <w:rStyle w:val="46"/>
          <w:rFonts w:hint="eastAsia" w:ascii="Times New Roman" w:hAnsi="Times New Roman" w:eastAsia="宋体" w:cs="Times New Roman"/>
          <w:b/>
          <w:bCs w:val="0"/>
          <w:color w:val="auto"/>
          <w:sz w:val="28"/>
          <w:szCs w:val="28"/>
          <w:highlight w:val="none"/>
        </w:rPr>
        <w:t>27</w:t>
      </w:r>
      <w:r>
        <w:rPr>
          <w:rStyle w:val="46"/>
          <w:rFonts w:ascii="Times New Roman" w:hAnsi="Times New Roman" w:eastAsia="宋体" w:cs="Times New Roman"/>
          <w:b/>
          <w:bCs w:val="0"/>
          <w:color w:val="auto"/>
          <w:sz w:val="28"/>
          <w:szCs w:val="28"/>
          <w:highlight w:val="none"/>
        </w:rPr>
        <w:t>.</w:t>
      </w:r>
      <w:bookmarkEnd w:id="490"/>
      <w:bookmarkEnd w:id="491"/>
      <w:bookmarkEnd w:id="492"/>
      <w:bookmarkEnd w:id="493"/>
      <w:bookmarkEnd w:id="494"/>
      <w:bookmarkEnd w:id="495"/>
      <w:bookmarkEnd w:id="496"/>
      <w:bookmarkEnd w:id="497"/>
      <w:bookmarkEnd w:id="498"/>
      <w:bookmarkEnd w:id="499"/>
      <w:bookmarkEnd w:id="500"/>
      <w:r>
        <w:rPr>
          <w:rStyle w:val="46"/>
          <w:rFonts w:ascii="Times New Roman" w:hAnsi="Times New Roman" w:eastAsia="宋体" w:cs="Times New Roman"/>
          <w:b/>
          <w:bCs w:val="0"/>
          <w:color w:val="auto"/>
          <w:sz w:val="28"/>
          <w:szCs w:val="28"/>
          <w:highlight w:val="none"/>
        </w:rPr>
        <w:t>履约担保</w:t>
      </w:r>
      <w:bookmarkEnd w:id="501"/>
    </w:p>
    <w:p w14:paraId="2170E51B">
      <w:pPr>
        <w:spacing w:line="360" w:lineRule="auto"/>
        <w:ind w:left="516" w:leftChars="33" w:hanging="447" w:hangingChars="213"/>
        <w:rPr>
          <w:color w:val="auto"/>
          <w:szCs w:val="21"/>
          <w:highlight w:val="none"/>
        </w:rPr>
      </w:pPr>
      <w:r>
        <w:rPr>
          <w:rFonts w:hint="eastAsia"/>
          <w:color w:val="auto"/>
          <w:szCs w:val="21"/>
          <w:highlight w:val="none"/>
        </w:rPr>
        <w:t>27</w:t>
      </w:r>
      <w:r>
        <w:rPr>
          <w:color w:val="auto"/>
          <w:szCs w:val="21"/>
          <w:highlight w:val="none"/>
        </w:rPr>
        <w:t>.1</w:t>
      </w:r>
      <w:r>
        <w:rPr>
          <w:rFonts w:hAnsi="宋体"/>
          <w:color w:val="auto"/>
          <w:szCs w:val="21"/>
          <w:highlight w:val="none"/>
        </w:rPr>
        <w:t>成交单位在签订合同协议书时，应按《响应单位须知前附表》第</w:t>
      </w:r>
      <w:r>
        <w:rPr>
          <w:rFonts w:hint="eastAsia"/>
          <w:color w:val="auto"/>
          <w:szCs w:val="21"/>
          <w:highlight w:val="none"/>
        </w:rPr>
        <w:t>17</w:t>
      </w:r>
      <w:r>
        <w:rPr>
          <w:rFonts w:hAnsi="宋体"/>
          <w:color w:val="auto"/>
          <w:szCs w:val="21"/>
          <w:highlight w:val="none"/>
        </w:rPr>
        <w:t>项规定，向采购人提交履约</w:t>
      </w:r>
      <w:r>
        <w:rPr>
          <w:rFonts w:hint="eastAsia" w:hAnsi="宋体"/>
          <w:color w:val="auto"/>
          <w:szCs w:val="21"/>
          <w:highlight w:val="none"/>
        </w:rPr>
        <w:t>担保</w:t>
      </w:r>
      <w:r>
        <w:rPr>
          <w:rFonts w:hAnsi="宋体"/>
          <w:color w:val="auto"/>
          <w:szCs w:val="21"/>
          <w:highlight w:val="none"/>
        </w:rPr>
        <w:t>。</w:t>
      </w:r>
    </w:p>
    <w:p w14:paraId="03120711">
      <w:pPr>
        <w:pStyle w:val="53"/>
        <w:spacing w:before="120"/>
        <w:rPr>
          <w:rStyle w:val="46"/>
          <w:rFonts w:ascii="Times New Roman" w:hAnsi="Times New Roman" w:eastAsia="宋体" w:cs="Times New Roman"/>
          <w:b/>
          <w:bCs w:val="0"/>
          <w:color w:val="auto"/>
          <w:sz w:val="28"/>
          <w:szCs w:val="28"/>
          <w:highlight w:val="none"/>
        </w:rPr>
      </w:pPr>
      <w:bookmarkStart w:id="502" w:name="_Toc54280825"/>
      <w:bookmarkStart w:id="503" w:name="_Toc54279973"/>
      <w:bookmarkStart w:id="504" w:name="_Toc53948370"/>
      <w:bookmarkStart w:id="505" w:name="_Toc145499767"/>
      <w:bookmarkStart w:id="506" w:name="_Toc53939614"/>
      <w:bookmarkStart w:id="507" w:name="_Toc53945815"/>
      <w:bookmarkStart w:id="508" w:name="_Toc54280399"/>
      <w:bookmarkStart w:id="509" w:name="_Toc53936550"/>
      <w:bookmarkStart w:id="510" w:name="_Toc54281251"/>
      <w:bookmarkStart w:id="511" w:name="_Toc53949212"/>
      <w:bookmarkStart w:id="512" w:name="_Toc53948791"/>
      <w:bookmarkStart w:id="513" w:name="_Toc53918841"/>
      <w:r>
        <w:rPr>
          <w:rStyle w:val="46"/>
          <w:rFonts w:hint="eastAsia" w:ascii="Times New Roman" w:hAnsi="Times New Roman" w:eastAsia="宋体" w:cs="Times New Roman"/>
          <w:b/>
          <w:bCs w:val="0"/>
          <w:color w:val="auto"/>
          <w:sz w:val="28"/>
          <w:szCs w:val="28"/>
          <w:highlight w:val="none"/>
        </w:rPr>
        <w:t>28</w:t>
      </w:r>
      <w:r>
        <w:rPr>
          <w:rStyle w:val="46"/>
          <w:rFonts w:ascii="Times New Roman" w:hAnsi="Times New Roman" w:eastAsia="宋体" w:cs="Times New Roman"/>
          <w:b/>
          <w:bCs w:val="0"/>
          <w:color w:val="auto"/>
          <w:sz w:val="28"/>
          <w:szCs w:val="28"/>
          <w:highlight w:val="none"/>
        </w:rPr>
        <w:t>.合同协议书的签署</w:t>
      </w:r>
      <w:bookmarkEnd w:id="502"/>
      <w:bookmarkEnd w:id="503"/>
      <w:bookmarkEnd w:id="504"/>
      <w:bookmarkEnd w:id="505"/>
      <w:bookmarkEnd w:id="506"/>
      <w:bookmarkEnd w:id="507"/>
      <w:bookmarkEnd w:id="508"/>
      <w:bookmarkEnd w:id="509"/>
      <w:bookmarkEnd w:id="510"/>
      <w:bookmarkEnd w:id="511"/>
      <w:bookmarkEnd w:id="512"/>
      <w:bookmarkEnd w:id="513"/>
    </w:p>
    <w:p w14:paraId="65A5CAE0">
      <w:pPr>
        <w:spacing w:line="360" w:lineRule="auto"/>
        <w:ind w:left="516" w:leftChars="33" w:hanging="447" w:hangingChars="213"/>
        <w:rPr>
          <w:color w:val="auto"/>
          <w:szCs w:val="21"/>
          <w:highlight w:val="none"/>
        </w:rPr>
      </w:pPr>
      <w:r>
        <w:rPr>
          <w:rFonts w:hint="eastAsia"/>
          <w:color w:val="auto"/>
          <w:szCs w:val="21"/>
          <w:highlight w:val="none"/>
        </w:rPr>
        <w:t>28</w:t>
      </w:r>
      <w:r>
        <w:rPr>
          <w:color w:val="auto"/>
          <w:szCs w:val="21"/>
          <w:highlight w:val="none"/>
        </w:rPr>
        <w:t>.1</w:t>
      </w:r>
      <w:r>
        <w:rPr>
          <w:rFonts w:hAnsi="宋体"/>
          <w:color w:val="auto"/>
          <w:szCs w:val="21"/>
          <w:highlight w:val="none"/>
        </w:rPr>
        <w:t>成交单位应在《响应单位须知前附表》第</w:t>
      </w:r>
      <w:r>
        <w:rPr>
          <w:rFonts w:hint="eastAsia"/>
          <w:color w:val="auto"/>
          <w:szCs w:val="21"/>
          <w:highlight w:val="none"/>
        </w:rPr>
        <w:t>18</w:t>
      </w:r>
      <w:r>
        <w:rPr>
          <w:rFonts w:hAnsi="宋体"/>
          <w:color w:val="auto"/>
          <w:szCs w:val="21"/>
          <w:highlight w:val="none"/>
        </w:rPr>
        <w:t>项规定的时间内，与采购人签订合同协议书。</w:t>
      </w:r>
    </w:p>
    <w:p w14:paraId="2464D9F5">
      <w:pPr>
        <w:spacing w:line="360" w:lineRule="auto"/>
        <w:ind w:left="516" w:leftChars="33" w:hanging="447" w:hangingChars="213"/>
        <w:rPr>
          <w:color w:val="auto"/>
          <w:szCs w:val="21"/>
          <w:highlight w:val="none"/>
        </w:rPr>
      </w:pPr>
      <w:r>
        <w:rPr>
          <w:rFonts w:hint="eastAsia"/>
          <w:color w:val="auto"/>
          <w:szCs w:val="21"/>
          <w:highlight w:val="none"/>
        </w:rPr>
        <w:t>28</w:t>
      </w:r>
      <w:r>
        <w:rPr>
          <w:color w:val="auto"/>
          <w:szCs w:val="21"/>
          <w:highlight w:val="none"/>
        </w:rPr>
        <w:t>.2</w:t>
      </w:r>
      <w:r>
        <w:rPr>
          <w:rFonts w:hAnsi="宋体"/>
          <w:color w:val="auto"/>
          <w:szCs w:val="21"/>
          <w:highlight w:val="none"/>
        </w:rPr>
        <w:t>合同协议书经签约双方法定代表人或其授权代理人签字并加盖公章后生效，但在合同协议书中约定合同生效</w:t>
      </w:r>
      <w:r>
        <w:rPr>
          <w:rFonts w:hint="eastAsia" w:hAnsi="宋体"/>
          <w:color w:val="auto"/>
          <w:szCs w:val="21"/>
          <w:highlight w:val="none"/>
        </w:rPr>
        <w:t>期限</w:t>
      </w:r>
      <w:r>
        <w:rPr>
          <w:rFonts w:hAnsi="宋体"/>
          <w:color w:val="auto"/>
          <w:szCs w:val="21"/>
          <w:highlight w:val="none"/>
        </w:rPr>
        <w:t>或条件的除外。</w:t>
      </w:r>
    </w:p>
    <w:p w14:paraId="4C0A49AB">
      <w:pPr>
        <w:spacing w:line="360" w:lineRule="auto"/>
        <w:ind w:left="516" w:leftChars="33" w:hanging="447" w:hangingChars="213"/>
        <w:rPr>
          <w:color w:val="auto"/>
          <w:szCs w:val="21"/>
          <w:highlight w:val="none"/>
        </w:rPr>
      </w:pPr>
      <w:r>
        <w:rPr>
          <w:rFonts w:hint="eastAsia"/>
          <w:color w:val="auto"/>
          <w:szCs w:val="21"/>
          <w:highlight w:val="none"/>
        </w:rPr>
        <w:t>28</w:t>
      </w:r>
      <w:r>
        <w:rPr>
          <w:color w:val="auto"/>
          <w:szCs w:val="21"/>
          <w:highlight w:val="none"/>
        </w:rPr>
        <w:t>.3</w:t>
      </w:r>
      <w:r>
        <w:rPr>
          <w:rFonts w:hAnsi="宋体"/>
          <w:color w:val="auto"/>
          <w:szCs w:val="21"/>
          <w:highlight w:val="none"/>
        </w:rPr>
        <w:t>如果成交单位未能遵守本《响应单位须知前附表》</w:t>
      </w:r>
      <w:r>
        <w:rPr>
          <w:rFonts w:hint="eastAsia"/>
          <w:color w:val="auto"/>
          <w:szCs w:val="21"/>
          <w:highlight w:val="none"/>
        </w:rPr>
        <w:t>18项</w:t>
      </w:r>
      <w:r>
        <w:rPr>
          <w:rFonts w:hAnsi="宋体"/>
          <w:color w:val="auto"/>
          <w:szCs w:val="21"/>
          <w:highlight w:val="none"/>
        </w:rPr>
        <w:t>或</w:t>
      </w:r>
      <w:r>
        <w:rPr>
          <w:rFonts w:hint="eastAsia"/>
          <w:color w:val="auto"/>
          <w:szCs w:val="21"/>
          <w:highlight w:val="none"/>
        </w:rPr>
        <w:t>本章第27</w:t>
      </w:r>
      <w:r>
        <w:rPr>
          <w:rFonts w:hAnsi="宋体"/>
          <w:color w:val="auto"/>
          <w:szCs w:val="21"/>
          <w:highlight w:val="none"/>
        </w:rPr>
        <w:t>条的规定，采购人则可宣布其</w:t>
      </w:r>
      <w:r>
        <w:rPr>
          <w:rFonts w:hint="eastAsia" w:hAnsi="宋体"/>
          <w:color w:val="auto"/>
          <w:szCs w:val="21"/>
          <w:highlight w:val="none"/>
        </w:rPr>
        <w:t>成交结果</w:t>
      </w:r>
      <w:r>
        <w:rPr>
          <w:rFonts w:hAnsi="宋体"/>
          <w:color w:val="auto"/>
          <w:szCs w:val="21"/>
          <w:highlight w:val="none"/>
        </w:rPr>
        <w:t>无效，并没收其响应担保</w:t>
      </w:r>
      <w:r>
        <w:rPr>
          <w:rFonts w:hint="eastAsia" w:hAnsi="宋体"/>
          <w:color w:val="auto"/>
          <w:szCs w:val="21"/>
          <w:highlight w:val="none"/>
        </w:rPr>
        <w:t>金</w:t>
      </w:r>
      <w:r>
        <w:rPr>
          <w:rFonts w:hAnsi="宋体"/>
          <w:color w:val="auto"/>
          <w:szCs w:val="21"/>
          <w:highlight w:val="none"/>
        </w:rPr>
        <w:t>。在此情况下，可将合同授予下一个预期的成交单位或者按照有关规定重新组织采购。</w:t>
      </w:r>
    </w:p>
    <w:p w14:paraId="41B911C4">
      <w:pPr>
        <w:pStyle w:val="53"/>
        <w:spacing w:before="120"/>
        <w:rPr>
          <w:rStyle w:val="46"/>
          <w:rFonts w:ascii="Times New Roman" w:hAnsi="Times New Roman" w:eastAsia="宋体" w:cs="Times New Roman"/>
          <w:b/>
          <w:bCs w:val="0"/>
          <w:color w:val="auto"/>
          <w:sz w:val="28"/>
          <w:szCs w:val="28"/>
          <w:highlight w:val="none"/>
        </w:rPr>
      </w:pPr>
      <w:bookmarkStart w:id="514" w:name="_Toc53949213"/>
      <w:bookmarkStart w:id="515" w:name="_Toc53918842"/>
      <w:bookmarkStart w:id="516" w:name="_Toc53939615"/>
      <w:bookmarkStart w:id="517" w:name="_Toc53945816"/>
      <w:bookmarkStart w:id="518" w:name="_Toc54280827"/>
      <w:bookmarkStart w:id="519" w:name="_Toc145499768"/>
      <w:bookmarkStart w:id="520" w:name="_Toc53948792"/>
      <w:bookmarkStart w:id="521" w:name="_Toc54279975"/>
      <w:bookmarkStart w:id="522" w:name="_Toc54280401"/>
      <w:bookmarkStart w:id="523" w:name="_Toc54281253"/>
      <w:bookmarkStart w:id="524" w:name="_Toc53936551"/>
      <w:bookmarkStart w:id="525" w:name="_Toc53948371"/>
      <w:r>
        <w:rPr>
          <w:rStyle w:val="46"/>
          <w:rFonts w:hint="eastAsia" w:ascii="Times New Roman" w:hAnsi="Times New Roman" w:eastAsia="宋体" w:cs="Times New Roman"/>
          <w:b/>
          <w:bCs w:val="0"/>
          <w:color w:val="auto"/>
          <w:sz w:val="28"/>
          <w:szCs w:val="28"/>
          <w:highlight w:val="none"/>
        </w:rPr>
        <w:t>29</w:t>
      </w:r>
      <w:r>
        <w:rPr>
          <w:rStyle w:val="46"/>
          <w:rFonts w:ascii="Times New Roman" w:hAnsi="Times New Roman" w:eastAsia="宋体" w:cs="Times New Roman"/>
          <w:b/>
          <w:bCs w:val="0"/>
          <w:color w:val="auto"/>
          <w:sz w:val="28"/>
          <w:szCs w:val="28"/>
          <w:highlight w:val="none"/>
        </w:rPr>
        <w:t>.不正当竞争与纪律监督</w:t>
      </w:r>
      <w:bookmarkEnd w:id="514"/>
      <w:bookmarkEnd w:id="515"/>
      <w:bookmarkEnd w:id="516"/>
      <w:bookmarkEnd w:id="517"/>
      <w:bookmarkEnd w:id="518"/>
      <w:bookmarkEnd w:id="519"/>
      <w:bookmarkEnd w:id="520"/>
      <w:bookmarkEnd w:id="521"/>
      <w:bookmarkEnd w:id="522"/>
      <w:bookmarkEnd w:id="523"/>
      <w:bookmarkEnd w:id="524"/>
      <w:bookmarkEnd w:id="525"/>
    </w:p>
    <w:p w14:paraId="73EB7493">
      <w:pPr>
        <w:spacing w:line="360" w:lineRule="auto"/>
        <w:ind w:left="516" w:leftChars="33" w:hanging="447" w:hangingChars="213"/>
        <w:rPr>
          <w:color w:val="auto"/>
          <w:szCs w:val="21"/>
          <w:highlight w:val="none"/>
        </w:rPr>
      </w:pPr>
      <w:r>
        <w:rPr>
          <w:color w:val="auto"/>
          <w:szCs w:val="21"/>
          <w:highlight w:val="none"/>
        </w:rPr>
        <w:t>29.1</w:t>
      </w:r>
      <w:r>
        <w:rPr>
          <w:rFonts w:hint="eastAsia"/>
          <w:color w:val="auto"/>
          <w:szCs w:val="21"/>
          <w:highlight w:val="none"/>
        </w:rPr>
        <w:t>响应单位在采购过程中严禁互相串通、结盟，损害采购的公正性和竞争性，或以任何方式影响其他响应单位参与正当采购活动。</w:t>
      </w:r>
    </w:p>
    <w:p w14:paraId="2AE42C95">
      <w:pPr>
        <w:spacing w:line="360" w:lineRule="auto"/>
        <w:ind w:left="516" w:leftChars="33" w:hanging="447" w:hangingChars="213"/>
        <w:rPr>
          <w:color w:val="auto"/>
          <w:szCs w:val="21"/>
          <w:highlight w:val="none"/>
        </w:rPr>
      </w:pPr>
      <w:r>
        <w:rPr>
          <w:color w:val="auto"/>
          <w:szCs w:val="21"/>
          <w:highlight w:val="none"/>
        </w:rPr>
        <w:t>29.2</w:t>
      </w:r>
      <w:r>
        <w:rPr>
          <w:rFonts w:hint="eastAsia"/>
          <w:color w:val="auto"/>
          <w:szCs w:val="21"/>
          <w:highlight w:val="none"/>
        </w:rPr>
        <w:t>响应单位严禁使用非法手段查询采购底价或其他响应单位文件，泄漏响应文件、哄抬价格损害采购人利益。</w:t>
      </w:r>
    </w:p>
    <w:p w14:paraId="0E8F094D">
      <w:pPr>
        <w:spacing w:line="360" w:lineRule="auto"/>
        <w:ind w:left="516" w:leftChars="33" w:hanging="447" w:hangingChars="213"/>
        <w:rPr>
          <w:color w:val="auto"/>
          <w:szCs w:val="21"/>
          <w:highlight w:val="none"/>
        </w:rPr>
      </w:pPr>
      <w:r>
        <w:rPr>
          <w:color w:val="auto"/>
          <w:szCs w:val="21"/>
          <w:highlight w:val="none"/>
        </w:rPr>
        <w:t>29.3</w:t>
      </w:r>
      <w:r>
        <w:rPr>
          <w:rFonts w:hint="eastAsia"/>
          <w:color w:val="auto"/>
          <w:szCs w:val="21"/>
          <w:highlight w:val="none"/>
        </w:rPr>
        <w:t>响应单位严禁利用非法手段骗取成交，伪造借用营业执照、企业资质证书、安全许可证等非法行为。</w:t>
      </w:r>
    </w:p>
    <w:p w14:paraId="20649927">
      <w:pPr>
        <w:spacing w:line="360" w:lineRule="auto"/>
        <w:ind w:left="516" w:leftChars="33" w:hanging="447" w:hangingChars="213"/>
        <w:rPr>
          <w:color w:val="auto"/>
          <w:szCs w:val="21"/>
          <w:highlight w:val="none"/>
        </w:rPr>
      </w:pPr>
      <w:r>
        <w:rPr>
          <w:rFonts w:hint="eastAsia"/>
          <w:color w:val="auto"/>
          <w:szCs w:val="21"/>
          <w:highlight w:val="none"/>
        </w:rPr>
        <w:t>29</w:t>
      </w:r>
      <w:r>
        <w:rPr>
          <w:color w:val="auto"/>
          <w:szCs w:val="21"/>
          <w:highlight w:val="none"/>
        </w:rPr>
        <w:t>.4如发现响应单位有上述不正当竞争行为，将取消其</w:t>
      </w:r>
      <w:r>
        <w:rPr>
          <w:rFonts w:hint="eastAsia"/>
          <w:color w:val="auto"/>
          <w:szCs w:val="21"/>
          <w:highlight w:val="none"/>
        </w:rPr>
        <w:t>响应</w:t>
      </w:r>
      <w:r>
        <w:rPr>
          <w:color w:val="auto"/>
          <w:szCs w:val="21"/>
          <w:highlight w:val="none"/>
        </w:rPr>
        <w:t>资格或</w:t>
      </w:r>
      <w:r>
        <w:rPr>
          <w:rFonts w:hint="eastAsia"/>
          <w:color w:val="auto"/>
          <w:szCs w:val="21"/>
          <w:highlight w:val="none"/>
        </w:rPr>
        <w:t>成交</w:t>
      </w:r>
      <w:r>
        <w:rPr>
          <w:color w:val="auto"/>
          <w:szCs w:val="21"/>
          <w:highlight w:val="none"/>
        </w:rPr>
        <w:t>资格</w:t>
      </w:r>
      <w:r>
        <w:rPr>
          <w:rFonts w:hint="eastAsia"/>
          <w:color w:val="auto"/>
          <w:szCs w:val="21"/>
          <w:highlight w:val="none"/>
        </w:rPr>
        <w:t>，已进场开工的责令停工退场，赔偿公司的经济损失，列入中建路桥不合格协力队伍名录</w:t>
      </w:r>
      <w:r>
        <w:rPr>
          <w:color w:val="auto"/>
          <w:szCs w:val="21"/>
          <w:highlight w:val="none"/>
        </w:rPr>
        <w:t>。</w:t>
      </w:r>
      <w:r>
        <w:rPr>
          <w:rFonts w:hint="eastAsia"/>
          <w:color w:val="auto"/>
          <w:szCs w:val="21"/>
          <w:highlight w:val="none"/>
        </w:rPr>
        <w:t>同时，该响应单位及其法定代表人（负责人）无论用何种名义、重新注册公司或挂靠的任何单位永久不得参与中建路桥集团范围内组织的采购。</w:t>
      </w:r>
    </w:p>
    <w:p w14:paraId="4E544043">
      <w:pPr>
        <w:pStyle w:val="3"/>
        <w:spacing w:before="240" w:beforeLines="100" w:after="120" w:afterLines="50" w:line="360" w:lineRule="auto"/>
        <w:jc w:val="center"/>
        <w:rPr>
          <w:rStyle w:val="46"/>
          <w:rFonts w:hint="eastAsia" w:ascii="Times New Roman" w:hAnsi="宋体" w:eastAsia="宋体"/>
          <w:b/>
          <w:bCs w:val="0"/>
          <w:color w:val="auto"/>
          <w:sz w:val="28"/>
          <w:szCs w:val="28"/>
          <w:highlight w:val="none"/>
        </w:rPr>
      </w:pPr>
      <w:r>
        <w:rPr>
          <w:rStyle w:val="46"/>
          <w:rFonts w:ascii="Times New Roman" w:hAnsi="宋体" w:eastAsia="宋体"/>
          <w:b/>
          <w:bCs w:val="0"/>
          <w:color w:val="auto"/>
          <w:sz w:val="28"/>
          <w:szCs w:val="28"/>
          <w:highlight w:val="none"/>
        </w:rPr>
        <w:t>第</w:t>
      </w:r>
      <w:r>
        <w:rPr>
          <w:rStyle w:val="46"/>
          <w:rFonts w:hint="eastAsia" w:ascii="Times New Roman" w:hAnsi="宋体" w:eastAsia="宋体"/>
          <w:b/>
          <w:bCs w:val="0"/>
          <w:color w:val="auto"/>
          <w:sz w:val="28"/>
          <w:szCs w:val="28"/>
          <w:highlight w:val="none"/>
        </w:rPr>
        <w:t>七</w:t>
      </w:r>
      <w:r>
        <w:rPr>
          <w:rStyle w:val="46"/>
          <w:rFonts w:ascii="Times New Roman" w:hAnsi="宋体" w:eastAsia="宋体"/>
          <w:b/>
          <w:bCs w:val="0"/>
          <w:color w:val="auto"/>
          <w:sz w:val="28"/>
          <w:szCs w:val="28"/>
          <w:highlight w:val="none"/>
        </w:rPr>
        <w:t>章</w:t>
      </w:r>
      <w:r>
        <w:rPr>
          <w:rStyle w:val="46"/>
          <w:rFonts w:ascii="Times New Roman" w:hAnsi="Times New Roman" w:eastAsia="宋体"/>
          <w:b/>
          <w:bCs w:val="0"/>
          <w:color w:val="auto"/>
          <w:sz w:val="28"/>
          <w:szCs w:val="28"/>
          <w:highlight w:val="none"/>
        </w:rPr>
        <w:t xml:space="preserve">  </w:t>
      </w:r>
      <w:r>
        <w:rPr>
          <w:rStyle w:val="46"/>
          <w:rFonts w:hint="eastAsia" w:ascii="Times New Roman" w:hAnsi="宋体" w:eastAsia="宋体"/>
          <w:b/>
          <w:bCs w:val="0"/>
          <w:color w:val="auto"/>
          <w:sz w:val="28"/>
          <w:szCs w:val="28"/>
          <w:highlight w:val="none"/>
        </w:rPr>
        <w:t>重新采购和不再采购</w:t>
      </w:r>
    </w:p>
    <w:p w14:paraId="1132350A">
      <w:pPr>
        <w:pStyle w:val="53"/>
        <w:spacing w:before="120"/>
        <w:rPr>
          <w:rStyle w:val="46"/>
          <w:rFonts w:ascii="Times New Roman" w:hAnsi="Times New Roman" w:eastAsia="宋体" w:cs="Times New Roman"/>
          <w:b/>
          <w:bCs w:val="0"/>
          <w:color w:val="auto"/>
          <w:sz w:val="28"/>
          <w:szCs w:val="28"/>
          <w:highlight w:val="none"/>
        </w:rPr>
      </w:pPr>
      <w:r>
        <w:rPr>
          <w:rStyle w:val="46"/>
          <w:rFonts w:hint="eastAsia" w:ascii="Times New Roman" w:hAnsi="Times New Roman" w:eastAsia="宋体" w:cs="Times New Roman"/>
          <w:b/>
          <w:bCs w:val="0"/>
          <w:color w:val="auto"/>
          <w:sz w:val="28"/>
          <w:szCs w:val="28"/>
          <w:highlight w:val="none"/>
        </w:rPr>
        <w:t>30</w:t>
      </w:r>
      <w:r>
        <w:rPr>
          <w:rStyle w:val="46"/>
          <w:rFonts w:ascii="Times New Roman" w:hAnsi="Times New Roman" w:eastAsia="宋体" w:cs="Times New Roman"/>
          <w:b/>
          <w:bCs w:val="0"/>
          <w:color w:val="auto"/>
          <w:sz w:val="28"/>
          <w:szCs w:val="28"/>
          <w:highlight w:val="none"/>
        </w:rPr>
        <w:t>.</w:t>
      </w:r>
      <w:r>
        <w:rPr>
          <w:rStyle w:val="46"/>
          <w:rFonts w:hint="eastAsia" w:ascii="Times New Roman" w:hAnsi="Times New Roman" w:eastAsia="宋体" w:cs="Times New Roman"/>
          <w:b/>
          <w:bCs w:val="0"/>
          <w:color w:val="auto"/>
          <w:sz w:val="28"/>
          <w:szCs w:val="28"/>
          <w:highlight w:val="none"/>
        </w:rPr>
        <w:t>出现下列特殊情况之一，采购人可重新采购：</w:t>
      </w:r>
    </w:p>
    <w:p w14:paraId="4E298D49">
      <w:pPr>
        <w:spacing w:line="360" w:lineRule="auto"/>
        <w:rPr>
          <w:color w:val="auto"/>
          <w:szCs w:val="21"/>
          <w:highlight w:val="none"/>
        </w:rPr>
      </w:pPr>
      <w:r>
        <w:rPr>
          <w:rFonts w:hint="eastAsia"/>
          <w:color w:val="auto"/>
          <w:szCs w:val="21"/>
          <w:highlight w:val="none"/>
        </w:rPr>
        <w:t>（1）响应截止时间止，递交响应文件的响应单位少于三个的；</w:t>
      </w:r>
    </w:p>
    <w:p w14:paraId="2B1DFC64">
      <w:pPr>
        <w:spacing w:line="360" w:lineRule="auto"/>
        <w:rPr>
          <w:color w:val="auto"/>
          <w:szCs w:val="21"/>
          <w:highlight w:val="none"/>
        </w:rPr>
      </w:pPr>
      <w:r>
        <w:rPr>
          <w:color w:val="auto"/>
          <w:szCs w:val="21"/>
          <w:highlight w:val="none"/>
        </w:rPr>
        <w:t>（2）经评审</w:t>
      </w:r>
      <w:r>
        <w:rPr>
          <w:rFonts w:hint="eastAsia"/>
          <w:color w:val="auto"/>
          <w:szCs w:val="21"/>
          <w:highlight w:val="none"/>
        </w:rPr>
        <w:t>小组</w:t>
      </w:r>
      <w:r>
        <w:rPr>
          <w:color w:val="auto"/>
          <w:szCs w:val="21"/>
          <w:highlight w:val="none"/>
        </w:rPr>
        <w:t>否决全部</w:t>
      </w:r>
      <w:r>
        <w:rPr>
          <w:rFonts w:hint="eastAsia"/>
          <w:color w:val="auto"/>
          <w:szCs w:val="21"/>
          <w:highlight w:val="none"/>
        </w:rPr>
        <w:t>响应单位</w:t>
      </w:r>
      <w:r>
        <w:rPr>
          <w:color w:val="auto"/>
          <w:szCs w:val="21"/>
          <w:highlight w:val="none"/>
        </w:rPr>
        <w:t>的；</w:t>
      </w:r>
    </w:p>
    <w:p w14:paraId="38685E1F">
      <w:pPr>
        <w:spacing w:line="360" w:lineRule="auto"/>
        <w:rPr>
          <w:color w:val="auto"/>
          <w:szCs w:val="21"/>
          <w:highlight w:val="none"/>
        </w:rPr>
      </w:pPr>
      <w:r>
        <w:rPr>
          <w:color w:val="auto"/>
          <w:szCs w:val="21"/>
          <w:highlight w:val="none"/>
        </w:rPr>
        <w:t>（3）评审</w:t>
      </w:r>
      <w:r>
        <w:rPr>
          <w:rFonts w:hint="eastAsia"/>
          <w:color w:val="auto"/>
          <w:szCs w:val="21"/>
          <w:highlight w:val="none"/>
        </w:rPr>
        <w:t>小组</w:t>
      </w:r>
      <w:r>
        <w:rPr>
          <w:color w:val="auto"/>
          <w:szCs w:val="21"/>
          <w:highlight w:val="none"/>
        </w:rPr>
        <w:t>推荐的</w:t>
      </w:r>
      <w:r>
        <w:rPr>
          <w:rFonts w:hint="eastAsia"/>
          <w:color w:val="auto"/>
          <w:szCs w:val="21"/>
          <w:highlight w:val="none"/>
        </w:rPr>
        <w:t>成交</w:t>
      </w:r>
      <w:r>
        <w:rPr>
          <w:color w:val="auto"/>
          <w:szCs w:val="21"/>
          <w:highlight w:val="none"/>
        </w:rPr>
        <w:t>候选人均</w:t>
      </w:r>
      <w:r>
        <w:rPr>
          <w:rFonts w:hint="eastAsia"/>
          <w:color w:val="auto"/>
          <w:szCs w:val="21"/>
          <w:highlight w:val="none"/>
        </w:rPr>
        <w:t>未能与采购人签订合同协议书的；</w:t>
      </w:r>
    </w:p>
    <w:p w14:paraId="16EFA448">
      <w:pPr>
        <w:spacing w:line="360" w:lineRule="auto"/>
        <w:rPr>
          <w:color w:val="auto"/>
          <w:szCs w:val="21"/>
          <w:highlight w:val="none"/>
        </w:rPr>
      </w:pPr>
      <w:r>
        <w:rPr>
          <w:rFonts w:hint="eastAsia"/>
          <w:color w:val="auto"/>
          <w:szCs w:val="21"/>
          <w:highlight w:val="none"/>
        </w:rPr>
        <w:t>（4）超过半数的响应单位报价严重偏离成本价。</w:t>
      </w:r>
    </w:p>
    <w:p w14:paraId="027E098B">
      <w:pPr>
        <w:pStyle w:val="53"/>
        <w:spacing w:before="120"/>
        <w:rPr>
          <w:rStyle w:val="46"/>
          <w:rFonts w:ascii="Times New Roman" w:hAnsi="Times New Roman" w:eastAsia="宋体" w:cs="Times New Roman"/>
          <w:b/>
          <w:bCs w:val="0"/>
          <w:color w:val="auto"/>
          <w:sz w:val="28"/>
          <w:szCs w:val="28"/>
          <w:highlight w:val="none"/>
        </w:rPr>
      </w:pPr>
      <w:r>
        <w:rPr>
          <w:rStyle w:val="46"/>
          <w:rFonts w:hint="eastAsia" w:ascii="Times New Roman" w:hAnsi="Times New Roman" w:eastAsia="宋体" w:cs="Times New Roman"/>
          <w:b/>
          <w:bCs w:val="0"/>
          <w:color w:val="auto"/>
          <w:sz w:val="28"/>
          <w:szCs w:val="28"/>
          <w:highlight w:val="none"/>
        </w:rPr>
        <w:t>31.不再采购</w:t>
      </w:r>
    </w:p>
    <w:p w14:paraId="3840D37E">
      <w:pPr>
        <w:spacing w:line="360" w:lineRule="auto"/>
        <w:rPr>
          <w:color w:val="auto"/>
          <w:szCs w:val="21"/>
          <w:highlight w:val="none"/>
        </w:rPr>
      </w:pPr>
      <w:r>
        <w:rPr>
          <w:rFonts w:hint="eastAsia"/>
          <w:color w:val="auto"/>
          <w:szCs w:val="21"/>
          <w:highlight w:val="none"/>
        </w:rPr>
        <w:t>重新采购后响应单位仍出现30条中的情况，采购人可选择不再进行采购。</w:t>
      </w:r>
    </w:p>
    <w:p w14:paraId="29FE52E2">
      <w:pPr>
        <w:spacing w:line="360" w:lineRule="auto"/>
        <w:ind w:left="516" w:leftChars="33" w:hanging="447" w:hangingChars="213"/>
        <w:rPr>
          <w:color w:val="auto"/>
          <w:szCs w:val="21"/>
          <w:highlight w:val="none"/>
        </w:rPr>
      </w:pPr>
    </w:p>
    <w:p w14:paraId="1CBE64DF">
      <w:pPr>
        <w:spacing w:line="360" w:lineRule="auto"/>
        <w:ind w:left="516" w:leftChars="33" w:hanging="447" w:hangingChars="213"/>
        <w:rPr>
          <w:color w:val="auto"/>
          <w:szCs w:val="21"/>
          <w:highlight w:val="none"/>
        </w:rPr>
      </w:pPr>
    </w:p>
    <w:p w14:paraId="703DE020">
      <w:pPr>
        <w:spacing w:line="360" w:lineRule="auto"/>
        <w:ind w:left="516" w:leftChars="33" w:hanging="447" w:hangingChars="213"/>
        <w:rPr>
          <w:color w:val="auto"/>
          <w:szCs w:val="21"/>
          <w:highlight w:val="none"/>
        </w:rPr>
        <w:sectPr>
          <w:headerReference r:id="rId8" w:type="default"/>
          <w:footerReference r:id="rId9" w:type="default"/>
          <w:pgSz w:w="11907" w:h="16840"/>
          <w:pgMar w:top="1417" w:right="1701" w:bottom="1417" w:left="1701" w:header="850" w:footer="1134" w:gutter="0"/>
          <w:pgNumType w:fmt="decimal"/>
          <w:cols w:space="0" w:num="1"/>
          <w:rtlGutter w:val="0"/>
          <w:docGrid w:linePitch="312" w:charSpace="0"/>
        </w:sectPr>
      </w:pPr>
    </w:p>
    <w:p w14:paraId="126E0286">
      <w:pPr>
        <w:pStyle w:val="2"/>
        <w:rPr>
          <w:color w:val="auto"/>
          <w:highlight w:val="none"/>
        </w:rPr>
      </w:pPr>
      <w:bookmarkStart w:id="526" w:name="_Toc144872124"/>
      <w:bookmarkStart w:id="527" w:name="_Toc54281140"/>
      <w:bookmarkStart w:id="528" w:name="_Toc53948684"/>
      <w:bookmarkStart w:id="529" w:name="_Toc53949526"/>
      <w:bookmarkStart w:id="530" w:name="_Toc54280714"/>
      <w:bookmarkStart w:id="531" w:name="_Toc53949105"/>
      <w:bookmarkStart w:id="532" w:name="_Toc53946129"/>
      <w:bookmarkStart w:id="533" w:name="_Toc145499778"/>
      <w:bookmarkStart w:id="534" w:name="_Toc54291470"/>
      <w:bookmarkStart w:id="535" w:name="_Toc54280288"/>
      <w:bookmarkStart w:id="536" w:name="_Toc54281566"/>
      <w:bookmarkStart w:id="537" w:name="_Toc54278905"/>
      <w:bookmarkStart w:id="538" w:name="_Toc18407865"/>
      <w:r>
        <w:rPr>
          <w:rFonts w:hint="eastAsia"/>
          <w:color w:val="auto"/>
          <w:highlight w:val="none"/>
        </w:rPr>
        <w:t>第三篇  分包合同条款</w:t>
      </w:r>
    </w:p>
    <w:p w14:paraId="55C53CFD">
      <w:pPr>
        <w:widowControl/>
        <w:jc w:val="center"/>
        <w:rPr>
          <w:rFonts w:hint="eastAsia"/>
          <w:color w:val="auto"/>
          <w:highlight w:val="none"/>
        </w:rPr>
      </w:pPr>
      <w:bookmarkStart w:id="539" w:name="_Toc145426864"/>
      <w:bookmarkStart w:id="540" w:name="_Toc144872120"/>
      <w:bookmarkStart w:id="541" w:name="_Toc54291466"/>
      <w:bookmarkStart w:id="542" w:name="_Toc145499774"/>
      <w:bookmarkStart w:id="543" w:name="_Toc53948680"/>
      <w:bookmarkStart w:id="544" w:name="_Toc53939924"/>
      <w:bookmarkStart w:id="545" w:name="_Toc54281136"/>
      <w:bookmarkStart w:id="546" w:name="_Toc53949101"/>
      <w:bookmarkStart w:id="547" w:name="_Toc54280710"/>
      <w:bookmarkStart w:id="548" w:name="_Toc54281562"/>
      <w:bookmarkStart w:id="549" w:name="_Toc53949522"/>
      <w:bookmarkStart w:id="550" w:name="_Toc54278901"/>
      <w:bookmarkStart w:id="551" w:name="_Toc53946125"/>
      <w:bookmarkStart w:id="552" w:name="_Toc54280284"/>
    </w:p>
    <w:p w14:paraId="69C8C926">
      <w:pPr>
        <w:widowControl/>
        <w:jc w:val="center"/>
        <w:rPr>
          <w:rFonts w:hint="eastAsia"/>
          <w:color w:val="auto"/>
          <w:highlight w:val="none"/>
        </w:rPr>
      </w:pPr>
    </w:p>
    <w:p w14:paraId="72EDD70E">
      <w:pPr>
        <w:kinsoku w:val="0"/>
        <w:spacing w:line="360" w:lineRule="auto"/>
        <w:ind w:left="4095" w:leftChars="1950"/>
        <w:rPr>
          <w:rFonts w:eastAsia="仿宋_GB2312"/>
          <w:bCs/>
          <w:color w:val="auto"/>
          <w:sz w:val="28"/>
          <w:szCs w:val="28"/>
          <w:highlight w:val="none"/>
          <w:u w:val="single"/>
          <w:lang w:eastAsia="zh-CN"/>
        </w:rPr>
      </w:pPr>
      <w:bookmarkStart w:id="553" w:name="_Hlk126831517"/>
      <w:r>
        <w:rPr>
          <w:rFonts w:hint="eastAsia" w:eastAsia="仿宋_GB2312"/>
          <w:bCs/>
          <w:color w:val="auto"/>
          <w:sz w:val="28"/>
          <w:szCs w:val="28"/>
          <w:highlight w:val="none"/>
          <w:lang w:eastAsia="zh-CN"/>
        </w:rPr>
        <w:t>合同编号：</w:t>
      </w:r>
      <w:r>
        <w:rPr>
          <w:rFonts w:eastAsia="仿宋_GB2312"/>
          <w:bCs/>
          <w:color w:val="auto"/>
          <w:sz w:val="28"/>
          <w:szCs w:val="28"/>
          <w:highlight w:val="none"/>
          <w:u w:val="single"/>
          <w:lang w:eastAsia="zh-CN"/>
        </w:rPr>
        <w:t xml:space="preserve"> </w:t>
      </w:r>
      <w:r>
        <w:rPr>
          <w:rFonts w:hint="eastAsia" w:eastAsia="仿宋_GB2312"/>
          <w:bCs/>
          <w:color w:val="auto"/>
          <w:sz w:val="28"/>
          <w:szCs w:val="28"/>
          <w:highlight w:val="none"/>
          <w:u w:val="single"/>
          <w:lang w:eastAsia="zh-CN"/>
        </w:rPr>
        <w:t>ZJLQ-FB-项目简称-00×/B0×</w:t>
      </w:r>
      <w:r>
        <w:rPr>
          <w:rFonts w:eastAsia="仿宋_GB2312"/>
          <w:bCs/>
          <w:color w:val="auto"/>
          <w:sz w:val="28"/>
          <w:szCs w:val="28"/>
          <w:highlight w:val="none"/>
          <w:u w:val="single"/>
          <w:lang w:eastAsia="zh-CN"/>
        </w:rPr>
        <w:t xml:space="preserve"> </w:t>
      </w:r>
    </w:p>
    <w:p w14:paraId="2BE958E0">
      <w:pPr>
        <w:kinsoku w:val="0"/>
        <w:spacing w:line="360" w:lineRule="auto"/>
        <w:rPr>
          <w:color w:val="auto"/>
          <w:highlight w:val="none"/>
          <w:lang w:eastAsia="zh-CN"/>
        </w:rPr>
      </w:pPr>
    </w:p>
    <w:p w14:paraId="0314A3D8">
      <w:pPr>
        <w:pStyle w:val="11"/>
        <w:kinsoku w:val="0"/>
        <w:rPr>
          <w:color w:val="auto"/>
          <w:highlight w:val="none"/>
        </w:rPr>
      </w:pPr>
    </w:p>
    <w:p w14:paraId="2413E425">
      <w:pPr>
        <w:kinsoku w:val="0"/>
        <w:spacing w:line="360" w:lineRule="auto"/>
        <w:jc w:val="center"/>
        <w:rPr>
          <w:rFonts w:eastAsia="华文中宋"/>
          <w:b/>
          <w:color w:val="auto"/>
          <w:sz w:val="56"/>
          <w:szCs w:val="48"/>
          <w:highlight w:val="none"/>
          <w:lang w:eastAsia="zh-CN"/>
        </w:rPr>
      </w:pPr>
      <w:r>
        <w:rPr>
          <w:rFonts w:hint="eastAsia" w:eastAsia="华文中宋"/>
          <w:b/>
          <w:color w:val="auto"/>
          <w:sz w:val="56"/>
          <w:szCs w:val="48"/>
          <w:highlight w:val="none"/>
          <w:lang w:eastAsia="zh-CN"/>
        </w:rPr>
        <w:t>建设工程施工劳务分包合同</w:t>
      </w:r>
    </w:p>
    <w:p w14:paraId="1D899A20">
      <w:pPr>
        <w:kinsoku w:val="0"/>
        <w:spacing w:line="360" w:lineRule="auto"/>
        <w:jc w:val="center"/>
        <w:rPr>
          <w:rFonts w:eastAsia="华文中宋"/>
          <w:b/>
          <w:color w:val="auto"/>
          <w:sz w:val="56"/>
          <w:szCs w:val="48"/>
          <w:highlight w:val="none"/>
          <w:lang w:eastAsia="zh-CN"/>
        </w:rPr>
      </w:pPr>
      <w:r>
        <w:rPr>
          <w:rFonts w:hint="eastAsia" w:eastAsia="华文中宋"/>
          <w:b/>
          <w:color w:val="auto"/>
          <w:sz w:val="56"/>
          <w:szCs w:val="48"/>
          <w:highlight w:val="none"/>
          <w:lang w:eastAsia="zh-CN"/>
        </w:rPr>
        <w:t>（</w:t>
      </w:r>
      <w:r>
        <w:rPr>
          <w:rFonts w:hint="eastAsia" w:eastAsia="华文中宋"/>
          <w:b/>
          <w:color w:val="auto"/>
          <w:sz w:val="56"/>
          <w:szCs w:val="48"/>
          <w:highlight w:val="none"/>
          <w:lang w:val="en-US" w:eastAsia="zh-CN"/>
        </w:rPr>
        <w:t>钢板桩施工</w:t>
      </w:r>
      <w:r>
        <w:rPr>
          <w:rFonts w:hint="eastAsia" w:eastAsia="华文中宋"/>
          <w:b/>
          <w:color w:val="auto"/>
          <w:sz w:val="56"/>
          <w:szCs w:val="48"/>
          <w:highlight w:val="none"/>
          <w:lang w:eastAsia="zh-CN"/>
        </w:rPr>
        <w:t>）</w:t>
      </w:r>
    </w:p>
    <w:p w14:paraId="211054A0">
      <w:pPr>
        <w:kinsoku w:val="0"/>
        <w:spacing w:line="360" w:lineRule="auto"/>
        <w:jc w:val="center"/>
        <w:rPr>
          <w:rFonts w:hint="eastAsia" w:ascii="宋体" w:hAnsi="宋体" w:cs="宋体"/>
          <w:b/>
          <w:color w:val="auto"/>
          <w:sz w:val="28"/>
          <w:szCs w:val="28"/>
          <w:highlight w:val="none"/>
          <w:lang w:eastAsia="zh-CN"/>
        </w:rPr>
      </w:pPr>
      <w:r>
        <w:rPr>
          <w:color w:val="auto"/>
          <w:highlight w:val="none"/>
        </w:rPr>
        <w:drawing>
          <wp:anchor distT="0" distB="0" distL="114300" distR="114300" simplePos="0" relativeHeight="251659264" behindDoc="1" locked="0" layoutInCell="1" allowOverlap="1">
            <wp:simplePos x="0" y="0"/>
            <wp:positionH relativeFrom="column">
              <wp:posOffset>2232025</wp:posOffset>
            </wp:positionH>
            <wp:positionV relativeFrom="paragraph">
              <wp:posOffset>329565</wp:posOffset>
            </wp:positionV>
            <wp:extent cx="1685925" cy="2352675"/>
            <wp:effectExtent l="0" t="0" r="3175" b="9525"/>
            <wp:wrapNone/>
            <wp:docPr id="6" name="图片 3" descr="说明: 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说明: 图片1"/>
                    <pic:cNvPicPr>
                      <a:picLocks noChangeAspect="1"/>
                    </pic:cNvPicPr>
                  </pic:nvPicPr>
                  <pic:blipFill>
                    <a:blip r:embed="rId17">
                      <a:clrChange>
                        <a:clrFrom>
                          <a:srgbClr val="FEFEFC"/>
                        </a:clrFrom>
                        <a:clrTo>
                          <a:srgbClr val="FEFEFC">
                            <a:alpha val="0"/>
                          </a:srgbClr>
                        </a:clrTo>
                      </a:clrChange>
                    </a:blip>
                    <a:stretch>
                      <a:fillRect/>
                    </a:stretch>
                  </pic:blipFill>
                  <pic:spPr>
                    <a:xfrm>
                      <a:off x="0" y="0"/>
                      <a:ext cx="1685925" cy="2352675"/>
                    </a:xfrm>
                    <a:prstGeom prst="rect">
                      <a:avLst/>
                    </a:prstGeom>
                    <a:noFill/>
                    <a:ln>
                      <a:noFill/>
                    </a:ln>
                  </pic:spPr>
                </pic:pic>
              </a:graphicData>
            </a:graphic>
          </wp:anchor>
        </w:drawing>
      </w:r>
    </w:p>
    <w:p w14:paraId="3B66098D">
      <w:pPr>
        <w:kinsoku w:val="0"/>
        <w:spacing w:line="360" w:lineRule="auto"/>
        <w:jc w:val="center"/>
        <w:rPr>
          <w:rFonts w:hint="eastAsia" w:ascii="宋体" w:hAnsi="宋体" w:cs="宋体"/>
          <w:b/>
          <w:color w:val="auto"/>
          <w:sz w:val="28"/>
          <w:szCs w:val="28"/>
          <w:highlight w:val="none"/>
          <w:lang w:eastAsia="zh-CN"/>
        </w:rPr>
      </w:pPr>
    </w:p>
    <w:p w14:paraId="656CD135">
      <w:pPr>
        <w:kinsoku w:val="0"/>
        <w:spacing w:line="360" w:lineRule="auto"/>
        <w:jc w:val="center"/>
        <w:rPr>
          <w:rFonts w:hint="eastAsia" w:ascii="宋体" w:hAnsi="宋体" w:cs="宋体"/>
          <w:b/>
          <w:color w:val="auto"/>
          <w:sz w:val="28"/>
          <w:szCs w:val="28"/>
          <w:highlight w:val="none"/>
          <w:lang w:eastAsia="zh-CN"/>
        </w:rPr>
      </w:pPr>
    </w:p>
    <w:p w14:paraId="2A26976A">
      <w:pPr>
        <w:kinsoku w:val="0"/>
        <w:spacing w:line="360" w:lineRule="auto"/>
        <w:jc w:val="center"/>
        <w:rPr>
          <w:rFonts w:hint="eastAsia" w:ascii="宋体" w:hAnsi="宋体" w:cs="宋体"/>
          <w:b/>
          <w:color w:val="auto"/>
          <w:sz w:val="28"/>
          <w:szCs w:val="28"/>
          <w:highlight w:val="none"/>
          <w:lang w:eastAsia="zh-CN"/>
        </w:rPr>
      </w:pPr>
    </w:p>
    <w:bookmarkEnd w:id="553"/>
    <w:p w14:paraId="59A20B50">
      <w:pPr>
        <w:pStyle w:val="11"/>
        <w:kinsoku w:val="0"/>
        <w:rPr>
          <w:color w:val="auto"/>
          <w:highlight w:val="none"/>
        </w:rPr>
      </w:pPr>
    </w:p>
    <w:p w14:paraId="057F3F45">
      <w:pPr>
        <w:kinsoku w:val="0"/>
        <w:rPr>
          <w:color w:val="auto"/>
          <w:highlight w:val="none"/>
          <w:lang w:eastAsia="zh-CN"/>
        </w:rPr>
      </w:pPr>
    </w:p>
    <w:p w14:paraId="77208F19">
      <w:pPr>
        <w:kinsoku w:val="0"/>
        <w:spacing w:line="360" w:lineRule="auto"/>
        <w:ind w:firstLine="562" w:firstLineChars="200"/>
        <w:rPr>
          <w:rFonts w:hint="eastAsia" w:ascii="仿宋_GB2312" w:hAnsi="仿宋_GB2312" w:eastAsia="仿宋_GB2312" w:cs="仿宋_GB2312"/>
          <w:b/>
          <w:bCs/>
          <w:color w:val="auto"/>
          <w:sz w:val="28"/>
          <w:szCs w:val="28"/>
          <w:highlight w:val="none"/>
          <w:lang w:eastAsia="zh-CN"/>
        </w:rPr>
      </w:pPr>
    </w:p>
    <w:p w14:paraId="67B96B7D">
      <w:pPr>
        <w:kinsoku w:val="0"/>
        <w:spacing w:line="360" w:lineRule="auto"/>
        <w:ind w:firstLine="562" w:firstLineChars="200"/>
        <w:jc w:val="center"/>
        <w:rPr>
          <w:rFonts w:hint="eastAsia" w:ascii="仿宋_GB2312" w:hAnsi="仿宋_GB2312" w:eastAsia="仿宋_GB2312" w:cs="仿宋_GB2312"/>
          <w:b/>
          <w:bCs/>
          <w:color w:val="auto"/>
          <w:sz w:val="28"/>
          <w:szCs w:val="28"/>
          <w:highlight w:val="none"/>
          <w:lang w:eastAsia="zh-CN"/>
        </w:rPr>
      </w:pPr>
      <w:r>
        <w:rPr>
          <w:rFonts w:hint="eastAsia" w:ascii="仿宋_GB2312" w:hAnsi="仿宋_GB2312" w:eastAsia="仿宋_GB2312" w:cs="仿宋_GB2312"/>
          <w:b/>
          <w:bCs/>
          <w:color w:val="auto"/>
          <w:sz w:val="28"/>
          <w:szCs w:val="28"/>
          <w:highlight w:val="none"/>
          <w:lang w:eastAsia="zh-CN"/>
        </w:rPr>
        <w:t>工程名称：【                                  】</w:t>
      </w:r>
    </w:p>
    <w:p w14:paraId="21DAF133">
      <w:pPr>
        <w:kinsoku w:val="0"/>
        <w:spacing w:line="360" w:lineRule="auto"/>
        <w:ind w:firstLine="562" w:firstLineChars="200"/>
        <w:jc w:val="center"/>
        <w:rPr>
          <w:rFonts w:hint="eastAsia" w:ascii="仿宋_GB2312" w:hAnsi="仿宋_GB2312" w:eastAsia="仿宋_GB2312" w:cs="仿宋_GB2312"/>
          <w:b/>
          <w:bCs/>
          <w:color w:val="auto"/>
          <w:sz w:val="28"/>
          <w:szCs w:val="28"/>
          <w:highlight w:val="none"/>
          <w:lang w:eastAsia="zh-CN"/>
        </w:rPr>
      </w:pPr>
      <w:r>
        <w:rPr>
          <w:rFonts w:hint="eastAsia" w:ascii="仿宋_GB2312" w:hAnsi="仿宋_GB2312" w:eastAsia="仿宋_GB2312" w:cs="仿宋_GB2312"/>
          <w:b/>
          <w:bCs/>
          <w:color w:val="auto"/>
          <w:sz w:val="28"/>
          <w:szCs w:val="28"/>
          <w:highlight w:val="none"/>
          <w:lang w:eastAsia="zh-CN"/>
        </w:rPr>
        <w:t>甲    方：【                                  】</w:t>
      </w:r>
    </w:p>
    <w:p w14:paraId="1BBA2EC0">
      <w:pPr>
        <w:kinsoku w:val="0"/>
        <w:spacing w:line="360" w:lineRule="auto"/>
        <w:ind w:firstLine="562" w:firstLineChars="200"/>
        <w:jc w:val="center"/>
        <w:rPr>
          <w:rFonts w:hint="eastAsia" w:ascii="仿宋_GB2312" w:hAnsi="仿宋_GB2312" w:eastAsia="仿宋_GB2312" w:cs="仿宋_GB2312"/>
          <w:b/>
          <w:bCs/>
          <w:color w:val="auto"/>
          <w:sz w:val="28"/>
          <w:szCs w:val="28"/>
          <w:highlight w:val="none"/>
          <w:lang w:eastAsia="zh-CN"/>
        </w:rPr>
      </w:pPr>
      <w:r>
        <w:rPr>
          <w:rFonts w:hint="eastAsia" w:ascii="仿宋_GB2312" w:hAnsi="仿宋_GB2312" w:eastAsia="仿宋_GB2312" w:cs="仿宋_GB2312"/>
          <w:b/>
          <w:bCs/>
          <w:color w:val="auto"/>
          <w:sz w:val="28"/>
          <w:szCs w:val="28"/>
          <w:highlight w:val="none"/>
          <w:lang w:eastAsia="zh-CN"/>
        </w:rPr>
        <w:t>乙    方：【                                  】</w:t>
      </w:r>
    </w:p>
    <w:p w14:paraId="0A657346">
      <w:pPr>
        <w:kinsoku w:val="0"/>
        <w:spacing w:line="360" w:lineRule="auto"/>
        <w:ind w:firstLine="562" w:firstLineChars="200"/>
        <w:jc w:val="center"/>
        <w:rPr>
          <w:rFonts w:hint="eastAsia" w:ascii="仿宋_GB2312" w:hAnsi="仿宋_GB2312" w:eastAsia="仿宋_GB2312" w:cs="仿宋_GB2312"/>
          <w:b/>
          <w:bCs/>
          <w:color w:val="auto"/>
          <w:sz w:val="28"/>
          <w:szCs w:val="28"/>
          <w:highlight w:val="none"/>
          <w:lang w:eastAsia="zh-CN"/>
        </w:rPr>
      </w:pPr>
      <w:r>
        <w:rPr>
          <w:rFonts w:hint="eastAsia" w:ascii="仿宋_GB2312" w:hAnsi="仿宋_GB2312" w:eastAsia="仿宋_GB2312" w:cs="仿宋_GB2312"/>
          <w:b/>
          <w:bCs/>
          <w:color w:val="auto"/>
          <w:sz w:val="28"/>
          <w:szCs w:val="28"/>
          <w:highlight w:val="none"/>
          <w:lang w:eastAsia="zh-CN"/>
        </w:rPr>
        <w:t>签订时间：【                                  】</w:t>
      </w:r>
    </w:p>
    <w:p w14:paraId="63DDF484">
      <w:pPr>
        <w:kinsoku w:val="0"/>
        <w:spacing w:line="360" w:lineRule="auto"/>
        <w:ind w:firstLine="562" w:firstLineChars="200"/>
        <w:jc w:val="center"/>
        <w:rPr>
          <w:rFonts w:hint="eastAsia" w:ascii="仿宋_GB2312" w:hAnsi="仿宋_GB2312" w:eastAsia="仿宋_GB2312" w:cs="仿宋_GB2312"/>
          <w:b/>
          <w:bCs/>
          <w:color w:val="auto"/>
          <w:sz w:val="28"/>
          <w:szCs w:val="28"/>
          <w:highlight w:val="none"/>
          <w:lang w:eastAsia="zh-CN"/>
        </w:rPr>
      </w:pPr>
      <w:r>
        <w:rPr>
          <w:rFonts w:hint="eastAsia" w:ascii="仿宋_GB2312" w:hAnsi="仿宋_GB2312" w:eastAsia="仿宋_GB2312" w:cs="仿宋_GB2312"/>
          <w:b/>
          <w:bCs/>
          <w:color w:val="auto"/>
          <w:sz w:val="28"/>
          <w:szCs w:val="28"/>
          <w:highlight w:val="none"/>
          <w:lang w:eastAsia="zh-CN"/>
        </w:rPr>
        <w:t>签订地点：【                                  】</w:t>
      </w:r>
    </w:p>
    <w:p w14:paraId="064358C3">
      <w:pPr>
        <w:kinsoku w:val="0"/>
        <w:spacing w:after="0" w:line="360" w:lineRule="auto"/>
        <w:rPr>
          <w:rFonts w:hint="eastAsia" w:ascii="宋体" w:hAnsi="宋体"/>
          <w:b/>
          <w:color w:val="auto"/>
          <w:sz w:val="24"/>
          <w:highlight w:val="none"/>
          <w:lang w:eastAsia="zh-CN"/>
        </w:rPr>
        <w:sectPr>
          <w:headerReference r:id="rId10" w:type="default"/>
          <w:pgSz w:w="11906" w:h="16838"/>
          <w:pgMar w:top="1134" w:right="1134" w:bottom="1134" w:left="1134" w:header="851" w:footer="851" w:gutter="0"/>
          <w:pgNumType w:start="1"/>
          <w:cols w:space="720" w:num="1"/>
          <w:docGrid w:type="lines" w:linePitch="312" w:charSpace="0"/>
        </w:sectPr>
      </w:pPr>
    </w:p>
    <w:p w14:paraId="4E38A3C7">
      <w:pPr>
        <w:kinsoku w:val="0"/>
        <w:spacing w:after="0" w:line="240" w:lineRule="auto"/>
        <w:jc w:val="center"/>
        <w:rPr>
          <w:b/>
          <w:bCs/>
          <w:color w:val="auto"/>
          <w:sz w:val="28"/>
          <w:szCs w:val="28"/>
          <w:highlight w:val="none"/>
        </w:rPr>
      </w:pPr>
      <w:bookmarkStart w:id="554" w:name="_Toc101366173"/>
      <w:bookmarkEnd w:id="554"/>
      <w:bookmarkStart w:id="555" w:name="_Toc101366172"/>
      <w:bookmarkEnd w:id="555"/>
      <w:bookmarkStart w:id="556" w:name="_Toc101366113"/>
      <w:bookmarkEnd w:id="556"/>
      <w:bookmarkStart w:id="557" w:name="_Toc101366175"/>
      <w:bookmarkEnd w:id="557"/>
      <w:bookmarkStart w:id="558" w:name="_Toc101366174"/>
      <w:bookmarkEnd w:id="558"/>
      <w:bookmarkStart w:id="559" w:name="_Toc7729"/>
      <w:bookmarkStart w:id="560" w:name="_Toc31674"/>
      <w:bookmarkStart w:id="561" w:name="_Toc5634"/>
      <w:bookmarkStart w:id="562" w:name="_Toc11545"/>
      <w:bookmarkStart w:id="563" w:name="_Toc18667"/>
      <w:bookmarkStart w:id="564" w:name="_Toc24018"/>
      <w:bookmarkStart w:id="565" w:name="_Toc18608"/>
      <w:bookmarkStart w:id="566" w:name="_Toc26360"/>
      <w:bookmarkStart w:id="567" w:name="_Toc12082"/>
      <w:bookmarkStart w:id="568" w:name="_Toc4732"/>
      <w:bookmarkStart w:id="569" w:name="_Toc14093"/>
      <w:bookmarkStart w:id="570" w:name="_Toc101963469"/>
      <w:bookmarkStart w:id="571" w:name="_Toc9357"/>
      <w:bookmarkStart w:id="572" w:name="_Toc101357393"/>
      <w:bookmarkStart w:id="573" w:name="_Toc3002"/>
      <w:bookmarkStart w:id="574" w:name="_Toc12456"/>
      <w:r>
        <w:rPr>
          <w:rFonts w:hint="eastAsia" w:ascii="宋体" w:hAnsi="宋体"/>
          <w:b/>
          <w:bCs/>
          <w:color w:val="auto"/>
          <w:sz w:val="28"/>
          <w:szCs w:val="28"/>
          <w:highlight w:val="none"/>
        </w:rPr>
        <w:t>目录</w:t>
      </w:r>
    </w:p>
    <w:p w14:paraId="23D341A7">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rFonts w:ascii="宋体" w:hAnsi="宋体"/>
          <w:color w:val="auto"/>
          <w:sz w:val="21"/>
          <w:szCs w:val="21"/>
          <w:highlight w:val="none"/>
        </w:rPr>
        <w:fldChar w:fldCharType="begin"/>
      </w:r>
      <w:r>
        <w:rPr>
          <w:rFonts w:hint="eastAsia" w:ascii="宋体" w:hAnsi="宋体" w:cs="宋体"/>
          <w:color w:val="auto"/>
          <w:sz w:val="21"/>
          <w:szCs w:val="21"/>
          <w:highlight w:val="none"/>
        </w:rPr>
        <w:instrText xml:space="preserve">TOC \o "1-2" \h \u </w:instrText>
      </w:r>
      <w:r>
        <w:rPr>
          <w:rFonts w:ascii="宋体" w:hAnsi="宋体"/>
          <w:color w:val="auto"/>
          <w:sz w:val="21"/>
          <w:szCs w:val="21"/>
          <w:highlight w:val="none"/>
        </w:rPr>
        <w:fldChar w:fldCharType="separate"/>
      </w:r>
      <w:r>
        <w:rPr>
          <w:color w:val="auto"/>
          <w:highlight w:val="none"/>
        </w:rPr>
        <w:fldChar w:fldCharType="begin"/>
      </w:r>
      <w:r>
        <w:rPr>
          <w:color w:val="auto"/>
          <w:highlight w:val="none"/>
        </w:rPr>
        <w:instrText xml:space="preserve"> HYPERLINK \l "_Toc175764407" </w:instrText>
      </w:r>
      <w:r>
        <w:rPr>
          <w:color w:val="auto"/>
          <w:highlight w:val="none"/>
        </w:rPr>
        <w:fldChar w:fldCharType="separate"/>
      </w:r>
      <w:r>
        <w:rPr>
          <w:rStyle w:val="37"/>
          <w:rFonts w:hint="eastAsia" w:ascii="宋体" w:hAnsi="宋体"/>
          <w:color w:val="auto"/>
          <w:sz w:val="21"/>
          <w:szCs w:val="21"/>
          <w:highlight w:val="none"/>
          <w:lang w:eastAsia="zh-CN"/>
        </w:rPr>
        <w:t>第一部分 合同协议书</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_Toc175764407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07F8448A">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"_Toc175764408" </w:instrText>
      </w:r>
      <w:r>
        <w:rPr>
          <w:color w:val="auto"/>
          <w:highlight w:val="none"/>
        </w:rPr>
        <w:fldChar w:fldCharType="separate"/>
      </w:r>
      <w:r>
        <w:rPr>
          <w:rStyle w:val="37"/>
          <w:rFonts w:hint="eastAsia" w:cs="宋体"/>
          <w:color w:val="auto"/>
          <w:sz w:val="21"/>
          <w:szCs w:val="21"/>
          <w:highlight w:val="none"/>
        </w:rPr>
        <w:t>1</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分包</w:t>
      </w:r>
      <w:r>
        <w:rPr>
          <w:rStyle w:val="37"/>
          <w:rFonts w:hint="eastAsia" w:cs="宋体"/>
          <w:color w:val="auto"/>
          <w:sz w:val="21"/>
          <w:szCs w:val="21"/>
          <w:highlight w:val="none"/>
        </w:rPr>
        <w:t>工程概况</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_Toc175764408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1</w:t>
      </w:r>
      <w:r>
        <w:rPr>
          <w:rFonts w:hint="eastAsia"/>
          <w:color w:val="auto"/>
          <w:sz w:val="21"/>
          <w:szCs w:val="21"/>
          <w:highlight w:val="none"/>
        </w:rPr>
        <w:fldChar w:fldCharType="end"/>
      </w:r>
      <w:r>
        <w:rPr>
          <w:rFonts w:hint="eastAsia"/>
          <w:color w:val="auto"/>
          <w:sz w:val="21"/>
          <w:szCs w:val="21"/>
          <w:highlight w:val="none"/>
        </w:rPr>
        <w:fldChar w:fldCharType="end"/>
      </w:r>
    </w:p>
    <w:p w14:paraId="02A73F29">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"_Toc175764409" </w:instrText>
      </w:r>
      <w:r>
        <w:rPr>
          <w:color w:val="auto"/>
          <w:highlight w:val="none"/>
        </w:rPr>
        <w:fldChar w:fldCharType="separate"/>
      </w:r>
      <w:r>
        <w:rPr>
          <w:rStyle w:val="37"/>
          <w:rFonts w:hint="eastAsia" w:cs="宋体"/>
          <w:color w:val="auto"/>
          <w:sz w:val="21"/>
          <w:szCs w:val="21"/>
          <w:highlight w:val="none"/>
        </w:rPr>
        <w:t>2</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合同工期</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_Toc175764409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1</w:t>
      </w:r>
      <w:r>
        <w:rPr>
          <w:rFonts w:hint="eastAsia"/>
          <w:color w:val="auto"/>
          <w:sz w:val="21"/>
          <w:szCs w:val="21"/>
          <w:highlight w:val="none"/>
        </w:rPr>
        <w:fldChar w:fldCharType="end"/>
      </w:r>
      <w:r>
        <w:rPr>
          <w:rFonts w:hint="eastAsia"/>
          <w:color w:val="auto"/>
          <w:sz w:val="21"/>
          <w:szCs w:val="21"/>
          <w:highlight w:val="none"/>
        </w:rPr>
        <w:fldChar w:fldCharType="end"/>
      </w:r>
    </w:p>
    <w:p w14:paraId="7343EF79">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"_Toc175764410" </w:instrText>
      </w:r>
      <w:r>
        <w:rPr>
          <w:color w:val="auto"/>
          <w:highlight w:val="none"/>
        </w:rPr>
        <w:fldChar w:fldCharType="separate"/>
      </w:r>
      <w:r>
        <w:rPr>
          <w:rStyle w:val="37"/>
          <w:rFonts w:hint="eastAsia" w:cs="宋体"/>
          <w:color w:val="auto"/>
          <w:sz w:val="21"/>
          <w:szCs w:val="21"/>
          <w:highlight w:val="none"/>
        </w:rPr>
        <w:t>3</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质量标准</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_Toc175764410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1</w:t>
      </w:r>
      <w:r>
        <w:rPr>
          <w:rFonts w:hint="eastAsia"/>
          <w:color w:val="auto"/>
          <w:sz w:val="21"/>
          <w:szCs w:val="21"/>
          <w:highlight w:val="none"/>
        </w:rPr>
        <w:fldChar w:fldCharType="end"/>
      </w:r>
      <w:r>
        <w:rPr>
          <w:rFonts w:hint="eastAsia"/>
          <w:color w:val="auto"/>
          <w:sz w:val="21"/>
          <w:szCs w:val="21"/>
          <w:highlight w:val="none"/>
        </w:rPr>
        <w:fldChar w:fldCharType="end"/>
      </w:r>
    </w:p>
    <w:p w14:paraId="5ECE0C47">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"_Toc175764411" </w:instrText>
      </w:r>
      <w:r>
        <w:rPr>
          <w:color w:val="auto"/>
          <w:highlight w:val="none"/>
        </w:rPr>
        <w:fldChar w:fldCharType="separate"/>
      </w:r>
      <w:r>
        <w:rPr>
          <w:rStyle w:val="37"/>
          <w:rFonts w:hint="eastAsia" w:cs="宋体"/>
          <w:color w:val="auto"/>
          <w:sz w:val="21"/>
          <w:szCs w:val="21"/>
          <w:highlight w:val="none"/>
        </w:rPr>
        <w:t>4</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安全文明创优标准</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_Toc175764411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2</w:t>
      </w:r>
      <w:r>
        <w:rPr>
          <w:rFonts w:hint="eastAsia"/>
          <w:color w:val="auto"/>
          <w:sz w:val="21"/>
          <w:szCs w:val="21"/>
          <w:highlight w:val="none"/>
        </w:rPr>
        <w:fldChar w:fldCharType="end"/>
      </w:r>
      <w:r>
        <w:rPr>
          <w:rFonts w:hint="eastAsia"/>
          <w:color w:val="auto"/>
          <w:sz w:val="21"/>
          <w:szCs w:val="21"/>
          <w:highlight w:val="none"/>
        </w:rPr>
        <w:fldChar w:fldCharType="end"/>
      </w:r>
    </w:p>
    <w:p w14:paraId="4AAE5AA6">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"_Toc175764412" </w:instrText>
      </w:r>
      <w:r>
        <w:rPr>
          <w:color w:val="auto"/>
          <w:highlight w:val="none"/>
        </w:rPr>
        <w:fldChar w:fldCharType="separate"/>
      </w:r>
      <w:r>
        <w:rPr>
          <w:rStyle w:val="37"/>
          <w:rFonts w:hint="eastAsia" w:cs="宋体"/>
          <w:color w:val="auto"/>
          <w:sz w:val="21"/>
          <w:szCs w:val="21"/>
          <w:highlight w:val="none"/>
          <w:lang w:eastAsia="zh-CN"/>
        </w:rPr>
        <w:t>5</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签约合同价与合同价格形式</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_Toc175764412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2</w:t>
      </w:r>
      <w:r>
        <w:rPr>
          <w:rFonts w:hint="eastAsia"/>
          <w:color w:val="auto"/>
          <w:sz w:val="21"/>
          <w:szCs w:val="21"/>
          <w:highlight w:val="none"/>
        </w:rPr>
        <w:fldChar w:fldCharType="end"/>
      </w:r>
      <w:r>
        <w:rPr>
          <w:rFonts w:hint="eastAsia"/>
          <w:color w:val="auto"/>
          <w:sz w:val="21"/>
          <w:szCs w:val="21"/>
          <w:highlight w:val="none"/>
        </w:rPr>
        <w:fldChar w:fldCharType="end"/>
      </w:r>
    </w:p>
    <w:p w14:paraId="79F672B0">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"_Toc175764413" </w:instrText>
      </w:r>
      <w:r>
        <w:rPr>
          <w:color w:val="auto"/>
          <w:highlight w:val="none"/>
        </w:rPr>
        <w:fldChar w:fldCharType="separate"/>
      </w:r>
      <w:r>
        <w:rPr>
          <w:rStyle w:val="37"/>
          <w:rFonts w:hint="eastAsia" w:cs="宋体"/>
          <w:color w:val="auto"/>
          <w:sz w:val="21"/>
          <w:szCs w:val="21"/>
          <w:highlight w:val="none"/>
          <w:lang w:eastAsia="zh-CN"/>
        </w:rPr>
        <w:t>6</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乙方纳税资格和资质</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_Toc175764413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2</w:t>
      </w:r>
      <w:r>
        <w:rPr>
          <w:rFonts w:hint="eastAsia"/>
          <w:color w:val="auto"/>
          <w:sz w:val="21"/>
          <w:szCs w:val="21"/>
          <w:highlight w:val="none"/>
        </w:rPr>
        <w:fldChar w:fldCharType="end"/>
      </w:r>
      <w:r>
        <w:rPr>
          <w:rFonts w:hint="eastAsia"/>
          <w:color w:val="auto"/>
          <w:sz w:val="21"/>
          <w:szCs w:val="21"/>
          <w:highlight w:val="none"/>
        </w:rPr>
        <w:fldChar w:fldCharType="end"/>
      </w:r>
    </w:p>
    <w:p w14:paraId="2C3CECF4">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"_Toc175764414" </w:instrText>
      </w:r>
      <w:r>
        <w:rPr>
          <w:color w:val="auto"/>
          <w:highlight w:val="none"/>
        </w:rPr>
        <w:fldChar w:fldCharType="separate"/>
      </w:r>
      <w:r>
        <w:rPr>
          <w:rStyle w:val="37"/>
          <w:rFonts w:hint="eastAsia" w:cs="宋体"/>
          <w:color w:val="auto"/>
          <w:sz w:val="21"/>
          <w:szCs w:val="21"/>
          <w:highlight w:val="none"/>
        </w:rPr>
        <w:t>7</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项目经理</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_Toc175764414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w:t>
      </w:r>
      <w:r>
        <w:rPr>
          <w:rFonts w:hint="eastAsia"/>
          <w:color w:val="auto"/>
          <w:sz w:val="21"/>
          <w:szCs w:val="21"/>
          <w:highlight w:val="none"/>
        </w:rPr>
        <w:fldChar w:fldCharType="end"/>
      </w:r>
      <w:r>
        <w:rPr>
          <w:rFonts w:hint="eastAsia"/>
          <w:color w:val="auto"/>
          <w:sz w:val="21"/>
          <w:szCs w:val="21"/>
          <w:highlight w:val="none"/>
        </w:rPr>
        <w:fldChar w:fldCharType="end"/>
      </w:r>
    </w:p>
    <w:p w14:paraId="635596FC">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"_Toc175764415" </w:instrText>
      </w:r>
      <w:r>
        <w:rPr>
          <w:color w:val="auto"/>
          <w:highlight w:val="none"/>
        </w:rPr>
        <w:fldChar w:fldCharType="separate"/>
      </w:r>
      <w:r>
        <w:rPr>
          <w:rStyle w:val="37"/>
          <w:rFonts w:hint="eastAsia" w:cs="宋体"/>
          <w:color w:val="auto"/>
          <w:sz w:val="21"/>
          <w:szCs w:val="21"/>
          <w:highlight w:val="none"/>
        </w:rPr>
        <w:t>8</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签订时间及地点</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_Toc175764415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w:t>
      </w:r>
      <w:r>
        <w:rPr>
          <w:rFonts w:hint="eastAsia"/>
          <w:color w:val="auto"/>
          <w:sz w:val="21"/>
          <w:szCs w:val="21"/>
          <w:highlight w:val="none"/>
        </w:rPr>
        <w:fldChar w:fldCharType="end"/>
      </w:r>
      <w:r>
        <w:rPr>
          <w:rFonts w:hint="eastAsia"/>
          <w:color w:val="auto"/>
          <w:sz w:val="21"/>
          <w:szCs w:val="21"/>
          <w:highlight w:val="none"/>
        </w:rPr>
        <w:fldChar w:fldCharType="end"/>
      </w:r>
    </w:p>
    <w:p w14:paraId="752B19F7">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"_Toc175764416" </w:instrText>
      </w:r>
      <w:r>
        <w:rPr>
          <w:color w:val="auto"/>
          <w:highlight w:val="none"/>
        </w:rPr>
        <w:fldChar w:fldCharType="separate"/>
      </w:r>
      <w:r>
        <w:rPr>
          <w:rStyle w:val="37"/>
          <w:rFonts w:hint="eastAsia"/>
          <w:color w:val="auto"/>
          <w:sz w:val="21"/>
          <w:szCs w:val="21"/>
          <w:highlight w:val="none"/>
          <w:lang w:eastAsia="zh-CN"/>
        </w:rPr>
        <w:t>9</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补充协议</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_Toc175764416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w:t>
      </w:r>
      <w:r>
        <w:rPr>
          <w:rFonts w:hint="eastAsia"/>
          <w:color w:val="auto"/>
          <w:sz w:val="21"/>
          <w:szCs w:val="21"/>
          <w:highlight w:val="none"/>
        </w:rPr>
        <w:fldChar w:fldCharType="end"/>
      </w:r>
      <w:r>
        <w:rPr>
          <w:rFonts w:hint="eastAsia"/>
          <w:color w:val="auto"/>
          <w:sz w:val="21"/>
          <w:szCs w:val="21"/>
          <w:highlight w:val="none"/>
        </w:rPr>
        <w:fldChar w:fldCharType="end"/>
      </w:r>
    </w:p>
    <w:p w14:paraId="10C6E5A2">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"_Toc175764417" </w:instrText>
      </w:r>
      <w:r>
        <w:rPr>
          <w:color w:val="auto"/>
          <w:highlight w:val="none"/>
        </w:rPr>
        <w:fldChar w:fldCharType="separate"/>
      </w:r>
      <w:r>
        <w:rPr>
          <w:rStyle w:val="37"/>
          <w:rFonts w:hint="eastAsia" w:cs="宋体"/>
          <w:color w:val="auto"/>
          <w:sz w:val="21"/>
          <w:szCs w:val="21"/>
          <w:highlight w:val="none"/>
          <w:lang w:eastAsia="zh-CN"/>
        </w:rPr>
        <w:t>10</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合同签约形式</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_Toc175764417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w:t>
      </w:r>
      <w:r>
        <w:rPr>
          <w:rFonts w:hint="eastAsia"/>
          <w:color w:val="auto"/>
          <w:sz w:val="21"/>
          <w:szCs w:val="21"/>
          <w:highlight w:val="none"/>
        </w:rPr>
        <w:fldChar w:fldCharType="end"/>
      </w:r>
      <w:r>
        <w:rPr>
          <w:rFonts w:hint="eastAsia"/>
          <w:color w:val="auto"/>
          <w:sz w:val="21"/>
          <w:szCs w:val="21"/>
          <w:highlight w:val="none"/>
        </w:rPr>
        <w:fldChar w:fldCharType="end"/>
      </w:r>
    </w:p>
    <w:p w14:paraId="649D1D03">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"_Toc175764418" </w:instrText>
      </w:r>
      <w:r>
        <w:rPr>
          <w:color w:val="auto"/>
          <w:highlight w:val="none"/>
        </w:rPr>
        <w:fldChar w:fldCharType="separate"/>
      </w:r>
      <w:r>
        <w:rPr>
          <w:rStyle w:val="37"/>
          <w:rFonts w:hint="eastAsia" w:ascii="宋体" w:hAnsi="宋体"/>
          <w:color w:val="auto"/>
          <w:sz w:val="21"/>
          <w:szCs w:val="21"/>
          <w:highlight w:val="none"/>
          <w:lang w:eastAsia="zh-CN"/>
        </w:rPr>
        <w:t>第二部分 通用合同条款</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_Toc175764418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3B67E8AC">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"_Toc175764419" </w:instrText>
      </w:r>
      <w:r>
        <w:rPr>
          <w:color w:val="auto"/>
          <w:highlight w:val="none"/>
        </w:rPr>
        <w:fldChar w:fldCharType="separate"/>
      </w:r>
      <w:r>
        <w:rPr>
          <w:rStyle w:val="37"/>
          <w:rFonts w:hint="eastAsia" w:cs="宋体"/>
          <w:color w:val="auto"/>
          <w:sz w:val="21"/>
          <w:szCs w:val="21"/>
          <w:highlight w:val="none"/>
        </w:rPr>
        <w:t>1</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词语解释</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_Toc175764419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5</w:t>
      </w:r>
      <w:r>
        <w:rPr>
          <w:rFonts w:hint="eastAsia"/>
          <w:color w:val="auto"/>
          <w:sz w:val="21"/>
          <w:szCs w:val="21"/>
          <w:highlight w:val="none"/>
        </w:rPr>
        <w:fldChar w:fldCharType="end"/>
      </w:r>
      <w:r>
        <w:rPr>
          <w:rFonts w:hint="eastAsia"/>
          <w:color w:val="auto"/>
          <w:sz w:val="21"/>
          <w:szCs w:val="21"/>
          <w:highlight w:val="none"/>
        </w:rPr>
        <w:fldChar w:fldCharType="end"/>
      </w:r>
    </w:p>
    <w:p w14:paraId="00D290B1">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"_Toc175764420" </w:instrText>
      </w:r>
      <w:r>
        <w:rPr>
          <w:color w:val="auto"/>
          <w:highlight w:val="none"/>
        </w:rPr>
        <w:fldChar w:fldCharType="separate"/>
      </w:r>
      <w:r>
        <w:rPr>
          <w:rStyle w:val="37"/>
          <w:rFonts w:hint="eastAsia" w:cs="宋体"/>
          <w:color w:val="auto"/>
          <w:sz w:val="21"/>
          <w:szCs w:val="21"/>
          <w:highlight w:val="none"/>
        </w:rPr>
        <w:t>2</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适用法律法规</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_Toc175764420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5</w:t>
      </w:r>
      <w:r>
        <w:rPr>
          <w:rFonts w:hint="eastAsia"/>
          <w:color w:val="auto"/>
          <w:sz w:val="21"/>
          <w:szCs w:val="21"/>
          <w:highlight w:val="none"/>
        </w:rPr>
        <w:fldChar w:fldCharType="end"/>
      </w:r>
      <w:r>
        <w:rPr>
          <w:rFonts w:hint="eastAsia"/>
          <w:color w:val="auto"/>
          <w:sz w:val="21"/>
          <w:szCs w:val="21"/>
          <w:highlight w:val="none"/>
        </w:rPr>
        <w:fldChar w:fldCharType="end"/>
      </w:r>
    </w:p>
    <w:p w14:paraId="768B361F">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"_Toc175764421" </w:instrText>
      </w:r>
      <w:r>
        <w:rPr>
          <w:color w:val="auto"/>
          <w:highlight w:val="none"/>
        </w:rPr>
        <w:fldChar w:fldCharType="separate"/>
      </w:r>
      <w:r>
        <w:rPr>
          <w:rStyle w:val="37"/>
          <w:rFonts w:hint="eastAsia" w:cs="宋体"/>
          <w:color w:val="auto"/>
          <w:sz w:val="21"/>
          <w:szCs w:val="21"/>
          <w:highlight w:val="none"/>
        </w:rPr>
        <w:t>3</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标准和规范</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_Toc175764421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6</w:t>
      </w:r>
      <w:r>
        <w:rPr>
          <w:rFonts w:hint="eastAsia"/>
          <w:color w:val="auto"/>
          <w:sz w:val="21"/>
          <w:szCs w:val="21"/>
          <w:highlight w:val="none"/>
        </w:rPr>
        <w:fldChar w:fldCharType="end"/>
      </w:r>
      <w:r>
        <w:rPr>
          <w:rFonts w:hint="eastAsia"/>
          <w:color w:val="auto"/>
          <w:sz w:val="21"/>
          <w:szCs w:val="21"/>
          <w:highlight w:val="none"/>
        </w:rPr>
        <w:fldChar w:fldCharType="end"/>
      </w:r>
    </w:p>
    <w:p w14:paraId="38E06C87">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"_Toc175764422" </w:instrText>
      </w:r>
      <w:r>
        <w:rPr>
          <w:color w:val="auto"/>
          <w:highlight w:val="none"/>
        </w:rPr>
        <w:fldChar w:fldCharType="separate"/>
      </w:r>
      <w:r>
        <w:rPr>
          <w:rStyle w:val="37"/>
          <w:rFonts w:hint="eastAsia" w:cs="宋体"/>
          <w:color w:val="auto"/>
          <w:sz w:val="21"/>
          <w:szCs w:val="21"/>
          <w:highlight w:val="none"/>
          <w:lang w:eastAsia="zh-CN"/>
        </w:rPr>
        <w:t>4</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合同文件组成及解释顺序</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_Toc175764422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6</w:t>
      </w:r>
      <w:r>
        <w:rPr>
          <w:rFonts w:hint="eastAsia"/>
          <w:color w:val="auto"/>
          <w:sz w:val="21"/>
          <w:szCs w:val="21"/>
          <w:highlight w:val="none"/>
        </w:rPr>
        <w:fldChar w:fldCharType="end"/>
      </w:r>
      <w:r>
        <w:rPr>
          <w:rFonts w:hint="eastAsia"/>
          <w:color w:val="auto"/>
          <w:sz w:val="21"/>
          <w:szCs w:val="21"/>
          <w:highlight w:val="none"/>
        </w:rPr>
        <w:fldChar w:fldCharType="end"/>
      </w:r>
    </w:p>
    <w:p w14:paraId="2981F1E5">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"_Toc175764423" </w:instrText>
      </w:r>
      <w:r>
        <w:rPr>
          <w:color w:val="auto"/>
          <w:highlight w:val="none"/>
        </w:rPr>
        <w:fldChar w:fldCharType="separate"/>
      </w:r>
      <w:r>
        <w:rPr>
          <w:rStyle w:val="37"/>
          <w:rFonts w:hint="eastAsia" w:cs="宋体"/>
          <w:color w:val="auto"/>
          <w:sz w:val="21"/>
          <w:szCs w:val="21"/>
          <w:highlight w:val="none"/>
        </w:rPr>
        <w:t>5</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甲方工作</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_Toc175764423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7</w:t>
      </w:r>
      <w:r>
        <w:rPr>
          <w:rFonts w:hint="eastAsia"/>
          <w:color w:val="auto"/>
          <w:sz w:val="21"/>
          <w:szCs w:val="21"/>
          <w:highlight w:val="none"/>
        </w:rPr>
        <w:fldChar w:fldCharType="end"/>
      </w:r>
      <w:r>
        <w:rPr>
          <w:rFonts w:hint="eastAsia"/>
          <w:color w:val="auto"/>
          <w:sz w:val="21"/>
          <w:szCs w:val="21"/>
          <w:highlight w:val="none"/>
        </w:rPr>
        <w:fldChar w:fldCharType="end"/>
      </w:r>
    </w:p>
    <w:p w14:paraId="623C983C">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"_Toc175764424" </w:instrText>
      </w:r>
      <w:r>
        <w:rPr>
          <w:color w:val="auto"/>
          <w:highlight w:val="none"/>
        </w:rPr>
        <w:fldChar w:fldCharType="separate"/>
      </w:r>
      <w:r>
        <w:rPr>
          <w:rStyle w:val="37"/>
          <w:rFonts w:hint="eastAsia" w:cs="宋体"/>
          <w:color w:val="auto"/>
          <w:sz w:val="21"/>
          <w:szCs w:val="21"/>
          <w:highlight w:val="none"/>
        </w:rPr>
        <w:t>6</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乙方工作</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_Toc175764424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8</w:t>
      </w:r>
      <w:r>
        <w:rPr>
          <w:rFonts w:hint="eastAsia"/>
          <w:color w:val="auto"/>
          <w:sz w:val="21"/>
          <w:szCs w:val="21"/>
          <w:highlight w:val="none"/>
        </w:rPr>
        <w:fldChar w:fldCharType="end"/>
      </w:r>
      <w:r>
        <w:rPr>
          <w:rFonts w:hint="eastAsia"/>
          <w:color w:val="auto"/>
          <w:sz w:val="21"/>
          <w:szCs w:val="21"/>
          <w:highlight w:val="none"/>
        </w:rPr>
        <w:fldChar w:fldCharType="end"/>
      </w:r>
    </w:p>
    <w:p w14:paraId="11552DC4">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"_Toc175764425" </w:instrText>
      </w:r>
      <w:r>
        <w:rPr>
          <w:color w:val="auto"/>
          <w:highlight w:val="none"/>
        </w:rPr>
        <w:fldChar w:fldCharType="separate"/>
      </w:r>
      <w:r>
        <w:rPr>
          <w:rStyle w:val="37"/>
          <w:rFonts w:hint="eastAsia" w:cs="宋体"/>
          <w:color w:val="auto"/>
          <w:sz w:val="21"/>
          <w:szCs w:val="21"/>
          <w:highlight w:val="none"/>
        </w:rPr>
        <w:t>7</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技术质量要求</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_Toc175764425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14</w:t>
      </w:r>
      <w:r>
        <w:rPr>
          <w:rFonts w:hint="eastAsia"/>
          <w:color w:val="auto"/>
          <w:sz w:val="21"/>
          <w:szCs w:val="21"/>
          <w:highlight w:val="none"/>
        </w:rPr>
        <w:fldChar w:fldCharType="end"/>
      </w:r>
      <w:r>
        <w:rPr>
          <w:rFonts w:hint="eastAsia"/>
          <w:color w:val="auto"/>
          <w:sz w:val="21"/>
          <w:szCs w:val="21"/>
          <w:highlight w:val="none"/>
        </w:rPr>
        <w:fldChar w:fldCharType="end"/>
      </w:r>
    </w:p>
    <w:p w14:paraId="0148ED35">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"_Toc175764426" </w:instrText>
      </w:r>
      <w:r>
        <w:rPr>
          <w:color w:val="auto"/>
          <w:highlight w:val="none"/>
        </w:rPr>
        <w:fldChar w:fldCharType="separate"/>
      </w:r>
      <w:r>
        <w:rPr>
          <w:rStyle w:val="37"/>
          <w:rFonts w:hint="eastAsia" w:cs="宋体"/>
          <w:color w:val="auto"/>
          <w:sz w:val="21"/>
          <w:szCs w:val="21"/>
          <w:highlight w:val="none"/>
        </w:rPr>
        <w:t>8</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材料设备管理</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_Toc175764426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15</w:t>
      </w:r>
      <w:r>
        <w:rPr>
          <w:rFonts w:hint="eastAsia"/>
          <w:color w:val="auto"/>
          <w:sz w:val="21"/>
          <w:szCs w:val="21"/>
          <w:highlight w:val="none"/>
        </w:rPr>
        <w:fldChar w:fldCharType="end"/>
      </w:r>
      <w:r>
        <w:rPr>
          <w:rFonts w:hint="eastAsia"/>
          <w:color w:val="auto"/>
          <w:sz w:val="21"/>
          <w:szCs w:val="21"/>
          <w:highlight w:val="none"/>
        </w:rPr>
        <w:fldChar w:fldCharType="end"/>
      </w:r>
    </w:p>
    <w:p w14:paraId="2E66867F">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"_Toc175764427" </w:instrText>
      </w:r>
      <w:r>
        <w:rPr>
          <w:color w:val="auto"/>
          <w:highlight w:val="none"/>
        </w:rPr>
        <w:fldChar w:fldCharType="separate"/>
      </w:r>
      <w:r>
        <w:rPr>
          <w:rStyle w:val="37"/>
          <w:rFonts w:hint="eastAsia" w:cs="宋体"/>
          <w:color w:val="auto"/>
          <w:sz w:val="21"/>
          <w:szCs w:val="21"/>
          <w:highlight w:val="none"/>
          <w:lang w:eastAsia="zh-CN"/>
        </w:rPr>
        <w:t>9</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安</w:t>
      </w:r>
      <w:r>
        <w:rPr>
          <w:rStyle w:val="37"/>
          <w:rFonts w:hint="eastAsia" w:cs="宋体"/>
          <w:color w:val="auto"/>
          <w:sz w:val="21"/>
          <w:szCs w:val="21"/>
          <w:highlight w:val="none"/>
        </w:rPr>
        <w:t>全</w:t>
      </w:r>
      <w:r>
        <w:rPr>
          <w:rStyle w:val="37"/>
          <w:rFonts w:hint="eastAsia" w:cs="宋体"/>
          <w:color w:val="auto"/>
          <w:sz w:val="21"/>
          <w:szCs w:val="21"/>
          <w:highlight w:val="none"/>
          <w:lang w:eastAsia="zh-CN"/>
        </w:rPr>
        <w:t>文明施工</w:t>
      </w:r>
      <w:r>
        <w:rPr>
          <w:rStyle w:val="37"/>
          <w:rFonts w:hint="eastAsia" w:cs="宋体"/>
          <w:color w:val="auto"/>
          <w:sz w:val="21"/>
          <w:szCs w:val="21"/>
          <w:highlight w:val="none"/>
        </w:rPr>
        <w:t>管理</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_Toc175764427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17</w:t>
      </w:r>
      <w:r>
        <w:rPr>
          <w:rFonts w:hint="eastAsia"/>
          <w:color w:val="auto"/>
          <w:sz w:val="21"/>
          <w:szCs w:val="21"/>
          <w:highlight w:val="none"/>
        </w:rPr>
        <w:fldChar w:fldCharType="end"/>
      </w:r>
      <w:r>
        <w:rPr>
          <w:rFonts w:hint="eastAsia"/>
          <w:color w:val="auto"/>
          <w:sz w:val="21"/>
          <w:szCs w:val="21"/>
          <w:highlight w:val="none"/>
        </w:rPr>
        <w:fldChar w:fldCharType="end"/>
      </w:r>
    </w:p>
    <w:p w14:paraId="1FDCE1F8">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"_Toc175764428" </w:instrText>
      </w:r>
      <w:r>
        <w:rPr>
          <w:color w:val="auto"/>
          <w:highlight w:val="none"/>
        </w:rPr>
        <w:fldChar w:fldCharType="separate"/>
      </w:r>
      <w:r>
        <w:rPr>
          <w:rStyle w:val="37"/>
          <w:rFonts w:hint="eastAsia" w:cs="宋体"/>
          <w:color w:val="auto"/>
          <w:sz w:val="21"/>
          <w:szCs w:val="21"/>
          <w:highlight w:val="none"/>
          <w:lang w:eastAsia="zh-CN"/>
        </w:rPr>
        <w:t>10</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绿色施工、环境保护与职业健康管理</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_Toc175764428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18</w:t>
      </w:r>
      <w:r>
        <w:rPr>
          <w:rFonts w:hint="eastAsia"/>
          <w:color w:val="auto"/>
          <w:sz w:val="21"/>
          <w:szCs w:val="21"/>
          <w:highlight w:val="none"/>
        </w:rPr>
        <w:fldChar w:fldCharType="end"/>
      </w:r>
      <w:r>
        <w:rPr>
          <w:rFonts w:hint="eastAsia"/>
          <w:color w:val="auto"/>
          <w:sz w:val="21"/>
          <w:szCs w:val="21"/>
          <w:highlight w:val="none"/>
        </w:rPr>
        <w:fldChar w:fldCharType="end"/>
      </w:r>
    </w:p>
    <w:p w14:paraId="5E54EB27">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"_Toc175764429" </w:instrText>
      </w:r>
      <w:r>
        <w:rPr>
          <w:color w:val="auto"/>
          <w:highlight w:val="none"/>
        </w:rPr>
        <w:fldChar w:fldCharType="separate"/>
      </w:r>
      <w:r>
        <w:rPr>
          <w:rStyle w:val="37"/>
          <w:rFonts w:hint="eastAsia" w:cs="宋体"/>
          <w:color w:val="auto"/>
          <w:sz w:val="21"/>
          <w:szCs w:val="21"/>
          <w:highlight w:val="none"/>
        </w:rPr>
        <w:t>11</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工期</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_Toc175764429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20</w:t>
      </w:r>
      <w:r>
        <w:rPr>
          <w:rFonts w:hint="eastAsia"/>
          <w:color w:val="auto"/>
          <w:sz w:val="21"/>
          <w:szCs w:val="21"/>
          <w:highlight w:val="none"/>
        </w:rPr>
        <w:fldChar w:fldCharType="end"/>
      </w:r>
      <w:r>
        <w:rPr>
          <w:rFonts w:hint="eastAsia"/>
          <w:color w:val="auto"/>
          <w:sz w:val="21"/>
          <w:szCs w:val="21"/>
          <w:highlight w:val="none"/>
        </w:rPr>
        <w:fldChar w:fldCharType="end"/>
      </w:r>
    </w:p>
    <w:p w14:paraId="33FD7C26">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"_Toc175764430" </w:instrText>
      </w:r>
      <w:r>
        <w:rPr>
          <w:color w:val="auto"/>
          <w:highlight w:val="none"/>
        </w:rPr>
        <w:fldChar w:fldCharType="separate"/>
      </w:r>
      <w:r>
        <w:rPr>
          <w:rStyle w:val="37"/>
          <w:rFonts w:hint="eastAsia" w:cs="宋体"/>
          <w:color w:val="auto"/>
          <w:sz w:val="21"/>
          <w:szCs w:val="21"/>
          <w:highlight w:val="none"/>
        </w:rPr>
        <w:t>12</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试验和检验</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_Toc175764430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21</w:t>
      </w:r>
      <w:r>
        <w:rPr>
          <w:rFonts w:hint="eastAsia"/>
          <w:color w:val="auto"/>
          <w:sz w:val="21"/>
          <w:szCs w:val="21"/>
          <w:highlight w:val="none"/>
        </w:rPr>
        <w:fldChar w:fldCharType="end"/>
      </w:r>
      <w:r>
        <w:rPr>
          <w:rFonts w:hint="eastAsia"/>
          <w:color w:val="auto"/>
          <w:sz w:val="21"/>
          <w:szCs w:val="21"/>
          <w:highlight w:val="none"/>
        </w:rPr>
        <w:fldChar w:fldCharType="end"/>
      </w:r>
    </w:p>
    <w:p w14:paraId="665F8A63">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"_Toc175764431" </w:instrText>
      </w:r>
      <w:r>
        <w:rPr>
          <w:color w:val="auto"/>
          <w:highlight w:val="none"/>
        </w:rPr>
        <w:fldChar w:fldCharType="separate"/>
      </w:r>
      <w:r>
        <w:rPr>
          <w:rStyle w:val="37"/>
          <w:rFonts w:hint="eastAsia" w:cs="宋体"/>
          <w:color w:val="auto"/>
          <w:sz w:val="21"/>
          <w:szCs w:val="21"/>
          <w:highlight w:val="none"/>
        </w:rPr>
        <w:t>13</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合同价款与计量方式</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_Toc175764431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22</w:t>
      </w:r>
      <w:r>
        <w:rPr>
          <w:rFonts w:hint="eastAsia"/>
          <w:color w:val="auto"/>
          <w:sz w:val="21"/>
          <w:szCs w:val="21"/>
          <w:highlight w:val="none"/>
        </w:rPr>
        <w:fldChar w:fldCharType="end"/>
      </w:r>
      <w:r>
        <w:rPr>
          <w:rFonts w:hint="eastAsia"/>
          <w:color w:val="auto"/>
          <w:sz w:val="21"/>
          <w:szCs w:val="21"/>
          <w:highlight w:val="none"/>
        </w:rPr>
        <w:fldChar w:fldCharType="end"/>
      </w:r>
    </w:p>
    <w:p w14:paraId="156CC66A">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"_Toc175764432" </w:instrText>
      </w:r>
      <w:r>
        <w:rPr>
          <w:color w:val="auto"/>
          <w:highlight w:val="none"/>
        </w:rPr>
        <w:fldChar w:fldCharType="separate"/>
      </w:r>
      <w:r>
        <w:rPr>
          <w:rStyle w:val="37"/>
          <w:rFonts w:hint="eastAsia" w:cs="宋体"/>
          <w:color w:val="auto"/>
          <w:sz w:val="21"/>
          <w:szCs w:val="21"/>
          <w:highlight w:val="none"/>
        </w:rPr>
        <w:t>14</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变更</w:t>
      </w:r>
      <w:r>
        <w:rPr>
          <w:rStyle w:val="37"/>
          <w:rFonts w:hint="eastAsia" w:cs="宋体"/>
          <w:color w:val="auto"/>
          <w:sz w:val="21"/>
          <w:szCs w:val="21"/>
          <w:highlight w:val="none"/>
          <w:lang w:eastAsia="zh-CN"/>
        </w:rPr>
        <w:t>签证</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_Toc175764432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25</w:t>
      </w:r>
      <w:r>
        <w:rPr>
          <w:rFonts w:hint="eastAsia"/>
          <w:color w:val="auto"/>
          <w:sz w:val="21"/>
          <w:szCs w:val="21"/>
          <w:highlight w:val="none"/>
        </w:rPr>
        <w:fldChar w:fldCharType="end"/>
      </w:r>
      <w:r>
        <w:rPr>
          <w:rFonts w:hint="eastAsia"/>
          <w:color w:val="auto"/>
          <w:sz w:val="21"/>
          <w:szCs w:val="21"/>
          <w:highlight w:val="none"/>
        </w:rPr>
        <w:fldChar w:fldCharType="end"/>
      </w:r>
    </w:p>
    <w:p w14:paraId="61805256">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"_Toc175764433" </w:instrText>
      </w:r>
      <w:r>
        <w:rPr>
          <w:color w:val="auto"/>
          <w:highlight w:val="none"/>
        </w:rPr>
        <w:fldChar w:fldCharType="separate"/>
      </w:r>
      <w:r>
        <w:rPr>
          <w:rStyle w:val="37"/>
          <w:rFonts w:hint="eastAsia" w:cs="宋体"/>
          <w:color w:val="auto"/>
          <w:sz w:val="21"/>
          <w:szCs w:val="21"/>
          <w:highlight w:val="none"/>
        </w:rPr>
        <w:t>15</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工程款支付</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_Toc175764433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27</w:t>
      </w:r>
      <w:r>
        <w:rPr>
          <w:rFonts w:hint="eastAsia"/>
          <w:color w:val="auto"/>
          <w:sz w:val="21"/>
          <w:szCs w:val="21"/>
          <w:highlight w:val="none"/>
        </w:rPr>
        <w:fldChar w:fldCharType="end"/>
      </w:r>
      <w:r>
        <w:rPr>
          <w:rFonts w:hint="eastAsia"/>
          <w:color w:val="auto"/>
          <w:sz w:val="21"/>
          <w:szCs w:val="21"/>
          <w:highlight w:val="none"/>
        </w:rPr>
        <w:fldChar w:fldCharType="end"/>
      </w:r>
    </w:p>
    <w:p w14:paraId="581B0EC2">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"_Toc175764434" </w:instrText>
      </w:r>
      <w:r>
        <w:rPr>
          <w:color w:val="auto"/>
          <w:highlight w:val="none"/>
        </w:rPr>
        <w:fldChar w:fldCharType="separate"/>
      </w:r>
      <w:r>
        <w:rPr>
          <w:rStyle w:val="37"/>
          <w:rFonts w:hint="eastAsia" w:cs="宋体"/>
          <w:color w:val="auto"/>
          <w:sz w:val="21"/>
          <w:szCs w:val="21"/>
          <w:highlight w:val="none"/>
        </w:rPr>
        <w:t>16</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过程结算</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_Toc175764434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28</w:t>
      </w:r>
      <w:r>
        <w:rPr>
          <w:rFonts w:hint="eastAsia"/>
          <w:color w:val="auto"/>
          <w:sz w:val="21"/>
          <w:szCs w:val="21"/>
          <w:highlight w:val="none"/>
        </w:rPr>
        <w:fldChar w:fldCharType="end"/>
      </w:r>
      <w:r>
        <w:rPr>
          <w:rFonts w:hint="eastAsia"/>
          <w:color w:val="auto"/>
          <w:sz w:val="21"/>
          <w:szCs w:val="21"/>
          <w:highlight w:val="none"/>
        </w:rPr>
        <w:fldChar w:fldCharType="end"/>
      </w:r>
    </w:p>
    <w:p w14:paraId="0941AC20">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"_Toc175764435" </w:instrText>
      </w:r>
      <w:r>
        <w:rPr>
          <w:color w:val="auto"/>
          <w:highlight w:val="none"/>
        </w:rPr>
        <w:fldChar w:fldCharType="separate"/>
      </w:r>
      <w:r>
        <w:rPr>
          <w:rStyle w:val="37"/>
          <w:rFonts w:hint="eastAsia" w:cs="宋体"/>
          <w:color w:val="auto"/>
          <w:sz w:val="21"/>
          <w:szCs w:val="21"/>
          <w:highlight w:val="none"/>
        </w:rPr>
        <w:t>17</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最终</w:t>
      </w:r>
      <w:r>
        <w:rPr>
          <w:rStyle w:val="37"/>
          <w:rFonts w:hint="eastAsia" w:cs="宋体"/>
          <w:color w:val="auto"/>
          <w:sz w:val="21"/>
          <w:szCs w:val="21"/>
          <w:highlight w:val="none"/>
        </w:rPr>
        <w:t>结算</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_Toc175764435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28</w:t>
      </w:r>
      <w:r>
        <w:rPr>
          <w:rFonts w:hint="eastAsia"/>
          <w:color w:val="auto"/>
          <w:sz w:val="21"/>
          <w:szCs w:val="21"/>
          <w:highlight w:val="none"/>
        </w:rPr>
        <w:fldChar w:fldCharType="end"/>
      </w:r>
      <w:r>
        <w:rPr>
          <w:rFonts w:hint="eastAsia"/>
          <w:color w:val="auto"/>
          <w:sz w:val="21"/>
          <w:szCs w:val="21"/>
          <w:highlight w:val="none"/>
        </w:rPr>
        <w:fldChar w:fldCharType="end"/>
      </w:r>
    </w:p>
    <w:p w14:paraId="0560290B">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"_Toc175764436" </w:instrText>
      </w:r>
      <w:r>
        <w:rPr>
          <w:color w:val="auto"/>
          <w:highlight w:val="none"/>
        </w:rPr>
        <w:fldChar w:fldCharType="separate"/>
      </w:r>
      <w:r>
        <w:rPr>
          <w:rStyle w:val="37"/>
          <w:rFonts w:hint="eastAsia" w:cs="宋体"/>
          <w:color w:val="auto"/>
          <w:sz w:val="21"/>
          <w:szCs w:val="21"/>
          <w:highlight w:val="none"/>
        </w:rPr>
        <w:t>18</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完工验收</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_Toc175764436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29</w:t>
      </w:r>
      <w:r>
        <w:rPr>
          <w:rFonts w:hint="eastAsia"/>
          <w:color w:val="auto"/>
          <w:sz w:val="21"/>
          <w:szCs w:val="21"/>
          <w:highlight w:val="none"/>
        </w:rPr>
        <w:fldChar w:fldCharType="end"/>
      </w:r>
      <w:r>
        <w:rPr>
          <w:rFonts w:hint="eastAsia"/>
          <w:color w:val="auto"/>
          <w:sz w:val="21"/>
          <w:szCs w:val="21"/>
          <w:highlight w:val="none"/>
        </w:rPr>
        <w:fldChar w:fldCharType="end"/>
      </w:r>
    </w:p>
    <w:p w14:paraId="3C545B4A">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"_Toc175764437" </w:instrText>
      </w:r>
      <w:r>
        <w:rPr>
          <w:color w:val="auto"/>
          <w:highlight w:val="none"/>
        </w:rPr>
        <w:fldChar w:fldCharType="separate"/>
      </w:r>
      <w:r>
        <w:rPr>
          <w:rStyle w:val="37"/>
          <w:rFonts w:hint="eastAsia" w:cs="宋体"/>
          <w:color w:val="auto"/>
          <w:sz w:val="21"/>
          <w:szCs w:val="21"/>
          <w:highlight w:val="none"/>
        </w:rPr>
        <w:t>19</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履约</w:t>
      </w:r>
      <w:r>
        <w:rPr>
          <w:rStyle w:val="37"/>
          <w:rFonts w:hint="eastAsia" w:cs="宋体"/>
          <w:color w:val="auto"/>
          <w:sz w:val="21"/>
          <w:szCs w:val="21"/>
          <w:highlight w:val="none"/>
          <w:lang w:eastAsia="zh-CN"/>
        </w:rPr>
        <w:t>保证</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_Toc175764437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30</w:t>
      </w:r>
      <w:r>
        <w:rPr>
          <w:rFonts w:hint="eastAsia"/>
          <w:color w:val="auto"/>
          <w:sz w:val="21"/>
          <w:szCs w:val="21"/>
          <w:highlight w:val="none"/>
        </w:rPr>
        <w:fldChar w:fldCharType="end"/>
      </w:r>
      <w:r>
        <w:rPr>
          <w:rFonts w:hint="eastAsia"/>
          <w:color w:val="auto"/>
          <w:sz w:val="21"/>
          <w:szCs w:val="21"/>
          <w:highlight w:val="none"/>
        </w:rPr>
        <w:fldChar w:fldCharType="end"/>
      </w:r>
    </w:p>
    <w:p w14:paraId="0683E44C">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"_Toc175764438" </w:instrText>
      </w:r>
      <w:r>
        <w:rPr>
          <w:color w:val="auto"/>
          <w:highlight w:val="none"/>
        </w:rPr>
        <w:fldChar w:fldCharType="separate"/>
      </w:r>
      <w:r>
        <w:rPr>
          <w:rStyle w:val="37"/>
          <w:rFonts w:hint="eastAsia" w:cs="宋体"/>
          <w:color w:val="auto"/>
          <w:kern w:val="10"/>
          <w:sz w:val="21"/>
          <w:szCs w:val="21"/>
          <w:highlight w:val="none"/>
        </w:rPr>
        <w:t>20</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缺陷责任与</w:t>
      </w:r>
      <w:r>
        <w:rPr>
          <w:rStyle w:val="37"/>
          <w:rFonts w:hint="eastAsia" w:cs="宋体"/>
          <w:color w:val="auto"/>
          <w:sz w:val="21"/>
          <w:szCs w:val="21"/>
          <w:highlight w:val="none"/>
        </w:rPr>
        <w:t>保修</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_Toc175764438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30</w:t>
      </w:r>
      <w:r>
        <w:rPr>
          <w:rFonts w:hint="eastAsia"/>
          <w:color w:val="auto"/>
          <w:sz w:val="21"/>
          <w:szCs w:val="21"/>
          <w:highlight w:val="none"/>
        </w:rPr>
        <w:fldChar w:fldCharType="end"/>
      </w:r>
      <w:r>
        <w:rPr>
          <w:rFonts w:hint="eastAsia"/>
          <w:color w:val="auto"/>
          <w:sz w:val="21"/>
          <w:szCs w:val="21"/>
          <w:highlight w:val="none"/>
        </w:rPr>
        <w:fldChar w:fldCharType="end"/>
      </w:r>
    </w:p>
    <w:p w14:paraId="2D2E230C">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"_Toc175764439" </w:instrText>
      </w:r>
      <w:r>
        <w:rPr>
          <w:color w:val="auto"/>
          <w:highlight w:val="none"/>
        </w:rPr>
        <w:fldChar w:fldCharType="separate"/>
      </w:r>
      <w:r>
        <w:rPr>
          <w:rStyle w:val="37"/>
          <w:rFonts w:hint="eastAsia" w:cs="宋体"/>
          <w:color w:val="auto"/>
          <w:kern w:val="10"/>
          <w:sz w:val="21"/>
          <w:szCs w:val="21"/>
          <w:highlight w:val="none"/>
        </w:rPr>
        <w:t>21</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保险</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_Toc175764439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32</w:t>
      </w:r>
      <w:r>
        <w:rPr>
          <w:rFonts w:hint="eastAsia"/>
          <w:color w:val="auto"/>
          <w:sz w:val="21"/>
          <w:szCs w:val="21"/>
          <w:highlight w:val="none"/>
        </w:rPr>
        <w:fldChar w:fldCharType="end"/>
      </w:r>
      <w:r>
        <w:rPr>
          <w:rFonts w:hint="eastAsia"/>
          <w:color w:val="auto"/>
          <w:sz w:val="21"/>
          <w:szCs w:val="21"/>
          <w:highlight w:val="none"/>
        </w:rPr>
        <w:fldChar w:fldCharType="end"/>
      </w:r>
    </w:p>
    <w:p w14:paraId="03DA2064">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"_Toc175764440" </w:instrText>
      </w:r>
      <w:r>
        <w:rPr>
          <w:color w:val="auto"/>
          <w:highlight w:val="none"/>
        </w:rPr>
        <w:fldChar w:fldCharType="separate"/>
      </w:r>
      <w:r>
        <w:rPr>
          <w:rStyle w:val="37"/>
          <w:rFonts w:hint="eastAsia" w:cs="宋体"/>
          <w:color w:val="auto"/>
          <w:sz w:val="21"/>
          <w:szCs w:val="21"/>
          <w:highlight w:val="none"/>
        </w:rPr>
        <w:t>22</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不可抗力</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_Toc175764440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32</w:t>
      </w:r>
      <w:r>
        <w:rPr>
          <w:rFonts w:hint="eastAsia"/>
          <w:color w:val="auto"/>
          <w:sz w:val="21"/>
          <w:szCs w:val="21"/>
          <w:highlight w:val="none"/>
        </w:rPr>
        <w:fldChar w:fldCharType="end"/>
      </w:r>
      <w:r>
        <w:rPr>
          <w:rFonts w:hint="eastAsia"/>
          <w:color w:val="auto"/>
          <w:sz w:val="21"/>
          <w:szCs w:val="21"/>
          <w:highlight w:val="none"/>
        </w:rPr>
        <w:fldChar w:fldCharType="end"/>
      </w:r>
    </w:p>
    <w:p w14:paraId="76F54913">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"_Toc175764441" </w:instrText>
      </w:r>
      <w:r>
        <w:rPr>
          <w:color w:val="auto"/>
          <w:highlight w:val="none"/>
        </w:rPr>
        <w:fldChar w:fldCharType="separate"/>
      </w:r>
      <w:r>
        <w:rPr>
          <w:rStyle w:val="37"/>
          <w:rFonts w:hint="eastAsia" w:cs="宋体"/>
          <w:color w:val="auto"/>
          <w:sz w:val="21"/>
          <w:szCs w:val="21"/>
          <w:highlight w:val="none"/>
        </w:rPr>
        <w:t>23</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违约</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_Toc175764441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33</w:t>
      </w:r>
      <w:r>
        <w:rPr>
          <w:rFonts w:hint="eastAsia"/>
          <w:color w:val="auto"/>
          <w:sz w:val="21"/>
          <w:szCs w:val="21"/>
          <w:highlight w:val="none"/>
        </w:rPr>
        <w:fldChar w:fldCharType="end"/>
      </w:r>
      <w:r>
        <w:rPr>
          <w:rFonts w:hint="eastAsia"/>
          <w:color w:val="auto"/>
          <w:sz w:val="21"/>
          <w:szCs w:val="21"/>
          <w:highlight w:val="none"/>
        </w:rPr>
        <w:fldChar w:fldCharType="end"/>
      </w:r>
    </w:p>
    <w:p w14:paraId="0FE5A4D4">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"_Toc175764442" </w:instrText>
      </w:r>
      <w:r>
        <w:rPr>
          <w:color w:val="auto"/>
          <w:highlight w:val="none"/>
        </w:rPr>
        <w:fldChar w:fldCharType="separate"/>
      </w:r>
      <w:r>
        <w:rPr>
          <w:rStyle w:val="37"/>
          <w:rFonts w:hint="eastAsia" w:cs="宋体"/>
          <w:color w:val="auto"/>
          <w:sz w:val="21"/>
          <w:szCs w:val="21"/>
          <w:highlight w:val="none"/>
        </w:rPr>
        <w:t>24</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争议解决</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_Toc175764442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33</w:t>
      </w:r>
      <w:r>
        <w:rPr>
          <w:rFonts w:hint="eastAsia"/>
          <w:color w:val="auto"/>
          <w:sz w:val="21"/>
          <w:szCs w:val="21"/>
          <w:highlight w:val="none"/>
        </w:rPr>
        <w:fldChar w:fldCharType="end"/>
      </w:r>
      <w:r>
        <w:rPr>
          <w:rFonts w:hint="eastAsia"/>
          <w:color w:val="auto"/>
          <w:sz w:val="21"/>
          <w:szCs w:val="21"/>
          <w:highlight w:val="none"/>
        </w:rPr>
        <w:fldChar w:fldCharType="end"/>
      </w:r>
    </w:p>
    <w:p w14:paraId="2578396C">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"_Toc175764443" </w:instrText>
      </w:r>
      <w:r>
        <w:rPr>
          <w:color w:val="auto"/>
          <w:highlight w:val="none"/>
        </w:rPr>
        <w:fldChar w:fldCharType="separate"/>
      </w:r>
      <w:r>
        <w:rPr>
          <w:rStyle w:val="37"/>
          <w:rFonts w:hint="eastAsia" w:cs="宋体"/>
          <w:color w:val="auto"/>
          <w:sz w:val="21"/>
          <w:szCs w:val="21"/>
          <w:highlight w:val="none"/>
        </w:rPr>
        <w:t>25</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合同终止</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_Toc175764443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33</w:t>
      </w:r>
      <w:r>
        <w:rPr>
          <w:rFonts w:hint="eastAsia"/>
          <w:color w:val="auto"/>
          <w:sz w:val="21"/>
          <w:szCs w:val="21"/>
          <w:highlight w:val="none"/>
        </w:rPr>
        <w:fldChar w:fldCharType="end"/>
      </w:r>
      <w:r>
        <w:rPr>
          <w:rFonts w:hint="eastAsia"/>
          <w:color w:val="auto"/>
          <w:sz w:val="21"/>
          <w:szCs w:val="21"/>
          <w:highlight w:val="none"/>
        </w:rPr>
        <w:fldChar w:fldCharType="end"/>
      </w:r>
    </w:p>
    <w:p w14:paraId="7E82109E">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"_Toc175764444" </w:instrText>
      </w:r>
      <w:r>
        <w:rPr>
          <w:color w:val="auto"/>
          <w:highlight w:val="none"/>
        </w:rPr>
        <w:fldChar w:fldCharType="separate"/>
      </w:r>
      <w:r>
        <w:rPr>
          <w:rStyle w:val="37"/>
          <w:rFonts w:hint="eastAsia" w:ascii="宋体" w:hAnsi="宋体"/>
          <w:color w:val="auto"/>
          <w:sz w:val="21"/>
          <w:szCs w:val="21"/>
          <w:highlight w:val="none"/>
          <w:lang w:eastAsia="zh-CN"/>
        </w:rPr>
        <w:t>第三部分 专用合同条款</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_Toc175764444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35</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75D6BB31">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"_Toc175764445" </w:instrText>
      </w:r>
      <w:r>
        <w:rPr>
          <w:color w:val="auto"/>
          <w:highlight w:val="none"/>
        </w:rPr>
        <w:fldChar w:fldCharType="separate"/>
      </w:r>
      <w:r>
        <w:rPr>
          <w:rStyle w:val="37"/>
          <w:rFonts w:hint="eastAsia" w:cs="宋体"/>
          <w:color w:val="auto"/>
          <w:sz w:val="21"/>
          <w:szCs w:val="21"/>
          <w:highlight w:val="none"/>
          <w:lang w:eastAsia="zh-CN"/>
        </w:rPr>
        <w:t>1</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词语解释</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_Toc175764445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35</w:t>
      </w:r>
      <w:r>
        <w:rPr>
          <w:rFonts w:hint="eastAsia"/>
          <w:color w:val="auto"/>
          <w:sz w:val="21"/>
          <w:szCs w:val="21"/>
          <w:highlight w:val="none"/>
        </w:rPr>
        <w:fldChar w:fldCharType="end"/>
      </w:r>
      <w:r>
        <w:rPr>
          <w:rFonts w:hint="eastAsia"/>
          <w:color w:val="auto"/>
          <w:sz w:val="21"/>
          <w:szCs w:val="21"/>
          <w:highlight w:val="none"/>
        </w:rPr>
        <w:fldChar w:fldCharType="end"/>
      </w:r>
    </w:p>
    <w:p w14:paraId="590640DF">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"_Toc175764446" </w:instrText>
      </w:r>
      <w:r>
        <w:rPr>
          <w:color w:val="auto"/>
          <w:highlight w:val="none"/>
        </w:rPr>
        <w:fldChar w:fldCharType="separate"/>
      </w:r>
      <w:r>
        <w:rPr>
          <w:rStyle w:val="37"/>
          <w:rFonts w:hint="eastAsia" w:cs="宋体"/>
          <w:color w:val="auto"/>
          <w:sz w:val="21"/>
          <w:szCs w:val="21"/>
          <w:highlight w:val="none"/>
          <w:lang w:eastAsia="zh-CN"/>
        </w:rPr>
        <w:t>2</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适用法律法规</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_Toc175764446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35</w:t>
      </w:r>
      <w:r>
        <w:rPr>
          <w:rFonts w:hint="eastAsia"/>
          <w:color w:val="auto"/>
          <w:sz w:val="21"/>
          <w:szCs w:val="21"/>
          <w:highlight w:val="none"/>
        </w:rPr>
        <w:fldChar w:fldCharType="end"/>
      </w:r>
      <w:r>
        <w:rPr>
          <w:rFonts w:hint="eastAsia"/>
          <w:color w:val="auto"/>
          <w:sz w:val="21"/>
          <w:szCs w:val="21"/>
          <w:highlight w:val="none"/>
        </w:rPr>
        <w:fldChar w:fldCharType="end"/>
      </w:r>
    </w:p>
    <w:p w14:paraId="2BEAE30B">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"_Toc175764447" </w:instrText>
      </w:r>
      <w:r>
        <w:rPr>
          <w:color w:val="auto"/>
          <w:highlight w:val="none"/>
        </w:rPr>
        <w:fldChar w:fldCharType="separate"/>
      </w:r>
      <w:r>
        <w:rPr>
          <w:rStyle w:val="37"/>
          <w:rFonts w:hint="eastAsia" w:cs="宋体"/>
          <w:color w:val="auto"/>
          <w:sz w:val="21"/>
          <w:szCs w:val="21"/>
          <w:highlight w:val="none"/>
          <w:lang w:eastAsia="zh-CN"/>
        </w:rPr>
        <w:t>3</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标准和规范</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_Toc175764447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35</w:t>
      </w:r>
      <w:r>
        <w:rPr>
          <w:rFonts w:hint="eastAsia"/>
          <w:color w:val="auto"/>
          <w:sz w:val="21"/>
          <w:szCs w:val="21"/>
          <w:highlight w:val="none"/>
        </w:rPr>
        <w:fldChar w:fldCharType="end"/>
      </w:r>
      <w:r>
        <w:rPr>
          <w:rFonts w:hint="eastAsia"/>
          <w:color w:val="auto"/>
          <w:sz w:val="21"/>
          <w:szCs w:val="21"/>
          <w:highlight w:val="none"/>
        </w:rPr>
        <w:fldChar w:fldCharType="end"/>
      </w:r>
    </w:p>
    <w:p w14:paraId="7608EAC9">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"_Toc175764448" </w:instrText>
      </w:r>
      <w:r>
        <w:rPr>
          <w:color w:val="auto"/>
          <w:highlight w:val="none"/>
        </w:rPr>
        <w:fldChar w:fldCharType="separate"/>
      </w:r>
      <w:r>
        <w:rPr>
          <w:rStyle w:val="37"/>
          <w:rFonts w:hint="eastAsia" w:cs="宋体"/>
          <w:color w:val="auto"/>
          <w:sz w:val="21"/>
          <w:szCs w:val="21"/>
          <w:highlight w:val="none"/>
          <w:lang w:eastAsia="zh-CN"/>
        </w:rPr>
        <w:t>4</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合同文件组成及解释顺序</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_Toc175764448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35</w:t>
      </w:r>
      <w:r>
        <w:rPr>
          <w:rFonts w:hint="eastAsia"/>
          <w:color w:val="auto"/>
          <w:sz w:val="21"/>
          <w:szCs w:val="21"/>
          <w:highlight w:val="none"/>
        </w:rPr>
        <w:fldChar w:fldCharType="end"/>
      </w:r>
      <w:r>
        <w:rPr>
          <w:rFonts w:hint="eastAsia"/>
          <w:color w:val="auto"/>
          <w:sz w:val="21"/>
          <w:szCs w:val="21"/>
          <w:highlight w:val="none"/>
        </w:rPr>
        <w:fldChar w:fldCharType="end"/>
      </w:r>
    </w:p>
    <w:p w14:paraId="1C3898FB">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"_Toc175764449" </w:instrText>
      </w:r>
      <w:r>
        <w:rPr>
          <w:color w:val="auto"/>
          <w:highlight w:val="none"/>
        </w:rPr>
        <w:fldChar w:fldCharType="separate"/>
      </w:r>
      <w:r>
        <w:rPr>
          <w:rStyle w:val="37"/>
          <w:rFonts w:hint="eastAsia" w:cs="宋体"/>
          <w:color w:val="auto"/>
          <w:sz w:val="21"/>
          <w:szCs w:val="21"/>
          <w:highlight w:val="none"/>
          <w:lang w:eastAsia="zh-CN"/>
        </w:rPr>
        <w:t>5</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甲方工作</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_Toc175764449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35</w:t>
      </w:r>
      <w:r>
        <w:rPr>
          <w:rFonts w:hint="eastAsia"/>
          <w:color w:val="auto"/>
          <w:sz w:val="21"/>
          <w:szCs w:val="21"/>
          <w:highlight w:val="none"/>
        </w:rPr>
        <w:fldChar w:fldCharType="end"/>
      </w:r>
      <w:r>
        <w:rPr>
          <w:rFonts w:hint="eastAsia"/>
          <w:color w:val="auto"/>
          <w:sz w:val="21"/>
          <w:szCs w:val="21"/>
          <w:highlight w:val="none"/>
        </w:rPr>
        <w:fldChar w:fldCharType="end"/>
      </w:r>
    </w:p>
    <w:p w14:paraId="6C0543A6">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"_Toc175764450" </w:instrText>
      </w:r>
      <w:r>
        <w:rPr>
          <w:color w:val="auto"/>
          <w:highlight w:val="none"/>
        </w:rPr>
        <w:fldChar w:fldCharType="separate"/>
      </w:r>
      <w:r>
        <w:rPr>
          <w:rStyle w:val="37"/>
          <w:rFonts w:hint="eastAsia" w:cs="宋体"/>
          <w:color w:val="auto"/>
          <w:sz w:val="21"/>
          <w:szCs w:val="21"/>
          <w:highlight w:val="none"/>
        </w:rPr>
        <w:t>6</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乙方工作</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_Toc175764450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35</w:t>
      </w:r>
      <w:r>
        <w:rPr>
          <w:rFonts w:hint="eastAsia"/>
          <w:color w:val="auto"/>
          <w:sz w:val="21"/>
          <w:szCs w:val="21"/>
          <w:highlight w:val="none"/>
        </w:rPr>
        <w:fldChar w:fldCharType="end"/>
      </w:r>
      <w:r>
        <w:rPr>
          <w:rFonts w:hint="eastAsia"/>
          <w:color w:val="auto"/>
          <w:sz w:val="21"/>
          <w:szCs w:val="21"/>
          <w:highlight w:val="none"/>
        </w:rPr>
        <w:fldChar w:fldCharType="end"/>
      </w:r>
    </w:p>
    <w:p w14:paraId="47DC7CC2">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"_Toc175764451" </w:instrText>
      </w:r>
      <w:r>
        <w:rPr>
          <w:color w:val="auto"/>
          <w:highlight w:val="none"/>
        </w:rPr>
        <w:fldChar w:fldCharType="separate"/>
      </w:r>
      <w:r>
        <w:rPr>
          <w:rStyle w:val="37"/>
          <w:rFonts w:hint="eastAsia" w:cs="宋体"/>
          <w:color w:val="auto"/>
          <w:sz w:val="21"/>
          <w:szCs w:val="21"/>
          <w:highlight w:val="none"/>
        </w:rPr>
        <w:t>7</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技术质量要求</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_Toc175764451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37</w:t>
      </w:r>
      <w:r>
        <w:rPr>
          <w:rFonts w:hint="eastAsia"/>
          <w:color w:val="auto"/>
          <w:sz w:val="21"/>
          <w:szCs w:val="21"/>
          <w:highlight w:val="none"/>
        </w:rPr>
        <w:fldChar w:fldCharType="end"/>
      </w:r>
      <w:r>
        <w:rPr>
          <w:rFonts w:hint="eastAsia"/>
          <w:color w:val="auto"/>
          <w:sz w:val="21"/>
          <w:szCs w:val="21"/>
          <w:highlight w:val="none"/>
        </w:rPr>
        <w:fldChar w:fldCharType="end"/>
      </w:r>
    </w:p>
    <w:p w14:paraId="00374EF1">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"_Toc175764452" </w:instrText>
      </w:r>
      <w:r>
        <w:rPr>
          <w:color w:val="auto"/>
          <w:highlight w:val="none"/>
        </w:rPr>
        <w:fldChar w:fldCharType="separate"/>
      </w:r>
      <w:r>
        <w:rPr>
          <w:rStyle w:val="37"/>
          <w:rFonts w:hint="eastAsia" w:cs="宋体"/>
          <w:color w:val="auto"/>
          <w:sz w:val="21"/>
          <w:szCs w:val="21"/>
          <w:highlight w:val="none"/>
          <w:lang w:eastAsia="zh-CN"/>
        </w:rPr>
        <w:t>8</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材料设备管理</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_Toc175764452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37</w:t>
      </w:r>
      <w:r>
        <w:rPr>
          <w:rFonts w:hint="eastAsia"/>
          <w:color w:val="auto"/>
          <w:sz w:val="21"/>
          <w:szCs w:val="21"/>
          <w:highlight w:val="none"/>
        </w:rPr>
        <w:fldChar w:fldCharType="end"/>
      </w:r>
      <w:r>
        <w:rPr>
          <w:rFonts w:hint="eastAsia"/>
          <w:color w:val="auto"/>
          <w:sz w:val="21"/>
          <w:szCs w:val="21"/>
          <w:highlight w:val="none"/>
        </w:rPr>
        <w:fldChar w:fldCharType="end"/>
      </w:r>
    </w:p>
    <w:p w14:paraId="7155521B">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"_Toc175764453" </w:instrText>
      </w:r>
      <w:r>
        <w:rPr>
          <w:color w:val="auto"/>
          <w:highlight w:val="none"/>
        </w:rPr>
        <w:fldChar w:fldCharType="separate"/>
      </w:r>
      <w:r>
        <w:rPr>
          <w:rStyle w:val="37"/>
          <w:rFonts w:hint="eastAsia" w:cs="宋体"/>
          <w:color w:val="auto"/>
          <w:sz w:val="21"/>
          <w:szCs w:val="21"/>
          <w:highlight w:val="none"/>
        </w:rPr>
        <w:t>9</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安全文明施工管理</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_Toc175764453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37</w:t>
      </w:r>
      <w:r>
        <w:rPr>
          <w:rFonts w:hint="eastAsia"/>
          <w:color w:val="auto"/>
          <w:sz w:val="21"/>
          <w:szCs w:val="21"/>
          <w:highlight w:val="none"/>
        </w:rPr>
        <w:fldChar w:fldCharType="end"/>
      </w:r>
      <w:r>
        <w:rPr>
          <w:rFonts w:hint="eastAsia"/>
          <w:color w:val="auto"/>
          <w:sz w:val="21"/>
          <w:szCs w:val="21"/>
          <w:highlight w:val="none"/>
        </w:rPr>
        <w:fldChar w:fldCharType="end"/>
      </w:r>
    </w:p>
    <w:p w14:paraId="73C412E9">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"_Toc175764454" </w:instrText>
      </w:r>
      <w:r>
        <w:rPr>
          <w:color w:val="auto"/>
          <w:highlight w:val="none"/>
        </w:rPr>
        <w:fldChar w:fldCharType="separate"/>
      </w:r>
      <w:r>
        <w:rPr>
          <w:rStyle w:val="37"/>
          <w:rFonts w:hint="eastAsia" w:cs="宋体"/>
          <w:color w:val="auto"/>
          <w:sz w:val="21"/>
          <w:szCs w:val="21"/>
          <w:highlight w:val="none"/>
          <w:lang w:eastAsia="zh-CN"/>
        </w:rPr>
        <w:t>10</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绿色施工、环境保护与职业健康管理</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_Toc175764454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38</w:t>
      </w:r>
      <w:r>
        <w:rPr>
          <w:rFonts w:hint="eastAsia"/>
          <w:color w:val="auto"/>
          <w:sz w:val="21"/>
          <w:szCs w:val="21"/>
          <w:highlight w:val="none"/>
        </w:rPr>
        <w:fldChar w:fldCharType="end"/>
      </w:r>
      <w:r>
        <w:rPr>
          <w:rFonts w:hint="eastAsia"/>
          <w:color w:val="auto"/>
          <w:sz w:val="21"/>
          <w:szCs w:val="21"/>
          <w:highlight w:val="none"/>
        </w:rPr>
        <w:fldChar w:fldCharType="end"/>
      </w:r>
    </w:p>
    <w:p w14:paraId="41E6826A">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"_Toc175764455" </w:instrText>
      </w:r>
      <w:r>
        <w:rPr>
          <w:color w:val="auto"/>
          <w:highlight w:val="none"/>
        </w:rPr>
        <w:fldChar w:fldCharType="separate"/>
      </w:r>
      <w:r>
        <w:rPr>
          <w:rStyle w:val="37"/>
          <w:rFonts w:hint="eastAsia" w:cs="宋体"/>
          <w:color w:val="auto"/>
          <w:sz w:val="21"/>
          <w:szCs w:val="21"/>
          <w:highlight w:val="none"/>
          <w:lang w:eastAsia="zh-CN"/>
        </w:rPr>
        <w:t>11</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工期</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_Toc175764455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38</w:t>
      </w:r>
      <w:r>
        <w:rPr>
          <w:rFonts w:hint="eastAsia"/>
          <w:color w:val="auto"/>
          <w:sz w:val="21"/>
          <w:szCs w:val="21"/>
          <w:highlight w:val="none"/>
        </w:rPr>
        <w:fldChar w:fldCharType="end"/>
      </w:r>
      <w:r>
        <w:rPr>
          <w:rFonts w:hint="eastAsia"/>
          <w:color w:val="auto"/>
          <w:sz w:val="21"/>
          <w:szCs w:val="21"/>
          <w:highlight w:val="none"/>
        </w:rPr>
        <w:fldChar w:fldCharType="end"/>
      </w:r>
    </w:p>
    <w:p w14:paraId="7DF2595E">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"_Toc175764456" </w:instrText>
      </w:r>
      <w:r>
        <w:rPr>
          <w:color w:val="auto"/>
          <w:highlight w:val="none"/>
        </w:rPr>
        <w:fldChar w:fldCharType="separate"/>
      </w:r>
      <w:r>
        <w:rPr>
          <w:rStyle w:val="37"/>
          <w:rFonts w:hint="eastAsia" w:cs="宋体"/>
          <w:color w:val="auto"/>
          <w:sz w:val="21"/>
          <w:szCs w:val="21"/>
          <w:highlight w:val="none"/>
        </w:rPr>
        <w:t>12</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试验和检验</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_Toc175764456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38</w:t>
      </w:r>
      <w:r>
        <w:rPr>
          <w:rFonts w:hint="eastAsia"/>
          <w:color w:val="auto"/>
          <w:sz w:val="21"/>
          <w:szCs w:val="21"/>
          <w:highlight w:val="none"/>
        </w:rPr>
        <w:fldChar w:fldCharType="end"/>
      </w:r>
      <w:r>
        <w:rPr>
          <w:rFonts w:hint="eastAsia"/>
          <w:color w:val="auto"/>
          <w:sz w:val="21"/>
          <w:szCs w:val="21"/>
          <w:highlight w:val="none"/>
        </w:rPr>
        <w:fldChar w:fldCharType="end"/>
      </w:r>
    </w:p>
    <w:p w14:paraId="671422EB">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"_Toc175764457" </w:instrText>
      </w:r>
      <w:r>
        <w:rPr>
          <w:color w:val="auto"/>
          <w:highlight w:val="none"/>
        </w:rPr>
        <w:fldChar w:fldCharType="separate"/>
      </w:r>
      <w:r>
        <w:rPr>
          <w:rStyle w:val="37"/>
          <w:rFonts w:hint="eastAsia" w:cs="宋体"/>
          <w:color w:val="auto"/>
          <w:sz w:val="21"/>
          <w:szCs w:val="21"/>
          <w:highlight w:val="none"/>
        </w:rPr>
        <w:t>13</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合同价款与计量方式</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_Toc175764457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38</w:t>
      </w:r>
      <w:r>
        <w:rPr>
          <w:rFonts w:hint="eastAsia"/>
          <w:color w:val="auto"/>
          <w:sz w:val="21"/>
          <w:szCs w:val="21"/>
          <w:highlight w:val="none"/>
        </w:rPr>
        <w:fldChar w:fldCharType="end"/>
      </w:r>
      <w:r>
        <w:rPr>
          <w:rFonts w:hint="eastAsia"/>
          <w:color w:val="auto"/>
          <w:sz w:val="21"/>
          <w:szCs w:val="21"/>
          <w:highlight w:val="none"/>
        </w:rPr>
        <w:fldChar w:fldCharType="end"/>
      </w:r>
    </w:p>
    <w:p w14:paraId="5AED1DDF">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"_Toc175764458" </w:instrText>
      </w:r>
      <w:r>
        <w:rPr>
          <w:color w:val="auto"/>
          <w:highlight w:val="none"/>
        </w:rPr>
        <w:fldChar w:fldCharType="separate"/>
      </w:r>
      <w:r>
        <w:rPr>
          <w:rStyle w:val="37"/>
          <w:rFonts w:hint="eastAsia" w:cs="宋体"/>
          <w:color w:val="auto"/>
          <w:sz w:val="21"/>
          <w:szCs w:val="21"/>
          <w:highlight w:val="none"/>
        </w:rPr>
        <w:t>14</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变更</w:t>
      </w:r>
      <w:r>
        <w:rPr>
          <w:rStyle w:val="37"/>
          <w:rFonts w:hint="eastAsia" w:cs="宋体"/>
          <w:color w:val="auto"/>
          <w:sz w:val="21"/>
          <w:szCs w:val="21"/>
          <w:highlight w:val="none"/>
          <w:lang w:eastAsia="zh-CN"/>
        </w:rPr>
        <w:t>签证</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_Toc175764458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40</w:t>
      </w:r>
      <w:r>
        <w:rPr>
          <w:rFonts w:hint="eastAsia"/>
          <w:color w:val="auto"/>
          <w:sz w:val="21"/>
          <w:szCs w:val="21"/>
          <w:highlight w:val="none"/>
        </w:rPr>
        <w:fldChar w:fldCharType="end"/>
      </w:r>
      <w:r>
        <w:rPr>
          <w:rFonts w:hint="eastAsia"/>
          <w:color w:val="auto"/>
          <w:sz w:val="21"/>
          <w:szCs w:val="21"/>
          <w:highlight w:val="none"/>
        </w:rPr>
        <w:fldChar w:fldCharType="end"/>
      </w:r>
    </w:p>
    <w:p w14:paraId="0F9D011C">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"_Toc175764459" </w:instrText>
      </w:r>
      <w:r>
        <w:rPr>
          <w:color w:val="auto"/>
          <w:highlight w:val="none"/>
        </w:rPr>
        <w:fldChar w:fldCharType="separate"/>
      </w:r>
      <w:r>
        <w:rPr>
          <w:rStyle w:val="37"/>
          <w:rFonts w:hint="eastAsia" w:cs="宋体"/>
          <w:color w:val="auto"/>
          <w:sz w:val="21"/>
          <w:szCs w:val="21"/>
          <w:highlight w:val="none"/>
        </w:rPr>
        <w:t>15</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工程款支付</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_Toc175764459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40</w:t>
      </w:r>
      <w:r>
        <w:rPr>
          <w:rFonts w:hint="eastAsia"/>
          <w:color w:val="auto"/>
          <w:sz w:val="21"/>
          <w:szCs w:val="21"/>
          <w:highlight w:val="none"/>
        </w:rPr>
        <w:fldChar w:fldCharType="end"/>
      </w:r>
      <w:r>
        <w:rPr>
          <w:rFonts w:hint="eastAsia"/>
          <w:color w:val="auto"/>
          <w:sz w:val="21"/>
          <w:szCs w:val="21"/>
          <w:highlight w:val="none"/>
        </w:rPr>
        <w:fldChar w:fldCharType="end"/>
      </w:r>
    </w:p>
    <w:p w14:paraId="417D8CF4">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"_Toc175764460" </w:instrText>
      </w:r>
      <w:r>
        <w:rPr>
          <w:color w:val="auto"/>
          <w:highlight w:val="none"/>
        </w:rPr>
        <w:fldChar w:fldCharType="separate"/>
      </w:r>
      <w:r>
        <w:rPr>
          <w:rStyle w:val="37"/>
          <w:rFonts w:hint="eastAsia" w:cs="宋体"/>
          <w:color w:val="auto"/>
          <w:sz w:val="21"/>
          <w:szCs w:val="21"/>
          <w:highlight w:val="none"/>
        </w:rPr>
        <w:t>16</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过程结算</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_Toc175764460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44</w:t>
      </w:r>
      <w:r>
        <w:rPr>
          <w:rFonts w:hint="eastAsia"/>
          <w:color w:val="auto"/>
          <w:sz w:val="21"/>
          <w:szCs w:val="21"/>
          <w:highlight w:val="none"/>
        </w:rPr>
        <w:fldChar w:fldCharType="end"/>
      </w:r>
      <w:r>
        <w:rPr>
          <w:rFonts w:hint="eastAsia"/>
          <w:color w:val="auto"/>
          <w:sz w:val="21"/>
          <w:szCs w:val="21"/>
          <w:highlight w:val="none"/>
        </w:rPr>
        <w:fldChar w:fldCharType="end"/>
      </w:r>
    </w:p>
    <w:p w14:paraId="2354E4F9">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"_Toc175764461" </w:instrText>
      </w:r>
      <w:r>
        <w:rPr>
          <w:color w:val="auto"/>
          <w:highlight w:val="none"/>
        </w:rPr>
        <w:fldChar w:fldCharType="separate"/>
      </w:r>
      <w:r>
        <w:rPr>
          <w:rStyle w:val="37"/>
          <w:rFonts w:hint="eastAsia" w:cs="宋体"/>
          <w:color w:val="auto"/>
          <w:sz w:val="21"/>
          <w:szCs w:val="21"/>
          <w:highlight w:val="none"/>
        </w:rPr>
        <w:t>17</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最终</w:t>
      </w:r>
      <w:r>
        <w:rPr>
          <w:rStyle w:val="37"/>
          <w:rFonts w:hint="eastAsia" w:cs="宋体"/>
          <w:color w:val="auto"/>
          <w:sz w:val="21"/>
          <w:szCs w:val="21"/>
          <w:highlight w:val="none"/>
        </w:rPr>
        <w:t>结算</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_Toc175764461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44</w:t>
      </w:r>
      <w:r>
        <w:rPr>
          <w:rFonts w:hint="eastAsia"/>
          <w:color w:val="auto"/>
          <w:sz w:val="21"/>
          <w:szCs w:val="21"/>
          <w:highlight w:val="none"/>
        </w:rPr>
        <w:fldChar w:fldCharType="end"/>
      </w:r>
      <w:r>
        <w:rPr>
          <w:rFonts w:hint="eastAsia"/>
          <w:color w:val="auto"/>
          <w:sz w:val="21"/>
          <w:szCs w:val="21"/>
          <w:highlight w:val="none"/>
        </w:rPr>
        <w:fldChar w:fldCharType="end"/>
      </w:r>
    </w:p>
    <w:p w14:paraId="311A895E">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"_Toc175764462" </w:instrText>
      </w:r>
      <w:r>
        <w:rPr>
          <w:color w:val="auto"/>
          <w:highlight w:val="none"/>
        </w:rPr>
        <w:fldChar w:fldCharType="separate"/>
      </w:r>
      <w:r>
        <w:rPr>
          <w:rStyle w:val="37"/>
          <w:rFonts w:hint="eastAsia" w:cs="宋体"/>
          <w:color w:val="auto"/>
          <w:sz w:val="21"/>
          <w:szCs w:val="21"/>
          <w:highlight w:val="none"/>
        </w:rPr>
        <w:t>18</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完工验收</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_Toc175764462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45</w:t>
      </w:r>
      <w:r>
        <w:rPr>
          <w:rFonts w:hint="eastAsia"/>
          <w:color w:val="auto"/>
          <w:sz w:val="21"/>
          <w:szCs w:val="21"/>
          <w:highlight w:val="none"/>
        </w:rPr>
        <w:fldChar w:fldCharType="end"/>
      </w:r>
      <w:r>
        <w:rPr>
          <w:rFonts w:hint="eastAsia"/>
          <w:color w:val="auto"/>
          <w:sz w:val="21"/>
          <w:szCs w:val="21"/>
          <w:highlight w:val="none"/>
        </w:rPr>
        <w:fldChar w:fldCharType="end"/>
      </w:r>
    </w:p>
    <w:p w14:paraId="340B0F82">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"_Toc175764463" </w:instrText>
      </w:r>
      <w:r>
        <w:rPr>
          <w:color w:val="auto"/>
          <w:highlight w:val="none"/>
        </w:rPr>
        <w:fldChar w:fldCharType="separate"/>
      </w:r>
      <w:r>
        <w:rPr>
          <w:rStyle w:val="37"/>
          <w:rFonts w:hint="eastAsia" w:cs="宋体"/>
          <w:color w:val="auto"/>
          <w:sz w:val="21"/>
          <w:szCs w:val="21"/>
          <w:highlight w:val="none"/>
        </w:rPr>
        <w:t>19</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履约保</w:t>
      </w:r>
      <w:r>
        <w:rPr>
          <w:rStyle w:val="37"/>
          <w:rFonts w:hint="eastAsia" w:cs="宋体"/>
          <w:color w:val="auto"/>
          <w:sz w:val="21"/>
          <w:szCs w:val="21"/>
          <w:highlight w:val="none"/>
          <w:lang w:eastAsia="zh-CN"/>
        </w:rPr>
        <w:t>证</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_Toc175764463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45</w:t>
      </w:r>
      <w:r>
        <w:rPr>
          <w:rFonts w:hint="eastAsia"/>
          <w:color w:val="auto"/>
          <w:sz w:val="21"/>
          <w:szCs w:val="21"/>
          <w:highlight w:val="none"/>
        </w:rPr>
        <w:fldChar w:fldCharType="end"/>
      </w:r>
      <w:r>
        <w:rPr>
          <w:rFonts w:hint="eastAsia"/>
          <w:color w:val="auto"/>
          <w:sz w:val="21"/>
          <w:szCs w:val="21"/>
          <w:highlight w:val="none"/>
        </w:rPr>
        <w:fldChar w:fldCharType="end"/>
      </w:r>
    </w:p>
    <w:p w14:paraId="4644F785">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"_Toc175764464" </w:instrText>
      </w:r>
      <w:r>
        <w:rPr>
          <w:color w:val="auto"/>
          <w:highlight w:val="none"/>
        </w:rPr>
        <w:fldChar w:fldCharType="separate"/>
      </w:r>
      <w:r>
        <w:rPr>
          <w:rStyle w:val="37"/>
          <w:rFonts w:hint="eastAsia" w:cs="宋体"/>
          <w:color w:val="auto"/>
          <w:sz w:val="21"/>
          <w:szCs w:val="21"/>
          <w:highlight w:val="none"/>
        </w:rPr>
        <w:t>20</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lang w:eastAsia="zh-CN"/>
        </w:rPr>
        <w:t>缺陷责任与</w:t>
      </w:r>
      <w:r>
        <w:rPr>
          <w:rStyle w:val="37"/>
          <w:rFonts w:hint="eastAsia" w:cs="宋体"/>
          <w:color w:val="auto"/>
          <w:sz w:val="21"/>
          <w:szCs w:val="21"/>
          <w:highlight w:val="none"/>
        </w:rPr>
        <w:t>保修</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_Toc175764464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45</w:t>
      </w:r>
      <w:r>
        <w:rPr>
          <w:rFonts w:hint="eastAsia"/>
          <w:color w:val="auto"/>
          <w:sz w:val="21"/>
          <w:szCs w:val="21"/>
          <w:highlight w:val="none"/>
        </w:rPr>
        <w:fldChar w:fldCharType="end"/>
      </w:r>
      <w:r>
        <w:rPr>
          <w:rFonts w:hint="eastAsia"/>
          <w:color w:val="auto"/>
          <w:sz w:val="21"/>
          <w:szCs w:val="21"/>
          <w:highlight w:val="none"/>
        </w:rPr>
        <w:fldChar w:fldCharType="end"/>
      </w:r>
    </w:p>
    <w:p w14:paraId="0DC065A4">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"_Toc175764465" </w:instrText>
      </w:r>
      <w:r>
        <w:rPr>
          <w:color w:val="auto"/>
          <w:highlight w:val="none"/>
        </w:rPr>
        <w:fldChar w:fldCharType="separate"/>
      </w:r>
      <w:r>
        <w:rPr>
          <w:rStyle w:val="37"/>
          <w:rFonts w:hint="eastAsia" w:cs="宋体"/>
          <w:color w:val="auto"/>
          <w:sz w:val="21"/>
          <w:szCs w:val="21"/>
          <w:highlight w:val="none"/>
        </w:rPr>
        <w:t>21</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保险</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_Toc175764465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45</w:t>
      </w:r>
      <w:r>
        <w:rPr>
          <w:rFonts w:hint="eastAsia"/>
          <w:color w:val="auto"/>
          <w:sz w:val="21"/>
          <w:szCs w:val="21"/>
          <w:highlight w:val="none"/>
        </w:rPr>
        <w:fldChar w:fldCharType="end"/>
      </w:r>
      <w:r>
        <w:rPr>
          <w:rFonts w:hint="eastAsia"/>
          <w:color w:val="auto"/>
          <w:sz w:val="21"/>
          <w:szCs w:val="21"/>
          <w:highlight w:val="none"/>
        </w:rPr>
        <w:fldChar w:fldCharType="end"/>
      </w:r>
    </w:p>
    <w:p w14:paraId="56225F60">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"_Toc175764466" </w:instrText>
      </w:r>
      <w:r>
        <w:rPr>
          <w:color w:val="auto"/>
          <w:highlight w:val="none"/>
        </w:rPr>
        <w:fldChar w:fldCharType="separate"/>
      </w:r>
      <w:r>
        <w:rPr>
          <w:rStyle w:val="37"/>
          <w:rFonts w:hint="eastAsia" w:cs="宋体"/>
          <w:color w:val="auto"/>
          <w:sz w:val="21"/>
          <w:szCs w:val="21"/>
          <w:highlight w:val="none"/>
        </w:rPr>
        <w:t>22</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不可抗力</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_Toc175764466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46</w:t>
      </w:r>
      <w:r>
        <w:rPr>
          <w:rFonts w:hint="eastAsia"/>
          <w:color w:val="auto"/>
          <w:sz w:val="21"/>
          <w:szCs w:val="21"/>
          <w:highlight w:val="none"/>
        </w:rPr>
        <w:fldChar w:fldCharType="end"/>
      </w:r>
      <w:r>
        <w:rPr>
          <w:rFonts w:hint="eastAsia"/>
          <w:color w:val="auto"/>
          <w:sz w:val="21"/>
          <w:szCs w:val="21"/>
          <w:highlight w:val="none"/>
        </w:rPr>
        <w:fldChar w:fldCharType="end"/>
      </w:r>
    </w:p>
    <w:p w14:paraId="6D279CA0">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"_Toc175764467" </w:instrText>
      </w:r>
      <w:r>
        <w:rPr>
          <w:color w:val="auto"/>
          <w:highlight w:val="none"/>
        </w:rPr>
        <w:fldChar w:fldCharType="separate"/>
      </w:r>
      <w:r>
        <w:rPr>
          <w:rStyle w:val="37"/>
          <w:rFonts w:hint="eastAsia" w:cs="宋体"/>
          <w:color w:val="auto"/>
          <w:sz w:val="21"/>
          <w:szCs w:val="21"/>
          <w:highlight w:val="none"/>
        </w:rPr>
        <w:t>23</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违约</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_Toc175764467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46</w:t>
      </w:r>
      <w:r>
        <w:rPr>
          <w:rFonts w:hint="eastAsia"/>
          <w:color w:val="auto"/>
          <w:sz w:val="21"/>
          <w:szCs w:val="21"/>
          <w:highlight w:val="none"/>
        </w:rPr>
        <w:fldChar w:fldCharType="end"/>
      </w:r>
      <w:r>
        <w:rPr>
          <w:rFonts w:hint="eastAsia"/>
          <w:color w:val="auto"/>
          <w:sz w:val="21"/>
          <w:szCs w:val="21"/>
          <w:highlight w:val="none"/>
        </w:rPr>
        <w:fldChar w:fldCharType="end"/>
      </w:r>
    </w:p>
    <w:p w14:paraId="7EC84000">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"_Toc175764468" </w:instrText>
      </w:r>
      <w:r>
        <w:rPr>
          <w:color w:val="auto"/>
          <w:highlight w:val="none"/>
        </w:rPr>
        <w:fldChar w:fldCharType="separate"/>
      </w:r>
      <w:r>
        <w:rPr>
          <w:rStyle w:val="37"/>
          <w:rFonts w:hint="eastAsia" w:cs="宋体"/>
          <w:color w:val="auto"/>
          <w:sz w:val="21"/>
          <w:szCs w:val="21"/>
          <w:highlight w:val="none"/>
        </w:rPr>
        <w:t>24</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争议解决</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_Toc175764468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50</w:t>
      </w:r>
      <w:r>
        <w:rPr>
          <w:rFonts w:hint="eastAsia"/>
          <w:color w:val="auto"/>
          <w:sz w:val="21"/>
          <w:szCs w:val="21"/>
          <w:highlight w:val="none"/>
        </w:rPr>
        <w:fldChar w:fldCharType="end"/>
      </w:r>
      <w:r>
        <w:rPr>
          <w:rFonts w:hint="eastAsia"/>
          <w:color w:val="auto"/>
          <w:sz w:val="21"/>
          <w:szCs w:val="21"/>
          <w:highlight w:val="none"/>
        </w:rPr>
        <w:fldChar w:fldCharType="end"/>
      </w:r>
    </w:p>
    <w:p w14:paraId="3A4657A7">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"_Toc175764469" </w:instrText>
      </w:r>
      <w:r>
        <w:rPr>
          <w:color w:val="auto"/>
          <w:highlight w:val="none"/>
        </w:rPr>
        <w:fldChar w:fldCharType="separate"/>
      </w:r>
      <w:r>
        <w:rPr>
          <w:rStyle w:val="37"/>
          <w:rFonts w:hint="eastAsia" w:cs="宋体"/>
          <w:color w:val="auto"/>
          <w:sz w:val="21"/>
          <w:szCs w:val="21"/>
          <w:highlight w:val="none"/>
        </w:rPr>
        <w:t>25</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合同终止</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_Toc175764469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50</w:t>
      </w:r>
      <w:r>
        <w:rPr>
          <w:rFonts w:hint="eastAsia"/>
          <w:color w:val="auto"/>
          <w:sz w:val="21"/>
          <w:szCs w:val="21"/>
          <w:highlight w:val="none"/>
        </w:rPr>
        <w:fldChar w:fldCharType="end"/>
      </w:r>
      <w:r>
        <w:rPr>
          <w:rFonts w:hint="eastAsia"/>
          <w:color w:val="auto"/>
          <w:sz w:val="21"/>
          <w:szCs w:val="21"/>
          <w:highlight w:val="none"/>
        </w:rPr>
        <w:fldChar w:fldCharType="end"/>
      </w:r>
    </w:p>
    <w:p w14:paraId="7B17B8D0">
      <w:pPr>
        <w:pStyle w:val="26"/>
        <w:tabs>
          <w:tab w:val="left" w:pos="1540"/>
          <w:tab w:val="right" w:leader="dot" w:pos="9628"/>
          <w:tab w:val="clear" w:pos="8505"/>
        </w:tabs>
        <w:spacing w:after="0" w:line="240" w:lineRule="auto"/>
        <w:ind w:left="942" w:firstLine="46"/>
        <w:rPr>
          <w:rFonts w:hint="eastAsia"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"_Toc175764470" </w:instrText>
      </w:r>
      <w:r>
        <w:rPr>
          <w:color w:val="auto"/>
          <w:highlight w:val="none"/>
        </w:rPr>
        <w:fldChar w:fldCharType="separate"/>
      </w:r>
      <w:r>
        <w:rPr>
          <w:rStyle w:val="37"/>
          <w:rFonts w:hint="eastAsia" w:cs="宋体"/>
          <w:color w:val="auto"/>
          <w:sz w:val="21"/>
          <w:szCs w:val="21"/>
          <w:highlight w:val="none"/>
        </w:rPr>
        <w:t>26</w:t>
      </w:r>
      <w:r>
        <w:rPr>
          <w:rFonts w:hint="eastAsia" w:cs="Times New Roman"/>
          <w:color w:val="auto"/>
          <w:kern w:val="2"/>
          <w:sz w:val="21"/>
          <w:szCs w:val="21"/>
          <w:highlight w:val="none"/>
          <w:lang w:eastAsia="zh-CN" w:bidi="ar-SA"/>
        </w:rPr>
        <w:tab/>
      </w:r>
      <w:r>
        <w:rPr>
          <w:rStyle w:val="37"/>
          <w:rFonts w:hint="eastAsia" w:cs="宋体"/>
          <w:color w:val="auto"/>
          <w:sz w:val="21"/>
          <w:szCs w:val="21"/>
          <w:highlight w:val="none"/>
        </w:rPr>
        <w:t>合同附件</w:t>
      </w:r>
      <w:r>
        <w:rPr>
          <w:rFonts w:hint="eastAsia"/>
          <w:color w:val="auto"/>
          <w:sz w:val="21"/>
          <w:szCs w:val="21"/>
          <w:highlight w:val="none"/>
        </w:rPr>
        <w:tab/>
      </w:r>
      <w:r>
        <w:rPr>
          <w:rFonts w:hint="eastAsia"/>
          <w:color w:val="auto"/>
          <w:sz w:val="21"/>
          <w:szCs w:val="21"/>
          <w:highlight w:val="none"/>
        </w:rPr>
        <w:fldChar w:fldCharType="begin"/>
      </w:r>
      <w:r>
        <w:rPr>
          <w:rFonts w:hint="eastAsia"/>
          <w:color w:val="auto"/>
          <w:sz w:val="21"/>
          <w:szCs w:val="21"/>
          <w:highlight w:val="none"/>
        </w:rPr>
        <w:instrText xml:space="preserve"> </w:instrText>
      </w:r>
      <w:r>
        <w:rPr>
          <w:color w:val="auto"/>
          <w:sz w:val="21"/>
          <w:szCs w:val="21"/>
          <w:highlight w:val="none"/>
        </w:rPr>
        <w:instrText xml:space="preserve">PAGEREF _Toc175764470 \h</w:instrText>
      </w:r>
      <w:r>
        <w:rPr>
          <w:rFonts w:hint="eastAsia"/>
          <w:color w:val="auto"/>
          <w:sz w:val="21"/>
          <w:szCs w:val="21"/>
          <w:highlight w:val="none"/>
        </w:rPr>
        <w:instrText xml:space="preserve"> </w:instrText>
      </w:r>
      <w:r>
        <w:rPr>
          <w:rFonts w:hint="eastAsia"/>
          <w:color w:val="auto"/>
          <w:sz w:val="21"/>
          <w:szCs w:val="21"/>
          <w:highlight w:val="none"/>
        </w:rPr>
        <w:fldChar w:fldCharType="separate"/>
      </w:r>
      <w:r>
        <w:rPr>
          <w:rFonts w:hint="eastAsia"/>
          <w:color w:val="auto"/>
          <w:sz w:val="21"/>
          <w:szCs w:val="21"/>
          <w:highlight w:val="none"/>
        </w:rPr>
        <w:t>51</w:t>
      </w:r>
      <w:r>
        <w:rPr>
          <w:rFonts w:hint="eastAsia"/>
          <w:color w:val="auto"/>
          <w:sz w:val="21"/>
          <w:szCs w:val="21"/>
          <w:highlight w:val="none"/>
        </w:rPr>
        <w:fldChar w:fldCharType="end"/>
      </w:r>
      <w:r>
        <w:rPr>
          <w:rFonts w:hint="eastAsia"/>
          <w:color w:val="auto"/>
          <w:sz w:val="21"/>
          <w:szCs w:val="21"/>
          <w:highlight w:val="none"/>
        </w:rPr>
        <w:fldChar w:fldCharType="end"/>
      </w:r>
    </w:p>
    <w:p w14:paraId="78F7724E">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"_Toc175764471" </w:instrText>
      </w:r>
      <w:r>
        <w:rPr>
          <w:color w:val="auto"/>
          <w:highlight w:val="none"/>
        </w:rPr>
        <w:fldChar w:fldCharType="separate"/>
      </w:r>
      <w:r>
        <w:rPr>
          <w:rStyle w:val="37"/>
          <w:rFonts w:hint="eastAsia" w:ascii="宋体" w:hAnsi="宋体" w:cs="宋体"/>
          <w:color w:val="auto"/>
          <w:sz w:val="21"/>
          <w:szCs w:val="21"/>
          <w:highlight w:val="none"/>
          <w:lang w:eastAsia="zh-CN"/>
        </w:rPr>
        <w:t>附件1.工程量清单</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_Toc175764471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774A32A1">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"_Toc175764472" </w:instrText>
      </w:r>
      <w:r>
        <w:rPr>
          <w:color w:val="auto"/>
          <w:highlight w:val="none"/>
        </w:rPr>
        <w:fldChar w:fldCharType="separate"/>
      </w:r>
      <w:r>
        <w:rPr>
          <w:rStyle w:val="37"/>
          <w:rFonts w:hint="eastAsia" w:ascii="宋体" w:hAnsi="宋体" w:cs="宋体"/>
          <w:color w:val="auto"/>
          <w:sz w:val="21"/>
          <w:szCs w:val="21"/>
          <w:highlight w:val="none"/>
          <w:lang w:eastAsia="zh-CN"/>
        </w:rPr>
        <w:t>附件2.甲供材料、机械设备明细表</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_Toc175764472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6BE610C6">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"_Toc175764473" </w:instrText>
      </w:r>
      <w:r>
        <w:rPr>
          <w:color w:val="auto"/>
          <w:highlight w:val="none"/>
        </w:rPr>
        <w:fldChar w:fldCharType="separate"/>
      </w:r>
      <w:r>
        <w:rPr>
          <w:rStyle w:val="37"/>
          <w:rFonts w:hint="eastAsia" w:ascii="宋体" w:hAnsi="宋体" w:cs="宋体"/>
          <w:color w:val="auto"/>
          <w:sz w:val="21"/>
          <w:szCs w:val="21"/>
          <w:highlight w:val="none"/>
          <w:lang w:eastAsia="zh-CN"/>
        </w:rPr>
        <w:t>附件3.拟投入本合同工程主要人员汇总表</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_Toc175764473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32575012">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"_Toc175764474" </w:instrText>
      </w:r>
      <w:r>
        <w:rPr>
          <w:color w:val="auto"/>
          <w:highlight w:val="none"/>
        </w:rPr>
        <w:fldChar w:fldCharType="separate"/>
      </w:r>
      <w:r>
        <w:rPr>
          <w:rStyle w:val="37"/>
          <w:rFonts w:hint="eastAsia" w:ascii="宋体" w:hAnsi="宋体" w:cs="宋体"/>
          <w:color w:val="auto"/>
          <w:sz w:val="21"/>
          <w:szCs w:val="21"/>
          <w:highlight w:val="none"/>
          <w:lang w:eastAsia="zh-CN"/>
        </w:rPr>
        <w:t>附件4.拟进场机械设备一览表</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_Toc175764474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22538C5F">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"_Toc175764475" </w:instrText>
      </w:r>
      <w:r>
        <w:rPr>
          <w:color w:val="auto"/>
          <w:highlight w:val="none"/>
        </w:rPr>
        <w:fldChar w:fldCharType="separate"/>
      </w:r>
      <w:r>
        <w:rPr>
          <w:rStyle w:val="37"/>
          <w:rFonts w:hint="eastAsia" w:ascii="宋体" w:hAnsi="宋体" w:cs="宋体"/>
          <w:color w:val="auto"/>
          <w:sz w:val="21"/>
          <w:szCs w:val="21"/>
          <w:highlight w:val="none"/>
          <w:lang w:eastAsia="zh-CN"/>
        </w:rPr>
        <w:t>附件5.安全管理协议书</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_Toc175764475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1BF2299D">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"_Toc175764476" </w:instrText>
      </w:r>
      <w:r>
        <w:rPr>
          <w:color w:val="auto"/>
          <w:highlight w:val="none"/>
        </w:rPr>
        <w:fldChar w:fldCharType="separate"/>
      </w:r>
      <w:r>
        <w:rPr>
          <w:rStyle w:val="37"/>
          <w:rFonts w:hint="eastAsia" w:ascii="宋体" w:hAnsi="宋体" w:cs="宋体"/>
          <w:color w:val="auto"/>
          <w:sz w:val="21"/>
          <w:szCs w:val="21"/>
          <w:highlight w:val="none"/>
          <w:lang w:eastAsia="zh-CN"/>
        </w:rPr>
        <w:t>附件6.廉政合同</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_Toc175764476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185871E1">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"_Toc175764477" </w:instrText>
      </w:r>
      <w:r>
        <w:rPr>
          <w:color w:val="auto"/>
          <w:highlight w:val="none"/>
        </w:rPr>
        <w:fldChar w:fldCharType="separate"/>
      </w:r>
      <w:r>
        <w:rPr>
          <w:rStyle w:val="37"/>
          <w:rFonts w:hint="eastAsia" w:ascii="宋体" w:hAnsi="宋体" w:cs="宋体"/>
          <w:color w:val="auto"/>
          <w:sz w:val="21"/>
          <w:szCs w:val="21"/>
          <w:highlight w:val="none"/>
          <w:lang w:eastAsia="zh-CN"/>
        </w:rPr>
        <w:t>附件7.履约授权管理协议</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_Toc175764477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5BAFACC5">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"_Toc175764478" </w:instrText>
      </w:r>
      <w:r>
        <w:rPr>
          <w:color w:val="auto"/>
          <w:highlight w:val="none"/>
        </w:rPr>
        <w:fldChar w:fldCharType="separate"/>
      </w:r>
      <w:r>
        <w:rPr>
          <w:rStyle w:val="37"/>
          <w:rFonts w:hint="eastAsia" w:ascii="宋体" w:hAnsi="宋体" w:cs="宋体"/>
          <w:color w:val="auto"/>
          <w:sz w:val="21"/>
          <w:szCs w:val="21"/>
          <w:highlight w:val="none"/>
          <w:lang w:eastAsia="zh-CN"/>
        </w:rPr>
        <w:t>附件8.工程项目施工质量管理协议书</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_Toc175764478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7F6886C7">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"_Toc175764479" </w:instrText>
      </w:r>
      <w:r>
        <w:rPr>
          <w:color w:val="auto"/>
          <w:highlight w:val="none"/>
        </w:rPr>
        <w:fldChar w:fldCharType="separate"/>
      </w:r>
      <w:r>
        <w:rPr>
          <w:rStyle w:val="37"/>
          <w:rFonts w:hint="eastAsia" w:ascii="宋体" w:hAnsi="宋体" w:cs="宋体"/>
          <w:color w:val="auto"/>
          <w:sz w:val="21"/>
          <w:szCs w:val="21"/>
          <w:highlight w:val="none"/>
          <w:lang w:eastAsia="zh-CN"/>
        </w:rPr>
        <w:t>附件9.质量保修书</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_Toc175764479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59A1DC79">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"_Toc175764480" </w:instrText>
      </w:r>
      <w:r>
        <w:rPr>
          <w:color w:val="auto"/>
          <w:highlight w:val="none"/>
        </w:rPr>
        <w:fldChar w:fldCharType="separate"/>
      </w:r>
      <w:r>
        <w:rPr>
          <w:rStyle w:val="37"/>
          <w:rFonts w:hint="eastAsia" w:ascii="宋体" w:hAnsi="宋体" w:cs="宋体"/>
          <w:color w:val="auto"/>
          <w:sz w:val="21"/>
          <w:szCs w:val="21"/>
          <w:highlight w:val="none"/>
          <w:lang w:eastAsia="zh-CN"/>
        </w:rPr>
        <w:t>附件10.农民工工资管理协议</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_Toc175764480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4AC41558">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"_Toc175764481" </w:instrText>
      </w:r>
      <w:r>
        <w:rPr>
          <w:color w:val="auto"/>
          <w:highlight w:val="none"/>
        </w:rPr>
        <w:fldChar w:fldCharType="separate"/>
      </w:r>
      <w:r>
        <w:rPr>
          <w:rStyle w:val="37"/>
          <w:rFonts w:hint="eastAsia" w:ascii="宋体" w:hAnsi="宋体" w:cs="宋体"/>
          <w:color w:val="auto"/>
          <w:sz w:val="21"/>
          <w:szCs w:val="21"/>
          <w:highlight w:val="none"/>
          <w:lang w:eastAsia="zh-CN"/>
        </w:rPr>
        <w:t>附件11.项目部合规权限告知书</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_Toc175764481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2B5CECFD">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"_Toc175764482" </w:instrText>
      </w:r>
      <w:r>
        <w:rPr>
          <w:color w:val="auto"/>
          <w:highlight w:val="none"/>
        </w:rPr>
        <w:fldChar w:fldCharType="separate"/>
      </w:r>
      <w:r>
        <w:rPr>
          <w:rStyle w:val="37"/>
          <w:rFonts w:hint="eastAsia" w:ascii="宋体" w:hAnsi="宋体" w:cs="宋体"/>
          <w:color w:val="auto"/>
          <w:sz w:val="21"/>
          <w:szCs w:val="21"/>
          <w:highlight w:val="none"/>
          <w:lang w:eastAsia="zh-CN"/>
        </w:rPr>
        <w:t>附件12.授权委托书（分包方）</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_Toc175764482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53F8E692">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"_Toc175764483" </w:instrText>
      </w:r>
      <w:r>
        <w:rPr>
          <w:color w:val="auto"/>
          <w:highlight w:val="none"/>
        </w:rPr>
        <w:fldChar w:fldCharType="separate"/>
      </w:r>
      <w:r>
        <w:rPr>
          <w:rStyle w:val="37"/>
          <w:rFonts w:hint="eastAsia" w:ascii="宋体" w:hAnsi="宋体" w:cs="宋体"/>
          <w:color w:val="auto"/>
          <w:sz w:val="21"/>
          <w:szCs w:val="21"/>
          <w:highlight w:val="none"/>
          <w:lang w:eastAsia="zh-CN"/>
        </w:rPr>
        <w:t>附件13.农民工工资代发授权委托书</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_Toc175764483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1CAE3B96">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"_Toc175764484" </w:instrText>
      </w:r>
      <w:r>
        <w:rPr>
          <w:color w:val="auto"/>
          <w:highlight w:val="none"/>
        </w:rPr>
        <w:fldChar w:fldCharType="separate"/>
      </w:r>
      <w:r>
        <w:rPr>
          <w:rStyle w:val="37"/>
          <w:rFonts w:hint="eastAsia" w:ascii="宋体" w:hAnsi="宋体" w:cs="宋体"/>
          <w:color w:val="auto"/>
          <w:sz w:val="21"/>
          <w:szCs w:val="21"/>
          <w:highlight w:val="none"/>
          <w:lang w:eastAsia="zh-CN"/>
        </w:rPr>
        <w:t>附件14.农民工当期工资支付完毕声明书</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_Toc175764484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7F73BE89">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"_Toc175764485" </w:instrText>
      </w:r>
      <w:r>
        <w:rPr>
          <w:color w:val="auto"/>
          <w:highlight w:val="none"/>
        </w:rPr>
        <w:fldChar w:fldCharType="separate"/>
      </w:r>
      <w:r>
        <w:rPr>
          <w:rStyle w:val="37"/>
          <w:rFonts w:hint="eastAsia" w:ascii="宋体" w:hAnsi="宋体" w:cs="宋体"/>
          <w:color w:val="auto"/>
          <w:sz w:val="21"/>
          <w:szCs w:val="21"/>
          <w:highlight w:val="none"/>
          <w:lang w:eastAsia="zh-CN"/>
        </w:rPr>
        <w:t>附件15.违约金扣款通知单</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_Toc175764485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51</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1925E2C8">
      <w:pPr>
        <w:pStyle w:val="22"/>
        <w:tabs>
          <w:tab w:val="right" w:leader="dot" w:pos="9628"/>
          <w:tab w:val="clear" w:pos="8511"/>
        </w:tabs>
        <w:spacing w:after="0" w:line="240" w:lineRule="auto"/>
        <w:rPr>
          <w:rFonts w:hint="eastAsia" w:ascii="宋体" w:hAnsi="宋体" w:cs="Times New Roman"/>
          <w:color w:val="auto"/>
          <w:kern w:val="2"/>
          <w:sz w:val="21"/>
          <w:szCs w:val="21"/>
          <w:highlight w:val="none"/>
          <w:lang w:eastAsia="zh-CN" w:bidi="ar-SA"/>
        </w:rPr>
      </w:pPr>
      <w:r>
        <w:rPr>
          <w:color w:val="auto"/>
          <w:highlight w:val="none"/>
        </w:rPr>
        <w:fldChar w:fldCharType="begin"/>
      </w:r>
      <w:r>
        <w:rPr>
          <w:color w:val="auto"/>
          <w:highlight w:val="none"/>
        </w:rPr>
        <w:instrText xml:space="preserve"> HYPERLINK \l "_Toc175764486" </w:instrText>
      </w:r>
      <w:r>
        <w:rPr>
          <w:color w:val="auto"/>
          <w:highlight w:val="none"/>
        </w:rPr>
        <w:fldChar w:fldCharType="separate"/>
      </w:r>
      <w:r>
        <w:rPr>
          <w:rStyle w:val="37"/>
          <w:rFonts w:hint="eastAsia" w:ascii="宋体" w:hAnsi="宋体" w:cs="宋体"/>
          <w:color w:val="auto"/>
          <w:sz w:val="21"/>
          <w:szCs w:val="21"/>
          <w:highlight w:val="none"/>
          <w:lang w:eastAsia="zh-CN"/>
        </w:rPr>
        <w:t>附件16.签证工作内容记录单</w:t>
      </w:r>
      <w:r>
        <w:rPr>
          <w:rFonts w:hint="eastAsia" w:ascii="宋体" w:hAnsi="宋体"/>
          <w:color w:val="auto"/>
          <w:sz w:val="21"/>
          <w:szCs w:val="21"/>
          <w:highlight w:val="none"/>
        </w:rPr>
        <w:tab/>
      </w:r>
      <w:r>
        <w:rPr>
          <w:rFonts w:hint="eastAsia" w:ascii="宋体" w:hAnsi="宋体"/>
          <w:color w:val="auto"/>
          <w:sz w:val="21"/>
          <w:szCs w:val="21"/>
          <w:highlight w:val="none"/>
        </w:rPr>
        <w:fldChar w:fldCharType="begin"/>
      </w:r>
      <w:r>
        <w:rPr>
          <w:rFonts w:hint="eastAsia" w:ascii="宋体" w:hAnsi="宋体"/>
          <w:color w:val="auto"/>
          <w:sz w:val="21"/>
          <w:szCs w:val="21"/>
          <w:highlight w:val="none"/>
        </w:rPr>
        <w:instrText xml:space="preserve"> </w:instrText>
      </w:r>
      <w:r>
        <w:rPr>
          <w:rFonts w:ascii="宋体" w:hAnsi="宋体"/>
          <w:color w:val="auto"/>
          <w:sz w:val="21"/>
          <w:szCs w:val="21"/>
          <w:highlight w:val="none"/>
        </w:rPr>
        <w:instrText xml:space="preserve">PAGEREF _Toc175764486 \h</w:instrText>
      </w:r>
      <w:r>
        <w:rPr>
          <w:rFonts w:hint="eastAsia" w:ascii="宋体" w:hAnsi="宋体"/>
          <w:color w:val="auto"/>
          <w:sz w:val="21"/>
          <w:szCs w:val="21"/>
          <w:highlight w:val="none"/>
        </w:rPr>
        <w:instrText xml:space="preserve"> </w:instrText>
      </w:r>
      <w:r>
        <w:rPr>
          <w:rFonts w:hint="eastAsia" w:ascii="宋体" w:hAnsi="宋体"/>
          <w:color w:val="auto"/>
          <w:sz w:val="21"/>
          <w:szCs w:val="21"/>
          <w:highlight w:val="none"/>
        </w:rPr>
        <w:fldChar w:fldCharType="separate"/>
      </w:r>
      <w:r>
        <w:rPr>
          <w:rFonts w:hint="eastAsia" w:ascii="宋体" w:hAnsi="宋体"/>
          <w:color w:val="auto"/>
          <w:sz w:val="21"/>
          <w:szCs w:val="21"/>
          <w:highlight w:val="none"/>
        </w:rPr>
        <w:t>52</w:t>
      </w:r>
      <w:r>
        <w:rPr>
          <w:rFonts w:hint="eastAsia" w:ascii="宋体" w:hAnsi="宋体"/>
          <w:color w:val="auto"/>
          <w:sz w:val="21"/>
          <w:szCs w:val="21"/>
          <w:highlight w:val="none"/>
        </w:rPr>
        <w:fldChar w:fldCharType="end"/>
      </w:r>
      <w:r>
        <w:rPr>
          <w:rFonts w:hint="eastAsia" w:ascii="宋体" w:hAnsi="宋体"/>
          <w:color w:val="auto"/>
          <w:sz w:val="21"/>
          <w:szCs w:val="21"/>
          <w:highlight w:val="none"/>
        </w:rPr>
        <w:fldChar w:fldCharType="end"/>
      </w:r>
    </w:p>
    <w:p w14:paraId="681FBC53">
      <w:pPr>
        <w:pStyle w:val="22"/>
        <w:tabs>
          <w:tab w:val="right" w:leader="dot" w:pos="9628"/>
          <w:tab w:val="clear" w:pos="8511"/>
        </w:tabs>
        <w:spacing w:after="0" w:line="240" w:lineRule="auto"/>
        <w:jc w:val="both"/>
        <w:rPr>
          <w:rFonts w:hint="eastAsia" w:ascii="宋体" w:hAnsi="宋体"/>
          <w:color w:val="auto"/>
          <w:sz w:val="21"/>
          <w:szCs w:val="21"/>
          <w:highlight w:val="none"/>
        </w:rPr>
      </w:pPr>
      <w:r>
        <w:rPr>
          <w:rFonts w:ascii="宋体" w:hAnsi="宋体"/>
          <w:color w:val="auto"/>
          <w:sz w:val="21"/>
          <w:szCs w:val="21"/>
          <w:highlight w:val="none"/>
        </w:rPr>
        <w:fldChar w:fldCharType="end"/>
      </w:r>
    </w:p>
    <w:p w14:paraId="10BF952A">
      <w:pPr>
        <w:kinsoku w:val="0"/>
        <w:spacing w:beforeAutospacing="1" w:after="100" w:afterAutospacing="1" w:line="360" w:lineRule="auto"/>
        <w:rPr>
          <w:rFonts w:hint="eastAsia" w:ascii="宋体" w:hAnsi="宋体"/>
          <w:b/>
          <w:color w:val="auto"/>
          <w:sz w:val="30"/>
          <w:szCs w:val="30"/>
          <w:highlight w:val="none"/>
          <w:lang w:eastAsia="zh-CN"/>
        </w:rPr>
        <w:sectPr>
          <w:headerReference r:id="rId11" w:type="default"/>
          <w:footerReference r:id="rId12" w:type="default"/>
          <w:pgSz w:w="11906" w:h="16838"/>
          <w:pgMar w:top="1134" w:right="1134" w:bottom="1134" w:left="1134" w:header="851" w:footer="850" w:gutter="0"/>
          <w:pgNumType w:start="1"/>
          <w:cols w:space="720" w:num="1"/>
          <w:docGrid w:type="lines" w:linePitch="312" w:charSpace="0"/>
        </w:sectPr>
      </w:pPr>
    </w:p>
    <w:p w14:paraId="48BFEA5E">
      <w:pPr>
        <w:numPr>
          <w:ilvl w:val="0"/>
          <w:numId w:val="3"/>
        </w:numPr>
        <w:kinsoku w:val="0"/>
        <w:spacing w:line="360" w:lineRule="auto"/>
        <w:ind w:left="158" w:leftChars="75"/>
        <w:jc w:val="center"/>
        <w:outlineLvl w:val="0"/>
        <w:rPr>
          <w:rFonts w:hint="eastAsia" w:ascii="宋体" w:hAnsi="宋体"/>
          <w:b/>
          <w:color w:val="auto"/>
          <w:sz w:val="32"/>
          <w:szCs w:val="32"/>
          <w:highlight w:val="none"/>
          <w:lang w:eastAsia="zh-CN"/>
        </w:rPr>
      </w:pPr>
      <w:bookmarkStart w:id="575" w:name="_Toc175764407"/>
      <w:r>
        <w:rPr>
          <w:rFonts w:hint="eastAsia" w:ascii="宋体" w:hAnsi="宋体"/>
          <w:b/>
          <w:color w:val="auto"/>
          <w:sz w:val="32"/>
          <w:szCs w:val="32"/>
          <w:highlight w:val="none"/>
          <w:lang w:eastAsia="zh-CN"/>
        </w:rPr>
        <w:t>合同协议书</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14:paraId="5B610B51">
      <w:pPr>
        <w:kinsoku w:val="0"/>
        <w:spacing w:after="0" w:line="360" w:lineRule="auto"/>
        <w:ind w:left="158" w:leftChars="75"/>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甲方（全称）：中建路桥集团</w:t>
      </w:r>
      <w:r>
        <w:rPr>
          <w:rFonts w:hint="eastAsia" w:ascii="宋体" w:hAnsi="宋体" w:cs="宋体"/>
          <w:b/>
          <w:color w:val="auto"/>
          <w:sz w:val="21"/>
          <w:szCs w:val="21"/>
          <w:highlight w:val="none"/>
          <w:lang w:val="en-US" w:eastAsia="zh-CN"/>
        </w:rPr>
        <w:t>第二工程</w:t>
      </w:r>
      <w:r>
        <w:rPr>
          <w:rFonts w:hint="eastAsia" w:ascii="宋体" w:hAnsi="宋体" w:eastAsia="宋体" w:cs="宋体"/>
          <w:b/>
          <w:color w:val="auto"/>
          <w:sz w:val="21"/>
          <w:szCs w:val="21"/>
          <w:highlight w:val="none"/>
          <w:lang w:eastAsia="zh-CN"/>
        </w:rPr>
        <w:t>有限公司</w:t>
      </w:r>
    </w:p>
    <w:p w14:paraId="502D6734">
      <w:pPr>
        <w:kinsoku w:val="0"/>
        <w:spacing w:after="0" w:line="360" w:lineRule="auto"/>
        <w:ind w:left="158" w:leftChars="75"/>
        <w:rPr>
          <w:rFonts w:hint="eastAsia" w:ascii="宋体" w:hAnsi="宋体" w:eastAsia="宋体" w:cs="宋体"/>
          <w:color w:val="auto"/>
          <w:sz w:val="21"/>
          <w:szCs w:val="21"/>
          <w:highlight w:val="none"/>
          <w:lang w:eastAsia="zh-CN"/>
        </w:rPr>
      </w:pPr>
      <w:r>
        <w:rPr>
          <w:rFonts w:hint="eastAsia" w:ascii="宋体" w:hAnsi="宋体" w:eastAsia="宋体" w:cs="宋体"/>
          <w:b/>
          <w:color w:val="auto"/>
          <w:sz w:val="21"/>
          <w:szCs w:val="21"/>
          <w:highlight w:val="none"/>
          <w:lang w:eastAsia="zh-CN"/>
        </w:rPr>
        <w:t>乙方（全称）：</w:t>
      </w:r>
      <w:r>
        <w:rPr>
          <w:rFonts w:hint="eastAsia" w:ascii="宋体" w:hAnsi="宋体" w:eastAsia="宋体" w:cs="宋体"/>
          <w:b/>
          <w:color w:val="auto"/>
          <w:sz w:val="21"/>
          <w:szCs w:val="21"/>
          <w:highlight w:val="none"/>
          <w:u w:val="single"/>
          <w:lang w:eastAsia="zh-CN"/>
        </w:rPr>
        <w:t xml:space="preserve">                     </w:t>
      </w:r>
    </w:p>
    <w:p w14:paraId="44172D11">
      <w:pPr>
        <w:kinsoku w:val="0"/>
        <w:spacing w:after="0" w:line="360" w:lineRule="auto"/>
        <w:ind w:left="158" w:leftChars="75" w:firstLine="420" w:firstLineChars="200"/>
        <w:jc w:val="both"/>
        <w:rPr>
          <w:rFonts w:hint="eastAsia" w:ascii="宋体" w:hAnsi="宋体" w:eastAsia="宋体" w:cs="宋体"/>
          <w:color w:val="auto"/>
          <w:sz w:val="21"/>
          <w:szCs w:val="21"/>
          <w:highlight w:val="none"/>
          <w:u w:val="single"/>
          <w:lang w:eastAsia="zh-CN"/>
        </w:rPr>
      </w:pPr>
      <w:bookmarkStart w:id="576" w:name="A1"/>
      <w:bookmarkEnd w:id="576"/>
      <w:r>
        <w:rPr>
          <w:rFonts w:hint="eastAsia" w:ascii="宋体" w:hAnsi="宋体" w:eastAsia="宋体" w:cs="宋体"/>
          <w:color w:val="auto"/>
          <w:sz w:val="21"/>
          <w:szCs w:val="21"/>
          <w:highlight w:val="none"/>
          <w:lang w:eastAsia="zh-CN"/>
        </w:rPr>
        <w:t>根据《中华人民共和国民法典》、《中华人民共和国建筑法》、《中华人民共和国采购投标法》及有关法律规定，遵循平等、自愿、公平、诚信、互利的原则，经过友好协商就</w:t>
      </w:r>
      <w:r>
        <w:rPr>
          <w:rFonts w:hint="eastAsia" w:ascii="宋体" w:hAnsi="宋体" w:eastAsia="宋体" w:cs="宋体"/>
          <w:color w:val="auto"/>
          <w:sz w:val="21"/>
          <w:szCs w:val="21"/>
          <w:highlight w:val="none"/>
          <w:u w:val="single"/>
          <w:lang w:eastAsia="zh-CN"/>
        </w:rPr>
        <w:t xml:space="preserve"> 海兴高速项目</w:t>
      </w:r>
      <w:r>
        <w:rPr>
          <w:rFonts w:hint="eastAsia" w:ascii="宋体" w:hAnsi="宋体" w:cs="宋体"/>
          <w:color w:val="auto"/>
          <w:sz w:val="21"/>
          <w:szCs w:val="21"/>
          <w:highlight w:val="none"/>
          <w:u w:val="single"/>
          <w:lang w:eastAsia="zh-CN"/>
        </w:rPr>
        <w:t>钢板桩施工</w:t>
      </w:r>
      <w:r>
        <w:rPr>
          <w:rFonts w:hint="eastAsia" w:ascii="宋体" w:hAnsi="宋体" w:eastAsia="宋体" w:cs="宋体"/>
          <w:color w:val="auto"/>
          <w:sz w:val="21"/>
          <w:szCs w:val="21"/>
          <w:highlight w:val="none"/>
          <w:u w:val="single"/>
          <w:lang w:eastAsia="zh-CN"/>
        </w:rPr>
        <w:t>施工劳务分包</w:t>
      </w:r>
      <w:r>
        <w:rPr>
          <w:rFonts w:hint="eastAsia" w:ascii="宋体" w:hAnsi="宋体" w:eastAsia="宋体" w:cs="宋体"/>
          <w:color w:val="auto"/>
          <w:sz w:val="21"/>
          <w:szCs w:val="21"/>
          <w:highlight w:val="none"/>
          <w:lang w:eastAsia="zh-CN"/>
        </w:rPr>
        <w:t>施工及有关事项协商一致，双方达成如下协议：</w:t>
      </w:r>
    </w:p>
    <w:p w14:paraId="49980B10">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577" w:name="_Toc1550"/>
      <w:bookmarkStart w:id="578" w:name="_Toc3651"/>
      <w:bookmarkStart w:id="579" w:name="_Toc17748"/>
      <w:bookmarkStart w:id="580" w:name="_Toc21610"/>
      <w:bookmarkStart w:id="581" w:name="_Toc4246"/>
      <w:bookmarkStart w:id="582" w:name="_Toc30819"/>
      <w:bookmarkStart w:id="583" w:name="_Toc101963470"/>
      <w:bookmarkStart w:id="584" w:name="_Toc8865"/>
      <w:bookmarkStart w:id="585" w:name="_Toc21439"/>
      <w:bookmarkStart w:id="586" w:name="_Toc23003"/>
      <w:bookmarkStart w:id="587" w:name="_Toc175764408"/>
      <w:bookmarkStart w:id="588" w:name="_Toc8611"/>
      <w:bookmarkStart w:id="589" w:name="_Toc22494"/>
      <w:bookmarkStart w:id="590" w:name="_Toc32083"/>
      <w:bookmarkStart w:id="591" w:name="_Toc32504"/>
      <w:bookmarkStart w:id="592" w:name="_Toc28202"/>
      <w:bookmarkStart w:id="593" w:name="_Toc13150"/>
      <w:bookmarkStart w:id="594" w:name="_Toc2334"/>
      <w:bookmarkStart w:id="595" w:name="_Toc2199"/>
      <w:bookmarkStart w:id="596" w:name="_Toc101357394"/>
      <w:bookmarkStart w:id="597" w:name="_Toc483"/>
      <w:bookmarkStart w:id="598" w:name="_Toc351203481"/>
      <w:r>
        <w:rPr>
          <w:rFonts w:hint="eastAsia" w:ascii="宋体" w:hAnsi="宋体" w:eastAsia="宋体" w:cs="宋体"/>
          <w:b/>
          <w:color w:val="auto"/>
          <w:sz w:val="21"/>
          <w:szCs w:val="21"/>
          <w:highlight w:val="none"/>
          <w:lang w:eastAsia="zh-CN"/>
        </w:rPr>
        <w:t>分包</w:t>
      </w:r>
      <w:r>
        <w:rPr>
          <w:rFonts w:hint="eastAsia" w:ascii="宋体" w:hAnsi="宋体" w:eastAsia="宋体" w:cs="宋体"/>
          <w:b/>
          <w:color w:val="auto"/>
          <w:sz w:val="21"/>
          <w:szCs w:val="21"/>
          <w:highlight w:val="none"/>
        </w:rPr>
        <w:t>工程概况</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14:paraId="03627614">
      <w:pPr>
        <w:numPr>
          <w:ilvl w:val="1"/>
          <w:numId w:val="4"/>
        </w:numPr>
        <w:kinsoku w:val="0"/>
        <w:spacing w:after="0" w:line="360" w:lineRule="auto"/>
        <w:ind w:left="315" w:leftChars="150"/>
        <w:rPr>
          <w:rFonts w:hint="eastAsia" w:ascii="宋体" w:hAnsi="宋体" w:eastAsia="宋体" w:cs="宋体"/>
          <w:color w:val="auto"/>
          <w:sz w:val="21"/>
          <w:szCs w:val="21"/>
          <w:highlight w:val="none"/>
          <w:lang w:eastAsia="zh-CN"/>
        </w:rPr>
      </w:pPr>
      <w:bookmarkStart w:id="599" w:name="_Toc101357395"/>
      <w:r>
        <w:rPr>
          <w:rFonts w:hint="eastAsia" w:ascii="宋体" w:hAnsi="宋体" w:eastAsia="宋体" w:cs="宋体"/>
          <w:color w:val="auto"/>
          <w:sz w:val="21"/>
          <w:szCs w:val="21"/>
          <w:highlight w:val="none"/>
          <w:lang w:eastAsia="zh-CN"/>
        </w:rPr>
        <w:t>工程名称：</w:t>
      </w:r>
      <w:bookmarkEnd w:id="599"/>
      <w:r>
        <w:rPr>
          <w:rFonts w:hint="eastAsia" w:ascii="宋体" w:hAnsi="宋体" w:eastAsia="宋体" w:cs="宋体"/>
          <w:color w:val="auto"/>
          <w:sz w:val="21"/>
          <w:szCs w:val="21"/>
          <w:highlight w:val="none"/>
          <w:u w:val="single"/>
          <w:lang w:eastAsia="zh-CN"/>
        </w:rPr>
        <w:t xml:space="preserve"> </w:t>
      </w:r>
      <w:r>
        <w:rPr>
          <w:rFonts w:hint="eastAsia" w:ascii="宋体" w:hAnsi="宋体" w:cs="宋体"/>
          <w:color w:val="auto"/>
          <w:sz w:val="21"/>
          <w:szCs w:val="21"/>
          <w:highlight w:val="none"/>
          <w:u w:val="single"/>
          <w:lang w:val="en-US" w:eastAsia="zh-CN"/>
        </w:rPr>
        <w:t>海兴高速项目</w:t>
      </w:r>
      <w:r>
        <w:rPr>
          <w:rFonts w:hint="eastAsia" w:ascii="宋体" w:hAnsi="宋体" w:eastAsia="宋体" w:cs="宋体"/>
          <w:color w:val="auto"/>
          <w:sz w:val="21"/>
          <w:szCs w:val="21"/>
          <w:highlight w:val="none"/>
          <w:u w:val="single"/>
          <w:lang w:eastAsia="zh-CN"/>
        </w:rPr>
        <w:t xml:space="preserve"> </w:t>
      </w:r>
    </w:p>
    <w:p w14:paraId="0BEEABFE">
      <w:pPr>
        <w:numPr>
          <w:ilvl w:val="1"/>
          <w:numId w:val="4"/>
        </w:numPr>
        <w:kinsoku w:val="0"/>
        <w:spacing w:after="0" w:line="360" w:lineRule="auto"/>
        <w:ind w:left="315" w:leftChars="150"/>
        <w:rPr>
          <w:rFonts w:hint="eastAsia" w:ascii="宋体" w:hAnsi="宋体" w:eastAsia="宋体" w:cs="宋体"/>
          <w:color w:val="auto"/>
          <w:sz w:val="21"/>
          <w:szCs w:val="21"/>
          <w:highlight w:val="none"/>
          <w:lang w:eastAsia="zh-CN"/>
        </w:rPr>
      </w:pPr>
      <w:bookmarkStart w:id="600" w:name="_Toc101357396"/>
      <w:r>
        <w:rPr>
          <w:rFonts w:hint="eastAsia" w:ascii="宋体" w:hAnsi="宋体" w:eastAsia="宋体" w:cs="宋体"/>
          <w:color w:val="auto"/>
          <w:sz w:val="21"/>
          <w:szCs w:val="21"/>
          <w:highlight w:val="none"/>
          <w:lang w:eastAsia="zh-CN"/>
        </w:rPr>
        <w:t>工程地点：</w:t>
      </w:r>
      <w:bookmarkEnd w:id="600"/>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沧州市海兴县</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w:t>
      </w:r>
    </w:p>
    <w:p w14:paraId="22BFACCC">
      <w:pPr>
        <w:numPr>
          <w:ilvl w:val="1"/>
          <w:numId w:val="4"/>
        </w:numPr>
        <w:kinsoku w:val="0"/>
        <w:spacing w:after="0" w:line="360" w:lineRule="auto"/>
        <w:ind w:left="315" w:leftChars="150"/>
        <w:rPr>
          <w:rFonts w:hint="eastAsia" w:ascii="宋体" w:hAnsi="宋体" w:eastAsia="宋体" w:cs="宋体"/>
          <w:color w:val="auto"/>
          <w:sz w:val="21"/>
          <w:szCs w:val="21"/>
          <w:highlight w:val="none"/>
          <w:lang w:eastAsia="zh-CN"/>
        </w:rPr>
      </w:pPr>
      <w:bookmarkStart w:id="601" w:name="_Toc101357397"/>
      <w:r>
        <w:rPr>
          <w:rFonts w:hint="eastAsia" w:ascii="宋体" w:hAnsi="宋体" w:eastAsia="宋体" w:cs="宋体"/>
          <w:color w:val="auto"/>
          <w:sz w:val="21"/>
          <w:szCs w:val="21"/>
          <w:highlight w:val="none"/>
          <w:lang w:eastAsia="zh-CN"/>
        </w:rPr>
        <w:t>工程承包范围：</w:t>
      </w:r>
      <w:bookmarkEnd w:id="601"/>
      <w:r>
        <w:rPr>
          <w:rFonts w:hint="eastAsia" w:ascii="宋体" w:hAnsi="宋体" w:eastAsia="宋体" w:cs="宋体"/>
          <w:color w:val="auto"/>
          <w:sz w:val="21"/>
          <w:szCs w:val="21"/>
          <w:highlight w:val="none"/>
          <w:u w:val="single"/>
          <w:lang w:eastAsia="zh-CN"/>
        </w:rPr>
        <w:t xml:space="preserve"> </w:t>
      </w:r>
      <w:r>
        <w:rPr>
          <w:rFonts w:hint="eastAsia" w:ascii="宋体" w:hAnsi="宋体" w:cs="宋体"/>
          <w:color w:val="auto"/>
          <w:sz w:val="21"/>
          <w:szCs w:val="21"/>
          <w:highlight w:val="none"/>
          <w:u w:val="single"/>
          <w:lang w:val="en-US" w:eastAsia="zh-CN"/>
        </w:rPr>
        <w:t>钢板桩施工</w:t>
      </w:r>
      <w:r>
        <w:rPr>
          <w:rFonts w:hint="eastAsia" w:ascii="宋体" w:hAnsi="宋体" w:eastAsia="宋体" w:cs="宋体"/>
          <w:color w:val="auto"/>
          <w:sz w:val="21"/>
          <w:szCs w:val="21"/>
          <w:highlight w:val="none"/>
          <w:u w:val="single"/>
          <w:lang w:val="en-US" w:eastAsia="zh-CN"/>
        </w:rPr>
        <w:t>等施工内容</w:t>
      </w:r>
      <w:r>
        <w:rPr>
          <w:rFonts w:hint="eastAsia" w:ascii="宋体" w:hAnsi="宋体" w:eastAsia="宋体" w:cs="宋体"/>
          <w:color w:val="auto"/>
          <w:sz w:val="21"/>
          <w:szCs w:val="21"/>
          <w:highlight w:val="none"/>
          <w:u w:val="single"/>
          <w:lang w:eastAsia="zh-CN"/>
        </w:rPr>
        <w:t>，具体内容详见施工图纸及施工方案。</w:t>
      </w:r>
    </w:p>
    <w:p w14:paraId="528EF349">
      <w:pPr>
        <w:kinsoku w:val="0"/>
        <w:spacing w:after="0" w:line="360" w:lineRule="auto"/>
        <w:ind w:left="315" w:leftChars="150"/>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（1）</w:t>
      </w:r>
      <w:r>
        <w:rPr>
          <w:rFonts w:hint="eastAsia" w:ascii="宋体" w:hAnsi="宋体" w:eastAsia="宋体" w:cs="宋体"/>
          <w:color w:val="auto"/>
          <w:sz w:val="21"/>
          <w:szCs w:val="21"/>
          <w:highlight w:val="none"/>
          <w:lang w:eastAsia="zh-CN"/>
        </w:rPr>
        <w:t>建设单位或甲方要求新增或减少的工作内容。</w:t>
      </w:r>
    </w:p>
    <w:p w14:paraId="15F0FF0F">
      <w:pPr>
        <w:kinsoku w:val="0"/>
        <w:spacing w:after="0" w:line="360" w:lineRule="auto"/>
        <w:ind w:left="315" w:leftChars="150"/>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（2）</w:t>
      </w:r>
      <w:r>
        <w:rPr>
          <w:rFonts w:hint="eastAsia" w:ascii="宋体" w:hAnsi="宋体" w:eastAsia="宋体" w:cs="宋体"/>
          <w:color w:val="auto"/>
          <w:sz w:val="21"/>
          <w:szCs w:val="21"/>
          <w:highlight w:val="none"/>
          <w:lang w:eastAsia="zh-CN"/>
        </w:rPr>
        <w:t>根据施工图、施工相关规范及施工技术方案所列的、隐含的、可以合理推断出的或按照惯例应由乙方完成的工作内容。</w:t>
      </w:r>
    </w:p>
    <w:p w14:paraId="519EA60D">
      <w:pPr>
        <w:kinsoku w:val="0"/>
        <w:spacing w:after="0" w:line="360" w:lineRule="auto"/>
        <w:ind w:left="315" w:leftChars="150"/>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（3）</w:t>
      </w:r>
      <w:r>
        <w:rPr>
          <w:rFonts w:hint="eastAsia" w:ascii="宋体" w:hAnsi="宋体" w:eastAsia="宋体" w:cs="宋体"/>
          <w:color w:val="auto"/>
          <w:sz w:val="21"/>
          <w:szCs w:val="21"/>
          <w:highlight w:val="none"/>
          <w:lang w:eastAsia="zh-CN"/>
        </w:rPr>
        <w:t>建设单位或甲方指定的其它需乙方单位配合的工作内容。</w:t>
      </w:r>
    </w:p>
    <w:p w14:paraId="348B5F5C">
      <w:pPr>
        <w:numPr>
          <w:ilvl w:val="1"/>
          <w:numId w:val="4"/>
        </w:numPr>
        <w:kinsoku w:val="0"/>
        <w:spacing w:after="0" w:line="360" w:lineRule="auto"/>
        <w:ind w:left="315" w:leftChars="150"/>
        <w:rPr>
          <w:rFonts w:hint="eastAsia" w:ascii="宋体" w:hAnsi="宋体" w:eastAsia="宋体" w:cs="宋体"/>
          <w:color w:val="auto"/>
          <w:sz w:val="21"/>
          <w:szCs w:val="21"/>
          <w:highlight w:val="none"/>
          <w:u w:val="single"/>
          <w:lang w:eastAsia="zh-CN"/>
        </w:rPr>
      </w:pPr>
      <w:bookmarkStart w:id="602" w:name="_Toc101357398"/>
      <w:r>
        <w:rPr>
          <w:rFonts w:hint="eastAsia" w:ascii="宋体" w:hAnsi="宋体" w:eastAsia="宋体" w:cs="宋体"/>
          <w:color w:val="auto"/>
          <w:sz w:val="21"/>
          <w:szCs w:val="21"/>
          <w:highlight w:val="none"/>
          <w:lang w:eastAsia="zh-CN"/>
        </w:rPr>
        <w:t>工作界面划分：</w:t>
      </w:r>
      <w:bookmarkEnd w:id="602"/>
      <w:r>
        <w:rPr>
          <w:rFonts w:hint="eastAsia" w:ascii="宋体" w:hAnsi="宋体" w:eastAsia="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钢板桩施工</w:t>
      </w:r>
      <w:r>
        <w:rPr>
          <w:rFonts w:hint="eastAsia" w:ascii="宋体" w:hAnsi="宋体" w:eastAsia="宋体" w:cs="宋体"/>
          <w:color w:val="auto"/>
          <w:sz w:val="21"/>
          <w:szCs w:val="21"/>
          <w:highlight w:val="none"/>
          <w:u w:val="single"/>
          <w:lang w:val="en-US" w:eastAsia="zh-CN"/>
        </w:rPr>
        <w:t>等施工内容，具体内容详见施工图纸及施工方案。</w:t>
      </w:r>
    </w:p>
    <w:p w14:paraId="448925D0">
      <w:pPr>
        <w:numPr>
          <w:ilvl w:val="1"/>
          <w:numId w:val="4"/>
        </w:numPr>
        <w:kinsoku w:val="0"/>
        <w:spacing w:after="0" w:line="360" w:lineRule="auto"/>
        <w:ind w:left="315" w:leftChars="150"/>
        <w:jc w:val="both"/>
        <w:rPr>
          <w:rFonts w:hint="eastAsia" w:ascii="宋体" w:hAnsi="宋体" w:eastAsia="宋体" w:cs="宋体"/>
          <w:color w:val="auto"/>
          <w:sz w:val="21"/>
          <w:szCs w:val="21"/>
          <w:highlight w:val="none"/>
          <w:u w:val="single"/>
          <w:lang w:eastAsia="zh-CN"/>
        </w:rPr>
      </w:pPr>
      <w:bookmarkStart w:id="603" w:name="_Toc101357399"/>
      <w:r>
        <w:rPr>
          <w:rFonts w:hint="eastAsia" w:ascii="宋体" w:hAnsi="宋体" w:eastAsia="宋体" w:cs="宋体"/>
          <w:color w:val="auto"/>
          <w:sz w:val="21"/>
          <w:szCs w:val="21"/>
          <w:highlight w:val="none"/>
          <w:lang w:eastAsia="zh-CN"/>
        </w:rPr>
        <w:t>工程承包方式：</w:t>
      </w:r>
      <w:r>
        <w:rPr>
          <w:rFonts w:hint="eastAsia" w:ascii="宋体" w:hAnsi="宋体" w:eastAsia="宋体" w:cs="宋体"/>
          <w:b/>
          <w:bCs/>
          <w:color w:val="auto"/>
          <w:sz w:val="21"/>
          <w:szCs w:val="21"/>
          <w:highlight w:val="none"/>
          <w:u w:val="single"/>
          <w:lang w:eastAsia="zh-CN"/>
        </w:rPr>
        <w:t>包劳务、包低值易耗的小型机具、包辅材、包工期、包质量、包安全、包生态环保、包绿色文明施工。</w:t>
      </w:r>
      <w:bookmarkEnd w:id="603"/>
    </w:p>
    <w:p w14:paraId="75695306">
      <w:pPr>
        <w:kinsoku w:val="0"/>
        <w:spacing w:after="0" w:line="360" w:lineRule="auto"/>
        <w:ind w:left="315" w:leftChars="150"/>
        <w:jc w:val="both"/>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eastAsia="zh-CN"/>
        </w:rPr>
        <w:t>1.6如乙方在工期、质量、安全生产、文明施工、环境保护、项目管理等任何一方面不能满足建设单位或甲方要求的，</w:t>
      </w:r>
      <w:r>
        <w:rPr>
          <w:rFonts w:hint="eastAsia" w:ascii="宋体" w:hAnsi="宋体" w:eastAsia="宋体" w:cs="宋体"/>
          <w:b/>
          <w:bCs/>
          <w:color w:val="auto"/>
          <w:sz w:val="21"/>
          <w:szCs w:val="21"/>
          <w:highlight w:val="none"/>
          <w:lang w:eastAsia="zh-CN"/>
        </w:rPr>
        <w:t>甲方均可调整乙方承包范围直至终止合同，乙方不得提出任何异议和赔偿要求。</w:t>
      </w:r>
    </w:p>
    <w:p w14:paraId="2EC02BCC">
      <w:pPr>
        <w:kinsoku w:val="0"/>
        <w:spacing w:after="0" w:line="360" w:lineRule="auto"/>
        <w:ind w:left="315" w:leftChars="15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1.7施工范围及数量为暂定，实际施工过程中甲方可以根据实际施工情况增加或减少乙方的施工内容，乙方必须按照甲方的指令进行施工，确保现场施工进度。</w:t>
      </w:r>
    </w:p>
    <w:p w14:paraId="6ABF91EF">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604" w:name="_Toc15598"/>
      <w:bookmarkStart w:id="605" w:name="_Toc19204"/>
      <w:bookmarkStart w:id="606" w:name="_Toc30497"/>
      <w:bookmarkStart w:id="607" w:name="_Toc17751"/>
      <w:bookmarkStart w:id="608" w:name="_Toc32244"/>
      <w:bookmarkStart w:id="609" w:name="_Toc22403"/>
      <w:bookmarkStart w:id="610" w:name="_Toc4429"/>
      <w:bookmarkStart w:id="611" w:name="_Toc2814"/>
      <w:bookmarkStart w:id="612" w:name="_Toc351203482"/>
      <w:bookmarkStart w:id="613" w:name="_Toc28749"/>
      <w:bookmarkStart w:id="614" w:name="_Toc101357400"/>
      <w:bookmarkStart w:id="615" w:name="_Toc21139"/>
      <w:bookmarkStart w:id="616" w:name="_Toc7679"/>
      <w:bookmarkStart w:id="617" w:name="_Toc16056"/>
      <w:bookmarkStart w:id="618" w:name="_Toc15812"/>
      <w:bookmarkStart w:id="619" w:name="_Toc101963471"/>
      <w:bookmarkStart w:id="620" w:name="_Toc12274"/>
      <w:bookmarkStart w:id="621" w:name="_Toc6989"/>
      <w:bookmarkStart w:id="622" w:name="_Toc30729"/>
      <w:bookmarkStart w:id="623" w:name="_Toc23847"/>
      <w:bookmarkStart w:id="624" w:name="_Toc9023"/>
      <w:bookmarkStart w:id="625" w:name="_Toc175764409"/>
      <w:r>
        <w:rPr>
          <w:rFonts w:hint="eastAsia" w:ascii="宋体" w:hAnsi="宋体" w:eastAsia="宋体" w:cs="宋体"/>
          <w:b/>
          <w:color w:val="auto"/>
          <w:sz w:val="21"/>
          <w:szCs w:val="21"/>
          <w:highlight w:val="none"/>
        </w:rPr>
        <w:t>合同工期</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5E33C4D9">
      <w:pPr>
        <w:numPr>
          <w:ilvl w:val="1"/>
          <w:numId w:val="4"/>
        </w:numPr>
        <w:kinsoku w:val="0"/>
        <w:spacing w:after="0" w:line="360" w:lineRule="auto"/>
        <w:ind w:left="315" w:leftChars="15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 计划开工日期：</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日，计划竣工日期：</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日，工期总日历天数：</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天，工期总日历天数与根据前述计划日期计算的工期天数不一致的，以工期总日历天数为准。</w:t>
      </w:r>
    </w:p>
    <w:p w14:paraId="117A541A">
      <w:pPr>
        <w:numPr>
          <w:ilvl w:val="1"/>
          <w:numId w:val="4"/>
        </w:numPr>
        <w:kinsoku w:val="0"/>
        <w:spacing w:after="0" w:line="360" w:lineRule="auto"/>
        <w:ind w:left="315" w:leftChars="150"/>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具体开工日期以甲方通知为准，除合同另有约定外，工期总日历天数不变，乙方必须根据现场实际情况及工作量做好施工组织安排。</w:t>
      </w:r>
    </w:p>
    <w:p w14:paraId="09CE6F09">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626" w:name="_Toc101357401"/>
      <w:bookmarkStart w:id="627" w:name="_Toc351203483"/>
      <w:bookmarkStart w:id="628" w:name="_Toc175764410"/>
      <w:bookmarkStart w:id="629" w:name="_Toc30195"/>
      <w:bookmarkStart w:id="630" w:name="_Toc597"/>
      <w:bookmarkStart w:id="631" w:name="_Toc29395"/>
      <w:bookmarkStart w:id="632" w:name="_Toc25651"/>
      <w:bookmarkStart w:id="633" w:name="_Toc30379"/>
      <w:bookmarkStart w:id="634" w:name="_Toc27860"/>
      <w:bookmarkStart w:id="635" w:name="_Toc19634"/>
      <w:bookmarkStart w:id="636" w:name="_Toc101963472"/>
      <w:bookmarkStart w:id="637" w:name="_Toc25527"/>
      <w:bookmarkStart w:id="638" w:name="_Toc26290"/>
      <w:bookmarkStart w:id="639" w:name="_Toc2743"/>
      <w:bookmarkStart w:id="640" w:name="_Toc29682"/>
      <w:bookmarkStart w:id="641" w:name="_Toc21496"/>
      <w:bookmarkStart w:id="642" w:name="_Toc21182"/>
      <w:bookmarkStart w:id="643" w:name="_Toc6170"/>
      <w:bookmarkStart w:id="644" w:name="_Toc23602"/>
      <w:bookmarkStart w:id="645" w:name="_Toc32101"/>
      <w:bookmarkStart w:id="646" w:name="_Toc28108"/>
      <w:bookmarkStart w:id="647" w:name="_Toc6608"/>
      <w:r>
        <w:rPr>
          <w:rFonts w:hint="eastAsia" w:ascii="宋体" w:hAnsi="宋体" w:eastAsia="宋体" w:cs="宋体"/>
          <w:b/>
          <w:color w:val="auto"/>
          <w:sz w:val="21"/>
          <w:szCs w:val="21"/>
          <w:highlight w:val="none"/>
        </w:rPr>
        <w:t>质量标准</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54AC13A5">
      <w:pPr>
        <w:kinsoku w:val="0"/>
        <w:spacing w:after="0" w:line="360" w:lineRule="auto"/>
        <w:ind w:left="105" w:leftChars="50" w:firstLine="210" w:firstLineChars="100"/>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分包工程质量标准：</w:t>
      </w:r>
      <w:r>
        <w:rPr>
          <w:rFonts w:hint="eastAsia" w:ascii="宋体" w:hAnsi="宋体" w:eastAsia="宋体" w:cs="宋体"/>
          <w:color w:val="auto"/>
          <w:sz w:val="21"/>
          <w:szCs w:val="21"/>
          <w:highlight w:val="none"/>
          <w:u w:val="single"/>
          <w:lang w:eastAsia="zh-CN"/>
        </w:rPr>
        <w:t xml:space="preserve">  合格</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eastAsia="zh-CN"/>
        </w:rPr>
        <w:t>。</w:t>
      </w:r>
    </w:p>
    <w:p w14:paraId="56A1D545">
      <w:pPr>
        <w:kinsoku w:val="0"/>
        <w:spacing w:after="0" w:line="360" w:lineRule="auto"/>
        <w:ind w:left="105" w:leftChars="50"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本工程创优标准：</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无</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7FE24BED">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648" w:name="_Toc101963473"/>
      <w:bookmarkStart w:id="649" w:name="_Toc175764411"/>
      <w:r>
        <w:rPr>
          <w:rFonts w:hint="eastAsia" w:ascii="宋体" w:hAnsi="宋体" w:eastAsia="宋体" w:cs="宋体"/>
          <w:b/>
          <w:color w:val="auto"/>
          <w:sz w:val="21"/>
          <w:szCs w:val="21"/>
          <w:highlight w:val="none"/>
          <w:lang w:eastAsia="zh-CN"/>
        </w:rPr>
        <w:t>安全文明创优标准</w:t>
      </w:r>
      <w:bookmarkEnd w:id="648"/>
      <w:bookmarkEnd w:id="649"/>
    </w:p>
    <w:p w14:paraId="2A074C8F">
      <w:pPr>
        <w:kinsoku w:val="0"/>
        <w:spacing w:after="0" w:line="360" w:lineRule="auto"/>
        <w:ind w:left="105" w:leftChars="50"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本分包工程安全文明创优标准：</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 xml:space="preserve">不发生重大安全生产责任事故 </w:t>
      </w:r>
      <w:r>
        <w:rPr>
          <w:rFonts w:hint="eastAsia" w:ascii="宋体" w:hAnsi="宋体" w:eastAsia="宋体" w:cs="宋体"/>
          <w:color w:val="auto"/>
          <w:sz w:val="21"/>
          <w:szCs w:val="21"/>
          <w:highlight w:val="none"/>
          <w:lang w:eastAsia="zh-CN"/>
        </w:rPr>
        <w:t>。</w:t>
      </w:r>
    </w:p>
    <w:p w14:paraId="375F2C54">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auto"/>
          <w:sz w:val="21"/>
          <w:szCs w:val="21"/>
          <w:highlight w:val="none"/>
          <w:lang w:eastAsia="zh-CN"/>
        </w:rPr>
      </w:pPr>
      <w:bookmarkStart w:id="650" w:name="_Toc27322"/>
      <w:bookmarkStart w:id="651" w:name="_Toc101963474"/>
      <w:bookmarkStart w:id="652" w:name="_Toc101357402"/>
      <w:bookmarkStart w:id="653" w:name="_Toc20783"/>
      <w:bookmarkStart w:id="654" w:name="_Toc11484"/>
      <w:bookmarkStart w:id="655" w:name="_Toc17121"/>
      <w:bookmarkStart w:id="656" w:name="_Toc26069"/>
      <w:bookmarkStart w:id="657" w:name="_Toc175764412"/>
      <w:bookmarkStart w:id="658" w:name="_Toc26631"/>
      <w:bookmarkStart w:id="659" w:name="_Toc18203"/>
      <w:bookmarkStart w:id="660" w:name="_Toc16953"/>
      <w:bookmarkStart w:id="661" w:name="_Toc13344"/>
      <w:bookmarkStart w:id="662" w:name="_Toc10293"/>
      <w:bookmarkStart w:id="663" w:name="_Toc351203484"/>
      <w:bookmarkStart w:id="664" w:name="_Toc28621"/>
      <w:bookmarkStart w:id="665" w:name="_Toc28916"/>
      <w:bookmarkStart w:id="666" w:name="_Toc30832"/>
      <w:bookmarkStart w:id="667" w:name="_Toc3"/>
      <w:bookmarkStart w:id="668" w:name="_Toc9320"/>
      <w:bookmarkStart w:id="669" w:name="_Toc16273"/>
      <w:bookmarkStart w:id="670" w:name="_Toc27005"/>
      <w:bookmarkStart w:id="671" w:name="_Toc31427"/>
      <w:r>
        <w:rPr>
          <w:rFonts w:hint="eastAsia" w:ascii="宋体" w:hAnsi="宋体" w:eastAsia="宋体" w:cs="宋体"/>
          <w:b/>
          <w:color w:val="auto"/>
          <w:sz w:val="21"/>
          <w:szCs w:val="21"/>
          <w:highlight w:val="none"/>
          <w:lang w:eastAsia="zh-CN"/>
        </w:rPr>
        <w:t>签约合同价与合同价格形式</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Fonts w:hint="eastAsia" w:ascii="宋体" w:hAnsi="宋体" w:eastAsia="宋体" w:cs="宋体"/>
          <w:b/>
          <w:color w:val="auto"/>
          <w:sz w:val="21"/>
          <w:szCs w:val="21"/>
          <w:highlight w:val="none"/>
          <w:lang w:eastAsia="zh-CN"/>
        </w:rPr>
        <w:tab/>
      </w:r>
    </w:p>
    <w:p w14:paraId="368F6143">
      <w:pPr>
        <w:numPr>
          <w:ilvl w:val="1"/>
          <w:numId w:val="4"/>
        </w:numPr>
        <w:kinsoku w:val="0"/>
        <w:spacing w:after="0" w:line="360" w:lineRule="auto"/>
        <w:ind w:left="315" w:leftChars="150"/>
        <w:rPr>
          <w:rFonts w:hint="eastAsia" w:ascii="宋体" w:hAnsi="宋体" w:eastAsia="宋体" w:cs="宋体"/>
          <w:color w:val="auto"/>
          <w:sz w:val="21"/>
          <w:szCs w:val="21"/>
          <w:highlight w:val="none"/>
          <w:lang w:eastAsia="zh-CN"/>
        </w:rPr>
      </w:pPr>
      <w:bookmarkStart w:id="672" w:name="_Toc101357404"/>
      <w:r>
        <w:rPr>
          <w:rFonts w:hint="eastAsia" w:ascii="宋体" w:hAnsi="宋体" w:eastAsia="宋体" w:cs="宋体"/>
          <w:color w:val="auto"/>
          <w:sz w:val="21"/>
          <w:szCs w:val="21"/>
          <w:highlight w:val="none"/>
          <w:lang w:eastAsia="zh-CN"/>
        </w:rPr>
        <w:t>签约合同价暂定为：</w:t>
      </w:r>
      <w:bookmarkEnd w:id="672"/>
      <w:r>
        <w:rPr>
          <w:rFonts w:hint="eastAsia" w:ascii="宋体" w:hAnsi="宋体" w:eastAsia="宋体" w:cs="宋体"/>
          <w:color w:val="auto"/>
          <w:sz w:val="21"/>
          <w:szCs w:val="21"/>
          <w:highlight w:val="none"/>
          <w:u w:val="single"/>
          <w:lang w:val="en-US" w:eastAsia="zh-CN"/>
        </w:rPr>
        <w:t xml:space="preserve">         </w:t>
      </w:r>
    </w:p>
    <w:p w14:paraId="2EA0AAE2">
      <w:pPr>
        <w:widowControl w:val="0"/>
        <w:kinsoku w:val="0"/>
        <w:spacing w:after="0" w:line="360" w:lineRule="auto"/>
        <w:ind w:left="315" w:leftChars="150" w:firstLine="210" w:firstLineChars="1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不含增值税造价：¥ </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元（人民币大写：</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w:t>
      </w:r>
    </w:p>
    <w:p w14:paraId="5E52026B">
      <w:pPr>
        <w:widowControl w:val="0"/>
        <w:kinsoku w:val="0"/>
        <w:spacing w:after="0" w:line="360" w:lineRule="auto"/>
        <w:ind w:left="315" w:leftChars="150" w:firstLine="210" w:firstLineChars="1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增值税：¥ </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元（人民币大写：</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w:t>
      </w:r>
    </w:p>
    <w:p w14:paraId="5A2E9E30">
      <w:pPr>
        <w:widowControl w:val="0"/>
        <w:kinsoku w:val="0"/>
        <w:spacing w:after="0" w:line="360" w:lineRule="auto"/>
        <w:ind w:left="315" w:leftChars="150" w:firstLine="210" w:firstLineChars="1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含增值税合同暂定总价：¥ </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元（人民币大写：</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w:t>
      </w:r>
    </w:p>
    <w:p w14:paraId="4AF5F7C7">
      <w:pPr>
        <w:tabs>
          <w:tab w:val="left" w:pos="6544"/>
        </w:tabs>
        <w:kinsoku w:val="0"/>
        <w:spacing w:after="0" w:line="360" w:lineRule="auto"/>
        <w:ind w:left="315" w:leftChars="15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其中：</w:t>
      </w:r>
    </w:p>
    <w:p w14:paraId="7366B2B9">
      <w:pPr>
        <w:numPr>
          <w:ilvl w:val="0"/>
          <w:numId w:val="5"/>
        </w:numPr>
        <w:kinsoku w:val="0"/>
        <w:spacing w:after="0" w:line="360" w:lineRule="auto"/>
        <w:ind w:left="315" w:leftChars="150" w:firstLine="630" w:firstLineChars="3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人工费（不含增值税）：¥ </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元（人民币大写：</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w:t>
      </w:r>
    </w:p>
    <w:p w14:paraId="5000A58A">
      <w:pPr>
        <w:numPr>
          <w:ilvl w:val="0"/>
          <w:numId w:val="0"/>
        </w:numPr>
        <w:kinsoku w:val="0"/>
        <w:spacing w:after="0" w:line="360" w:lineRule="auto"/>
        <w:ind w:leftChars="45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（2）暂估价：¥ </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元（人民币大写：</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元）。（如有）</w:t>
      </w:r>
    </w:p>
    <w:p w14:paraId="1EEBFC55">
      <w:pPr>
        <w:kinsoku w:val="0"/>
        <w:spacing w:after="0" w:line="360" w:lineRule="auto"/>
        <w:ind w:left="315" w:leftChars="150" w:firstLine="630" w:firstLineChars="300"/>
        <w:jc w:val="both"/>
        <w:rPr>
          <w:rFonts w:hint="eastAsia" w:ascii="宋体" w:hAnsi="宋体" w:eastAsia="宋体" w:cs="宋体"/>
          <w:b/>
          <w:bCs/>
          <w:color w:val="auto"/>
          <w:kern w:val="10"/>
          <w:sz w:val="21"/>
          <w:szCs w:val="21"/>
          <w:highlight w:val="none"/>
          <w:u w:val="single"/>
          <w:lang w:eastAsia="zh-CN"/>
        </w:rPr>
      </w:pPr>
      <w:r>
        <w:rPr>
          <w:rFonts w:hint="eastAsia" w:ascii="宋体" w:hAnsi="宋体" w:eastAsia="宋体" w:cs="宋体"/>
          <w:color w:val="auto"/>
          <w:sz w:val="21"/>
          <w:szCs w:val="21"/>
          <w:highlight w:val="none"/>
          <w:lang w:eastAsia="zh-CN"/>
        </w:rPr>
        <w:t xml:space="preserve">（3）安全生产费用金额（不含增值税）：¥ </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元（人民币大写：</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w:t>
      </w:r>
    </w:p>
    <w:p w14:paraId="089F2374">
      <w:pPr>
        <w:numPr>
          <w:ilvl w:val="1"/>
          <w:numId w:val="4"/>
        </w:numPr>
        <w:kinsoku w:val="0"/>
        <w:spacing w:after="0" w:line="360" w:lineRule="auto"/>
        <w:ind w:left="315" w:leftChars="150"/>
        <w:rPr>
          <w:rFonts w:hint="eastAsia" w:ascii="宋体" w:hAnsi="宋体" w:eastAsia="宋体" w:cs="宋体"/>
          <w:color w:val="auto"/>
          <w:sz w:val="21"/>
          <w:szCs w:val="21"/>
          <w:highlight w:val="none"/>
          <w:lang w:eastAsia="zh-CN"/>
        </w:rPr>
      </w:pPr>
      <w:bookmarkStart w:id="673" w:name="_Toc101357403"/>
      <w:bookmarkStart w:id="674" w:name="_Toc101357405"/>
      <w:r>
        <w:rPr>
          <w:rFonts w:hint="eastAsia" w:ascii="宋体" w:hAnsi="宋体" w:eastAsia="宋体" w:cs="宋体"/>
          <w:color w:val="auto"/>
          <w:sz w:val="21"/>
          <w:szCs w:val="21"/>
          <w:highlight w:val="none"/>
          <w:lang w:eastAsia="zh-CN"/>
        </w:rPr>
        <w:t xml:space="preserve">合同价格形式：本合同采用 </w:t>
      </w:r>
      <w:r>
        <w:rPr>
          <w:rFonts w:ascii="宋体" w:hAnsi="宋体" w:eastAsia="宋体" w:cs="宋体"/>
          <w:color w:val="auto"/>
          <w:sz w:val="21"/>
          <w:szCs w:val="21"/>
          <w:highlight w:val="none"/>
          <w:lang w:eastAsia="zh-CN"/>
        </w:rPr>
        <w:sym w:font="Wingdings 2" w:char="F052"/>
      </w:r>
      <w:r>
        <w:rPr>
          <w:rFonts w:hint="eastAsia" w:ascii="宋体" w:hAnsi="宋体" w:eastAsia="宋体" w:cs="宋体"/>
          <w:color w:val="auto"/>
          <w:sz w:val="21"/>
          <w:szCs w:val="21"/>
          <w:highlight w:val="none"/>
          <w:lang w:eastAsia="zh-CN"/>
        </w:rPr>
        <w:t xml:space="preserve"> 固定单价合同 /</w:t>
      </w:r>
      <w:r>
        <w:rPr>
          <w:rFonts w:ascii="宋体" w:hAnsi="宋体" w:eastAsia="宋体" w:cs="宋体"/>
          <w:color w:val="auto"/>
          <w:sz w:val="21"/>
          <w:szCs w:val="21"/>
          <w:highlight w:val="none"/>
          <w:lang w:eastAsia="zh-CN"/>
        </w:rPr>
        <w:sym w:font="Wingdings 2" w:char="F0A3"/>
      </w:r>
      <w:r>
        <w:rPr>
          <w:rFonts w:hint="eastAsia" w:ascii="宋体" w:hAnsi="宋体" w:eastAsia="宋体" w:cs="宋体"/>
          <w:color w:val="auto"/>
          <w:sz w:val="21"/>
          <w:szCs w:val="21"/>
          <w:highlight w:val="none"/>
          <w:lang w:eastAsia="zh-CN"/>
        </w:rPr>
        <w:t>固定总价合同/</w:t>
      </w:r>
      <w:r>
        <w:rPr>
          <w:rFonts w:ascii="宋体" w:hAnsi="宋体" w:eastAsia="宋体" w:cs="宋体"/>
          <w:color w:val="auto"/>
          <w:sz w:val="21"/>
          <w:szCs w:val="21"/>
          <w:highlight w:val="none"/>
          <w:lang w:eastAsia="zh-CN"/>
        </w:rPr>
        <w:sym w:font="Wingdings 2" w:char="F0A3"/>
      </w:r>
      <w:r>
        <w:rPr>
          <w:rFonts w:hint="eastAsia" w:ascii="宋体" w:hAnsi="宋体" w:eastAsia="宋体" w:cs="宋体"/>
          <w:color w:val="auto"/>
          <w:sz w:val="21"/>
          <w:szCs w:val="21"/>
          <w:highlight w:val="none"/>
          <w:lang w:eastAsia="zh-CN"/>
        </w:rPr>
        <w:t xml:space="preserve">其他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bookmarkEnd w:id="673"/>
    <w:p w14:paraId="2E1BEC7E">
      <w:pPr>
        <w:numPr>
          <w:ilvl w:val="1"/>
          <w:numId w:val="4"/>
        </w:numPr>
        <w:kinsoku w:val="0"/>
        <w:spacing w:after="0" w:line="360" w:lineRule="auto"/>
        <w:ind w:left="315" w:leftChars="15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合同价格明细：具体内容详见附件1：《工程量清单计价表》。</w:t>
      </w:r>
      <w:bookmarkEnd w:id="674"/>
    </w:p>
    <w:p w14:paraId="3285A77F">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auto"/>
          <w:sz w:val="21"/>
          <w:szCs w:val="21"/>
          <w:highlight w:val="none"/>
          <w:lang w:eastAsia="zh-CN"/>
        </w:rPr>
      </w:pPr>
      <w:bookmarkStart w:id="675" w:name="_Toc17689"/>
      <w:bookmarkStart w:id="676" w:name="_Toc6380"/>
      <w:bookmarkStart w:id="677" w:name="_Toc19489"/>
      <w:bookmarkStart w:id="678" w:name="_Toc25495"/>
      <w:bookmarkStart w:id="679" w:name="_Toc2970"/>
      <w:bookmarkStart w:id="680" w:name="_Toc23654"/>
      <w:bookmarkStart w:id="681" w:name="_Toc9869"/>
      <w:bookmarkStart w:id="682" w:name="_Toc14963"/>
      <w:bookmarkStart w:id="683" w:name="_Toc22154"/>
      <w:bookmarkStart w:id="684" w:name="_Toc15277"/>
      <w:bookmarkStart w:id="685" w:name="_Toc14778"/>
      <w:bookmarkStart w:id="686" w:name="_Toc20921"/>
      <w:bookmarkStart w:id="687" w:name="_Toc101963475"/>
      <w:bookmarkStart w:id="688" w:name="_Toc101357408"/>
      <w:bookmarkStart w:id="689" w:name="_Toc29755"/>
      <w:bookmarkStart w:id="690" w:name="_Toc22266"/>
      <w:bookmarkStart w:id="691" w:name="_Toc30646"/>
      <w:bookmarkStart w:id="692" w:name="_Toc5608"/>
      <w:bookmarkStart w:id="693" w:name="_Toc3612"/>
      <w:bookmarkStart w:id="694" w:name="_Toc28291"/>
      <w:bookmarkStart w:id="695" w:name="_Toc175764413"/>
      <w:r>
        <w:rPr>
          <w:rFonts w:hint="eastAsia" w:ascii="宋体" w:hAnsi="宋体" w:eastAsia="宋体" w:cs="宋体"/>
          <w:b/>
          <w:color w:val="auto"/>
          <w:sz w:val="21"/>
          <w:szCs w:val="21"/>
          <w:highlight w:val="none"/>
          <w:lang w:eastAsia="zh-CN"/>
        </w:rPr>
        <w:t>乙方纳税资格和资质</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14:paraId="42951B5D">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乙方纳税义务人的纳税资格：</w:t>
      </w:r>
      <w:r>
        <w:rPr>
          <w:rFonts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一般纳税人/</w:t>
      </w:r>
      <w:r>
        <w:rPr>
          <w:rFonts w:ascii="宋体" w:hAnsi="宋体" w:eastAsia="宋体" w:cs="宋体"/>
          <w:color w:val="auto"/>
          <w:sz w:val="21"/>
          <w:szCs w:val="21"/>
          <w:highlight w:val="none"/>
        </w:rPr>
        <w:sym w:font="Wingdings 2" w:char="F0A3"/>
      </w:r>
      <w:r>
        <w:rPr>
          <w:rFonts w:hint="eastAsia" w:ascii="宋体" w:hAnsi="宋体" w:eastAsia="宋体" w:cs="宋体"/>
          <w:color w:val="auto"/>
          <w:sz w:val="21"/>
          <w:szCs w:val="21"/>
          <w:highlight w:val="none"/>
          <w:lang w:eastAsia="zh-CN"/>
        </w:rPr>
        <w:t>小规模纳税人/</w:t>
      </w:r>
      <w:r>
        <w:rPr>
          <w:rFonts w:ascii="宋体" w:hAnsi="宋体" w:eastAsia="宋体" w:cs="宋体"/>
          <w:color w:val="auto"/>
          <w:sz w:val="21"/>
          <w:szCs w:val="21"/>
          <w:highlight w:val="none"/>
        </w:rPr>
        <w:sym w:font="Wingdings 2" w:char="F0A3"/>
      </w:r>
      <w:r>
        <w:rPr>
          <w:rFonts w:hint="eastAsia" w:ascii="宋体" w:hAnsi="宋体" w:eastAsia="宋体" w:cs="宋体"/>
          <w:color w:val="auto"/>
          <w:sz w:val="21"/>
          <w:szCs w:val="21"/>
          <w:highlight w:val="none"/>
          <w:lang w:eastAsia="zh-CN"/>
        </w:rPr>
        <w:t>其他。</w:t>
      </w:r>
    </w:p>
    <w:p w14:paraId="1D11D39D">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乙方提供的票据是：</w:t>
      </w:r>
      <w:r>
        <w:rPr>
          <w:rFonts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增值税专用发票，</w:t>
      </w:r>
      <w:r>
        <w:rPr>
          <w:rFonts w:ascii="宋体" w:hAnsi="宋体" w:eastAsia="宋体" w:cs="宋体"/>
          <w:color w:val="auto"/>
          <w:sz w:val="21"/>
          <w:szCs w:val="21"/>
          <w:highlight w:val="none"/>
        </w:rPr>
        <w:sym w:font="Wingdings 2" w:char="F0A3"/>
      </w:r>
      <w:r>
        <w:rPr>
          <w:rFonts w:hint="eastAsia" w:ascii="宋体" w:hAnsi="宋体" w:eastAsia="宋体" w:cs="宋体"/>
          <w:color w:val="auto"/>
          <w:sz w:val="21"/>
          <w:szCs w:val="21"/>
          <w:highlight w:val="none"/>
          <w:lang w:eastAsia="zh-CN"/>
        </w:rPr>
        <w:t>增值税普通发票。</w:t>
      </w:r>
    </w:p>
    <w:p w14:paraId="4B02BA0C">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增值税率是：</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9</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r>
        <w:rPr>
          <w:rFonts w:ascii="宋体" w:hAnsi="宋体" w:eastAsia="宋体" w:cs="宋体"/>
          <w:color w:val="auto"/>
          <w:sz w:val="21"/>
          <w:szCs w:val="21"/>
          <w:highlight w:val="none"/>
        </w:rPr>
        <w:sym w:font="Wingdings 2" w:char="00A3"/>
      </w:r>
      <w:r>
        <w:rPr>
          <w:rFonts w:hint="eastAsia" w:ascii="宋体" w:hAnsi="宋体" w:eastAsia="宋体" w:cs="宋体"/>
          <w:color w:val="auto"/>
          <w:sz w:val="21"/>
          <w:szCs w:val="21"/>
          <w:highlight w:val="none"/>
          <w:lang w:eastAsia="zh-CN"/>
        </w:rPr>
        <w:t>能抵扣，</w:t>
      </w:r>
      <w:r>
        <w:rPr>
          <w:rFonts w:ascii="宋体" w:hAnsi="宋体" w:eastAsia="宋体" w:cs="宋体"/>
          <w:color w:val="auto"/>
          <w:sz w:val="21"/>
          <w:szCs w:val="21"/>
          <w:highlight w:val="none"/>
        </w:rPr>
        <w:sym w:font="Wingdings 2" w:char="F0A3"/>
      </w:r>
      <w:r>
        <w:rPr>
          <w:rFonts w:hint="eastAsia" w:ascii="宋体" w:hAnsi="宋体" w:eastAsia="宋体" w:cs="宋体"/>
          <w:color w:val="auto"/>
          <w:sz w:val="21"/>
          <w:szCs w:val="21"/>
          <w:highlight w:val="none"/>
          <w:lang w:eastAsia="zh-CN"/>
        </w:rPr>
        <w:t>不能抵扣。</w:t>
      </w:r>
    </w:p>
    <w:p w14:paraId="3119DE4F">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营业执照，统一社会信用代码：</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w:t>
      </w:r>
    </w:p>
    <w:p w14:paraId="6D9424E6">
      <w:pPr>
        <w:widowControl w:val="0"/>
        <w:tabs>
          <w:tab w:val="left" w:pos="1320"/>
        </w:tabs>
        <w:kinsoku w:val="0"/>
        <w:spacing w:after="0" w:line="360" w:lineRule="auto"/>
        <w:ind w:left="315" w:leftChars="15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营业期限：</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w:t>
      </w:r>
    </w:p>
    <w:p w14:paraId="4478DE5E">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安全生产许可证，证书编号：</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w:t>
      </w:r>
    </w:p>
    <w:p w14:paraId="2010A70D">
      <w:pPr>
        <w:widowControl w:val="0"/>
        <w:tabs>
          <w:tab w:val="left" w:pos="1320"/>
        </w:tabs>
        <w:kinsoku w:val="0"/>
        <w:spacing w:after="0" w:line="360" w:lineRule="auto"/>
        <w:ind w:left="315" w:leftChars="15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有效期：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日至</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日。</w:t>
      </w:r>
    </w:p>
    <w:p w14:paraId="5E2C77EC">
      <w:pPr>
        <w:widowControl w:val="0"/>
        <w:numPr>
          <w:ilvl w:val="1"/>
          <w:numId w:val="4"/>
        </w:numPr>
        <w:tabs>
          <w:tab w:val="left" w:pos="1320"/>
        </w:tabs>
        <w:kinsoku w:val="0"/>
        <w:spacing w:after="0" w:line="360" w:lineRule="auto"/>
        <w:ind w:left="315" w:leftChars="15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劳务分包资质证书，证书编号：</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w:t>
      </w:r>
    </w:p>
    <w:p w14:paraId="728A9978">
      <w:pPr>
        <w:widowControl w:val="0"/>
        <w:tabs>
          <w:tab w:val="left" w:pos="1320"/>
        </w:tabs>
        <w:kinsoku w:val="0"/>
        <w:spacing w:after="0" w:line="360" w:lineRule="auto"/>
        <w:ind w:left="315" w:leftChars="150"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有效期：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日至</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日，</w:t>
      </w:r>
    </w:p>
    <w:p w14:paraId="0BDE6A8C">
      <w:pPr>
        <w:widowControl w:val="0"/>
        <w:tabs>
          <w:tab w:val="left" w:pos="1320"/>
        </w:tabs>
        <w:kinsoku w:val="0"/>
        <w:spacing w:after="0" w:line="360" w:lineRule="auto"/>
        <w:ind w:left="315" w:leftChars="150"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资质类别及等级：</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w:t>
      </w:r>
    </w:p>
    <w:p w14:paraId="181AE505">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696" w:name="_Toc27449"/>
      <w:bookmarkStart w:id="697" w:name="_Toc101357409"/>
      <w:bookmarkStart w:id="698" w:name="_Toc3435"/>
      <w:bookmarkStart w:id="699" w:name="_Toc23875"/>
      <w:bookmarkStart w:id="700" w:name="_Toc22777"/>
      <w:bookmarkStart w:id="701" w:name="_Toc29628"/>
      <w:bookmarkStart w:id="702" w:name="_Toc101963476"/>
      <w:bookmarkStart w:id="703" w:name="_Toc28072"/>
      <w:bookmarkStart w:id="704" w:name="_Toc9261"/>
      <w:bookmarkStart w:id="705" w:name="_Toc175764414"/>
      <w:bookmarkStart w:id="706" w:name="_Toc22660"/>
      <w:bookmarkStart w:id="707" w:name="_Toc7942"/>
      <w:bookmarkStart w:id="708" w:name="_Toc28027"/>
      <w:bookmarkStart w:id="709" w:name="_Toc19050"/>
      <w:bookmarkStart w:id="710" w:name="_Toc28845"/>
      <w:bookmarkStart w:id="711" w:name="_Toc21117"/>
      <w:bookmarkStart w:id="712" w:name="_Toc25496"/>
      <w:bookmarkStart w:id="713" w:name="_Toc16785"/>
      <w:bookmarkStart w:id="714" w:name="_Toc15232"/>
      <w:bookmarkStart w:id="715" w:name="_Toc18826"/>
      <w:bookmarkStart w:id="716" w:name="_Toc12262"/>
      <w:r>
        <w:rPr>
          <w:rFonts w:hint="eastAsia" w:ascii="宋体" w:hAnsi="宋体" w:eastAsia="宋体" w:cs="宋体"/>
          <w:b/>
          <w:color w:val="auto"/>
          <w:sz w:val="21"/>
          <w:szCs w:val="21"/>
          <w:highlight w:val="none"/>
        </w:rPr>
        <w:t>项目经理</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1AFC98C8">
      <w:pPr>
        <w:numPr>
          <w:ilvl w:val="1"/>
          <w:numId w:val="4"/>
        </w:numPr>
        <w:kinsoku w:val="0"/>
        <w:spacing w:after="0" w:line="360" w:lineRule="auto"/>
        <w:ind w:left="315" w:leftChars="15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甲方项目经理：</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，身份证号码</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，联系电话：</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甲方项目经理代表甲方负责现场管理，但无权单独处理合同调价、付款、结算、借款、担保、融投资及除本合同外经济合同的签订事项，也无权变更或解除分包合同。甲方项目部及项目经理权限具体详见《项目部合规权限告知书》。</w:t>
      </w:r>
    </w:p>
    <w:p w14:paraId="37FF07A2">
      <w:pPr>
        <w:numPr>
          <w:ilvl w:val="1"/>
          <w:numId w:val="4"/>
        </w:numPr>
        <w:kinsoku w:val="0"/>
        <w:spacing w:after="0" w:line="360" w:lineRule="auto"/>
        <w:ind w:left="315" w:leftChars="15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乙方项目经理：</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，身份证号码</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，联系电话：</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。乙方项目经理应是乙方正式聘用的员工，必须持有授权委托书，代表乙方履行合同，负责施工管理、签署任何文件、处理与工程有关的所有事务等，乙方承担乙方项目经理行为的全部法律后果。</w:t>
      </w:r>
    </w:p>
    <w:p w14:paraId="2AB2D311">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717" w:name="_Toc175764415"/>
      <w:bookmarkStart w:id="718" w:name="_Toc101963477"/>
      <w:r>
        <w:rPr>
          <w:rFonts w:hint="eastAsia" w:ascii="宋体" w:hAnsi="宋体" w:eastAsia="宋体" w:cs="宋体"/>
          <w:b/>
          <w:color w:val="auto"/>
          <w:sz w:val="21"/>
          <w:szCs w:val="21"/>
          <w:highlight w:val="none"/>
          <w:lang w:eastAsia="zh-CN"/>
        </w:rPr>
        <w:t>签订时间及地点</w:t>
      </w:r>
      <w:bookmarkEnd w:id="717"/>
      <w:bookmarkEnd w:id="718"/>
    </w:p>
    <w:p w14:paraId="540AE03B">
      <w:pPr>
        <w:kinsoku w:val="0"/>
        <w:spacing w:after="0" w:line="360" w:lineRule="auto"/>
        <w:ind w:left="105" w:leftChars="50"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本合同于</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年</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月</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日签订。</w:t>
      </w:r>
    </w:p>
    <w:p w14:paraId="67609581">
      <w:pPr>
        <w:kinsoku w:val="0"/>
        <w:spacing w:after="0" w:line="360" w:lineRule="auto"/>
        <w:ind w:left="105" w:leftChars="50"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合同订立地点：</w:t>
      </w:r>
      <w:r>
        <w:rPr>
          <w:rFonts w:hint="eastAsia" w:ascii="宋体" w:hAnsi="宋体" w:eastAsia="宋体" w:cs="宋体"/>
          <w:color w:val="auto"/>
          <w:sz w:val="21"/>
          <w:szCs w:val="21"/>
          <w:highlight w:val="none"/>
          <w:u w:val="single"/>
          <w:lang w:eastAsia="zh-CN"/>
        </w:rPr>
        <w:t xml:space="preserve"> 河北省石家庄市桥西区建设南大街70号 </w:t>
      </w:r>
      <w:r>
        <w:rPr>
          <w:rFonts w:hint="eastAsia" w:ascii="宋体" w:hAnsi="宋体" w:eastAsia="宋体" w:cs="宋体"/>
          <w:color w:val="auto"/>
          <w:sz w:val="21"/>
          <w:szCs w:val="21"/>
          <w:highlight w:val="none"/>
          <w:lang w:eastAsia="zh-CN"/>
        </w:rPr>
        <w:t>。</w:t>
      </w:r>
    </w:p>
    <w:p w14:paraId="70E21F85">
      <w:pPr>
        <w:widowControl w:val="0"/>
        <w:numPr>
          <w:ilvl w:val="0"/>
          <w:numId w:val="4"/>
        </w:numPr>
        <w:tabs>
          <w:tab w:val="left" w:pos="900"/>
        </w:tabs>
        <w:kinsoku w:val="0"/>
        <w:spacing w:after="0" w:line="360" w:lineRule="auto"/>
        <w:ind w:left="158" w:leftChars="75"/>
        <w:jc w:val="both"/>
        <w:outlineLvl w:val="1"/>
        <w:rPr>
          <w:color w:val="auto"/>
          <w:highlight w:val="none"/>
          <w:lang w:eastAsia="zh-CN"/>
        </w:rPr>
      </w:pPr>
      <w:bookmarkStart w:id="719" w:name="_Toc175764416"/>
      <w:r>
        <w:rPr>
          <w:rFonts w:hint="eastAsia" w:ascii="宋体" w:hAnsi="宋体" w:eastAsia="宋体" w:cs="宋体"/>
          <w:b/>
          <w:color w:val="auto"/>
          <w:sz w:val="21"/>
          <w:szCs w:val="21"/>
          <w:highlight w:val="none"/>
          <w:lang w:eastAsia="zh-CN"/>
        </w:rPr>
        <w:t>补充协议</w:t>
      </w:r>
      <w:bookmarkEnd w:id="719"/>
    </w:p>
    <w:p w14:paraId="6BEA1D02">
      <w:pPr>
        <w:kinsoku w:val="0"/>
        <w:spacing w:after="0" w:line="360" w:lineRule="auto"/>
        <w:ind w:left="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1.无论分包过程结算是否超过合同额，当合同清单外新增工作内容超出原合同价款的5%时，双方须及时签订补充协议，否则新增工作内容暂不予计量，直至完成补充协议的签订。</w:t>
      </w:r>
    </w:p>
    <w:p w14:paraId="5A980C46">
      <w:pPr>
        <w:kinsoku w:val="0"/>
        <w:spacing w:after="0" w:line="360" w:lineRule="auto"/>
        <w:ind w:left="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2.合同未尽事宜，合同双方另行签订补充协议，补充协议是合同的组成部分。</w:t>
      </w:r>
    </w:p>
    <w:p w14:paraId="4ED98D59">
      <w:pPr>
        <w:widowControl w:val="0"/>
        <w:numPr>
          <w:ilvl w:val="0"/>
          <w:numId w:val="4"/>
        </w:numPr>
        <w:tabs>
          <w:tab w:val="left" w:pos="900"/>
        </w:tabs>
        <w:kinsoku w:val="0"/>
        <w:spacing w:after="0" w:line="360" w:lineRule="auto"/>
        <w:ind w:left="158" w:leftChars="75"/>
        <w:jc w:val="both"/>
        <w:outlineLvl w:val="1"/>
        <w:rPr>
          <w:rFonts w:hint="eastAsia" w:ascii="宋体" w:hAnsi="宋体" w:eastAsia="宋体" w:cs="宋体"/>
          <w:b/>
          <w:color w:val="auto"/>
          <w:sz w:val="21"/>
          <w:szCs w:val="21"/>
          <w:highlight w:val="none"/>
          <w:lang w:eastAsia="zh-CN"/>
        </w:rPr>
      </w:pPr>
      <w:bookmarkStart w:id="720" w:name="_Toc175764417"/>
      <w:r>
        <w:rPr>
          <w:rFonts w:hint="eastAsia" w:ascii="宋体" w:hAnsi="宋体" w:eastAsia="宋体" w:cs="宋体"/>
          <w:b/>
          <w:color w:val="auto"/>
          <w:sz w:val="21"/>
          <w:szCs w:val="21"/>
          <w:highlight w:val="none"/>
          <w:lang w:eastAsia="zh-CN"/>
        </w:rPr>
        <w:t>合同签约形式</w:t>
      </w:r>
      <w:bookmarkEnd w:id="720"/>
    </w:p>
    <w:p w14:paraId="0186C89E">
      <w:pPr>
        <w:kinsoku w:val="0"/>
        <w:spacing w:after="0" w:line="360" w:lineRule="auto"/>
        <w:ind w:left="440"/>
        <w:jc w:val="both"/>
        <w:rPr>
          <w:rFonts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本合同签约形式适用第</w:t>
      </w:r>
      <w:r>
        <w:rPr>
          <w:rFonts w:hint="eastAsia" w:ascii="宋体" w:hAnsi="宋体" w:eastAsia="宋体" w:cs="宋体"/>
          <w:b/>
          <w:bCs/>
          <w:color w:val="auto"/>
          <w:sz w:val="21"/>
          <w:szCs w:val="21"/>
          <w:highlight w:val="none"/>
          <w:u w:val="single"/>
          <w:lang w:eastAsia="zh-CN"/>
        </w:rPr>
        <w:t xml:space="preserve">  </w:t>
      </w:r>
      <w:r>
        <w:rPr>
          <w:rFonts w:hint="eastAsia" w:ascii="宋体" w:hAnsi="宋体" w:eastAsia="宋体" w:cs="宋体"/>
          <w:b/>
          <w:bCs/>
          <w:color w:val="auto"/>
          <w:sz w:val="21"/>
          <w:szCs w:val="21"/>
          <w:highlight w:val="none"/>
          <w:u w:val="single"/>
          <w:lang w:val="en-US" w:eastAsia="zh-CN"/>
        </w:rPr>
        <w:t>2</w:t>
      </w:r>
      <w:r>
        <w:rPr>
          <w:rFonts w:hint="eastAsia" w:ascii="宋体" w:hAnsi="宋体" w:eastAsia="宋体" w:cs="宋体"/>
          <w:b/>
          <w:bCs/>
          <w:color w:val="auto"/>
          <w:sz w:val="21"/>
          <w:szCs w:val="21"/>
          <w:highlight w:val="none"/>
          <w:u w:val="single"/>
          <w:lang w:eastAsia="zh-CN"/>
        </w:rPr>
        <w:t xml:space="preserve">  </w:t>
      </w:r>
      <w:r>
        <w:rPr>
          <w:rFonts w:hint="eastAsia" w:ascii="宋体" w:hAnsi="宋体" w:eastAsia="宋体" w:cs="宋体"/>
          <w:b/>
          <w:bCs/>
          <w:color w:val="auto"/>
          <w:sz w:val="21"/>
          <w:szCs w:val="21"/>
          <w:highlight w:val="none"/>
          <w:lang w:eastAsia="zh-CN"/>
        </w:rPr>
        <w:t>条</w:t>
      </w:r>
      <w:r>
        <w:rPr>
          <w:rFonts w:hint="eastAsia" w:ascii="宋体" w:hAnsi="宋体" w:eastAsia="宋体" w:cs="宋体"/>
          <w:b/>
          <w:bCs/>
          <w:color w:val="auto"/>
          <w:sz w:val="21"/>
          <w:szCs w:val="21"/>
          <w:highlight w:val="none"/>
          <w:lang w:eastAsia="zh-CN"/>
        </w:rPr>
        <w:t>。</w:t>
      </w:r>
    </w:p>
    <w:p w14:paraId="47701554">
      <w:pPr>
        <w:kinsoku w:val="0"/>
        <w:spacing w:after="0" w:line="360" w:lineRule="auto"/>
        <w:ind w:left="440"/>
        <w:jc w:val="both"/>
        <w:rPr>
          <w:rFonts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双方同意以电子签章的方式签署本合同。乙方确保在电子签章平台注册时，使用的企业信息和个人相关信息真实有效，并且自觉遵守国家法律法规和甲方在该平台的合同签约流程。本合同自双方加盖电子签章之日起生效。合同生效后，双方均可对本合同进行查阅、下载、打印。下载、打印后的合同可以与平台中的电子合同进行比对，如有不同，以平台中的电子合同为准。甲乙双方使用电子签章方式签署的合同，只有通过验证生效的电子原件具有法律效力，未经电子印章服务平台公司提供书面证明材料的电子合同打印版不能作为法律依据。如因乙方使用不当给甲方造成损失，乙方愿自行承担由此造成的全部经济损失和法律责任。</w:t>
      </w:r>
    </w:p>
    <w:p w14:paraId="29000189">
      <w:pPr>
        <w:kinsoku w:val="0"/>
        <w:spacing w:after="0" w:line="360" w:lineRule="auto"/>
        <w:ind w:left="44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2.双方同意通过加盖物理印章的方式签署本合同，合同自双方盖章后生效，完成合同约定的全部内容，经验收合格且保修期满后即告终止。合同壹式</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陆</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份，甲方执</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伍</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份，乙方执</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壹</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份。</w:t>
      </w:r>
    </w:p>
    <w:tbl>
      <w:tblPr>
        <w:tblStyle w:val="31"/>
        <w:tblW w:w="0" w:type="auto"/>
        <w:tblInd w:w="0" w:type="dxa"/>
        <w:tblLayout w:type="autofit"/>
        <w:tblCellMar>
          <w:top w:w="0" w:type="dxa"/>
          <w:left w:w="108" w:type="dxa"/>
          <w:bottom w:w="0" w:type="dxa"/>
          <w:right w:w="108" w:type="dxa"/>
        </w:tblCellMar>
      </w:tblPr>
      <w:tblGrid>
        <w:gridCol w:w="4844"/>
        <w:gridCol w:w="4794"/>
      </w:tblGrid>
      <w:tr w14:paraId="29A55B86">
        <w:tblPrEx>
          <w:tblCellMar>
            <w:top w:w="0" w:type="dxa"/>
            <w:left w:w="108" w:type="dxa"/>
            <w:bottom w:w="0" w:type="dxa"/>
            <w:right w:w="108" w:type="dxa"/>
          </w:tblCellMar>
        </w:tblPrEx>
        <w:trPr>
          <w:trHeight w:val="1417" w:hRule="atLeast"/>
        </w:trPr>
        <w:tc>
          <w:tcPr>
            <w:tcW w:w="4844" w:type="dxa"/>
            <w:noWrap w:val="0"/>
            <w:vAlign w:val="center"/>
          </w:tcPr>
          <w:p w14:paraId="28E34292">
            <w:pPr>
              <w:kinsoku w:val="0"/>
              <w:spacing w:beforeLines="0" w:afterLines="0"/>
              <w:rPr>
                <w:rFonts w:hint="default" w:ascii="宋体" w:hAnsi="宋体" w:eastAsia="宋体" w:cs="宋体"/>
                <w:color w:val="auto"/>
                <w:sz w:val="21"/>
                <w:szCs w:val="21"/>
                <w:highlight w:val="none"/>
              </w:rPr>
            </w:pPr>
            <w:r>
              <w:rPr>
                <w:rFonts w:hint="default" w:ascii="宋体" w:hAnsi="宋体" w:eastAsia="宋体" w:cs="宋体"/>
                <w:color w:val="auto"/>
                <w:sz w:val="21"/>
                <w:szCs w:val="21"/>
                <w:highlight w:val="none"/>
              </w:rPr>
              <w:t>甲方：中建路桥集团第二工程有限公司</w:t>
            </w:r>
          </w:p>
          <w:p w14:paraId="48DC0739">
            <w:pPr>
              <w:kinsoku w:val="0"/>
              <w:spacing w:beforeLines="0" w:afterLines="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（合同专用章）</w:t>
            </w:r>
          </w:p>
        </w:tc>
        <w:tc>
          <w:tcPr>
            <w:tcW w:w="4794" w:type="dxa"/>
            <w:noWrap w:val="0"/>
            <w:vAlign w:val="center"/>
          </w:tcPr>
          <w:p w14:paraId="06A31620">
            <w:pPr>
              <w:kinsoku w:val="0"/>
              <w:spacing w:after="0"/>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乙方：</w:t>
            </w:r>
          </w:p>
          <w:p w14:paraId="494BCCA0">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（合同专用章或公章）</w:t>
            </w:r>
          </w:p>
        </w:tc>
      </w:tr>
      <w:tr w14:paraId="4D16FCE9">
        <w:tblPrEx>
          <w:tblCellMar>
            <w:top w:w="0" w:type="dxa"/>
            <w:left w:w="108" w:type="dxa"/>
            <w:bottom w:w="0" w:type="dxa"/>
            <w:right w:w="108" w:type="dxa"/>
          </w:tblCellMar>
        </w:tblPrEx>
        <w:trPr>
          <w:trHeight w:val="567" w:hRule="exact"/>
        </w:trPr>
        <w:tc>
          <w:tcPr>
            <w:tcW w:w="4844" w:type="dxa"/>
            <w:noWrap w:val="0"/>
            <w:vAlign w:val="center"/>
          </w:tcPr>
          <w:p w14:paraId="7DBD16D8">
            <w:pPr>
              <w:kinsoku w:val="0"/>
              <w:spacing w:beforeLines="0" w:afterLines="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法定代表人（签字）：</w:t>
            </w:r>
          </w:p>
        </w:tc>
        <w:tc>
          <w:tcPr>
            <w:tcW w:w="4794" w:type="dxa"/>
            <w:noWrap w:val="0"/>
            <w:vAlign w:val="center"/>
          </w:tcPr>
          <w:p w14:paraId="1C0767EB">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法定代表人（签字）：</w:t>
            </w:r>
          </w:p>
        </w:tc>
      </w:tr>
      <w:tr w14:paraId="00CD8477">
        <w:tblPrEx>
          <w:tblCellMar>
            <w:top w:w="0" w:type="dxa"/>
            <w:left w:w="108" w:type="dxa"/>
            <w:bottom w:w="0" w:type="dxa"/>
            <w:right w:w="108" w:type="dxa"/>
          </w:tblCellMar>
        </w:tblPrEx>
        <w:trPr>
          <w:trHeight w:val="567" w:hRule="exact"/>
        </w:trPr>
        <w:tc>
          <w:tcPr>
            <w:tcW w:w="4844" w:type="dxa"/>
            <w:noWrap w:val="0"/>
            <w:vAlign w:val="center"/>
          </w:tcPr>
          <w:p w14:paraId="05A321A5">
            <w:pPr>
              <w:kinsoku w:val="0"/>
              <w:spacing w:beforeLines="0" w:afterLines="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或</w:t>
            </w:r>
          </w:p>
        </w:tc>
        <w:tc>
          <w:tcPr>
            <w:tcW w:w="4794" w:type="dxa"/>
            <w:noWrap w:val="0"/>
            <w:vAlign w:val="center"/>
          </w:tcPr>
          <w:p w14:paraId="35DDFA67">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或</w:t>
            </w:r>
          </w:p>
        </w:tc>
      </w:tr>
      <w:tr w14:paraId="324B0526">
        <w:tblPrEx>
          <w:tblCellMar>
            <w:top w:w="0" w:type="dxa"/>
            <w:left w:w="108" w:type="dxa"/>
            <w:bottom w:w="0" w:type="dxa"/>
            <w:right w:w="108" w:type="dxa"/>
          </w:tblCellMar>
        </w:tblPrEx>
        <w:trPr>
          <w:trHeight w:val="567" w:hRule="exact"/>
        </w:trPr>
        <w:tc>
          <w:tcPr>
            <w:tcW w:w="4844" w:type="dxa"/>
            <w:noWrap w:val="0"/>
            <w:vAlign w:val="center"/>
          </w:tcPr>
          <w:p w14:paraId="18DD4E99">
            <w:pPr>
              <w:kinsoku w:val="0"/>
              <w:spacing w:beforeLines="0" w:afterLines="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委托代理人（签字）：</w:t>
            </w:r>
          </w:p>
        </w:tc>
        <w:tc>
          <w:tcPr>
            <w:tcW w:w="4794" w:type="dxa"/>
            <w:noWrap w:val="0"/>
            <w:vAlign w:val="center"/>
          </w:tcPr>
          <w:p w14:paraId="36698BDA">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委托代理人（签字）：</w:t>
            </w:r>
          </w:p>
        </w:tc>
      </w:tr>
      <w:tr w14:paraId="33762FC2">
        <w:tblPrEx>
          <w:tblCellMar>
            <w:top w:w="0" w:type="dxa"/>
            <w:left w:w="108" w:type="dxa"/>
            <w:bottom w:w="0" w:type="dxa"/>
            <w:right w:w="108" w:type="dxa"/>
          </w:tblCellMar>
        </w:tblPrEx>
        <w:trPr>
          <w:trHeight w:val="567" w:hRule="exact"/>
        </w:trPr>
        <w:tc>
          <w:tcPr>
            <w:tcW w:w="4844" w:type="dxa"/>
            <w:noWrap w:val="0"/>
            <w:vAlign w:val="center"/>
          </w:tcPr>
          <w:p w14:paraId="53491BC0">
            <w:pPr>
              <w:kinsoku w:val="0"/>
              <w:spacing w:beforeLines="0" w:afterLines="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纳税人识别号：911301006690940535</w:t>
            </w:r>
          </w:p>
        </w:tc>
        <w:tc>
          <w:tcPr>
            <w:tcW w:w="4794" w:type="dxa"/>
            <w:noWrap w:val="0"/>
            <w:vAlign w:val="center"/>
          </w:tcPr>
          <w:p w14:paraId="7568224A">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纳税人识别号：</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 xml:space="preserve"> </w:t>
            </w:r>
          </w:p>
        </w:tc>
      </w:tr>
      <w:tr w14:paraId="7CB1BD86">
        <w:tblPrEx>
          <w:tblCellMar>
            <w:top w:w="0" w:type="dxa"/>
            <w:left w:w="108" w:type="dxa"/>
            <w:bottom w:w="0" w:type="dxa"/>
            <w:right w:w="108" w:type="dxa"/>
          </w:tblCellMar>
        </w:tblPrEx>
        <w:trPr>
          <w:trHeight w:val="567" w:hRule="exact"/>
        </w:trPr>
        <w:tc>
          <w:tcPr>
            <w:tcW w:w="4844" w:type="dxa"/>
            <w:noWrap w:val="0"/>
            <w:vAlign w:val="center"/>
          </w:tcPr>
          <w:p w14:paraId="54FAF41D">
            <w:pPr>
              <w:kinsoku w:val="0"/>
              <w:spacing w:beforeLines="0" w:afterLines="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地址：广西省玉林市博白县龙潭产业园区交易集散市场办公楼二楼202室</w:t>
            </w:r>
          </w:p>
        </w:tc>
        <w:tc>
          <w:tcPr>
            <w:tcW w:w="4794" w:type="dxa"/>
            <w:noWrap w:val="0"/>
            <w:vAlign w:val="center"/>
          </w:tcPr>
          <w:p w14:paraId="499E1993">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地址：</w:t>
            </w:r>
            <w:r>
              <w:rPr>
                <w:rFonts w:hint="eastAsia" w:ascii="宋体" w:hAnsi="宋体" w:eastAsia="宋体" w:cs="宋体"/>
                <w:color w:val="auto"/>
                <w:sz w:val="21"/>
                <w:szCs w:val="21"/>
                <w:highlight w:val="none"/>
                <w:u w:val="single"/>
                <w:lang w:eastAsia="zh-CN"/>
              </w:rPr>
              <w:t xml:space="preserve">    *****             </w:t>
            </w:r>
          </w:p>
        </w:tc>
      </w:tr>
      <w:tr w14:paraId="65D312EE">
        <w:tblPrEx>
          <w:tblCellMar>
            <w:top w:w="0" w:type="dxa"/>
            <w:left w:w="108" w:type="dxa"/>
            <w:bottom w:w="0" w:type="dxa"/>
            <w:right w:w="108" w:type="dxa"/>
          </w:tblCellMar>
        </w:tblPrEx>
        <w:trPr>
          <w:trHeight w:val="567" w:hRule="exact"/>
        </w:trPr>
        <w:tc>
          <w:tcPr>
            <w:tcW w:w="4844" w:type="dxa"/>
            <w:noWrap w:val="0"/>
            <w:vAlign w:val="center"/>
          </w:tcPr>
          <w:p w14:paraId="37D4B9E4">
            <w:pPr>
              <w:kinsoku w:val="0"/>
              <w:spacing w:beforeLines="0" w:afterLines="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电话：0771-3120799</w:t>
            </w:r>
          </w:p>
        </w:tc>
        <w:tc>
          <w:tcPr>
            <w:tcW w:w="4794" w:type="dxa"/>
            <w:noWrap w:val="0"/>
            <w:vAlign w:val="center"/>
          </w:tcPr>
          <w:p w14:paraId="2A5EF53D">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电话：</w:t>
            </w:r>
            <w:r>
              <w:rPr>
                <w:rFonts w:hint="eastAsia" w:ascii="宋体" w:hAnsi="宋体" w:eastAsia="宋体" w:cs="宋体"/>
                <w:color w:val="auto"/>
                <w:sz w:val="21"/>
                <w:szCs w:val="21"/>
                <w:highlight w:val="none"/>
                <w:u w:val="single"/>
                <w:lang w:eastAsia="zh-CN"/>
              </w:rPr>
              <w:t xml:space="preserve">    *****             </w:t>
            </w:r>
          </w:p>
        </w:tc>
      </w:tr>
      <w:tr w14:paraId="2A1551CB">
        <w:tblPrEx>
          <w:tblCellMar>
            <w:top w:w="0" w:type="dxa"/>
            <w:left w:w="108" w:type="dxa"/>
            <w:bottom w:w="0" w:type="dxa"/>
            <w:right w:w="108" w:type="dxa"/>
          </w:tblCellMar>
        </w:tblPrEx>
        <w:trPr>
          <w:trHeight w:val="567" w:hRule="exact"/>
        </w:trPr>
        <w:tc>
          <w:tcPr>
            <w:tcW w:w="4844" w:type="dxa"/>
            <w:noWrap w:val="0"/>
            <w:vAlign w:val="center"/>
          </w:tcPr>
          <w:p w14:paraId="324AB639">
            <w:pPr>
              <w:kinsoku w:val="0"/>
              <w:spacing w:beforeLines="0" w:afterLines="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开户银行：广西北部湾银行南宁市琅东支行</w:t>
            </w:r>
          </w:p>
        </w:tc>
        <w:tc>
          <w:tcPr>
            <w:tcW w:w="4794" w:type="dxa"/>
            <w:noWrap w:val="0"/>
            <w:vAlign w:val="center"/>
          </w:tcPr>
          <w:p w14:paraId="133B4CBE">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开户银行：</w:t>
            </w:r>
            <w:r>
              <w:rPr>
                <w:rFonts w:hint="eastAsia" w:ascii="宋体" w:hAnsi="宋体" w:eastAsia="宋体" w:cs="宋体"/>
                <w:color w:val="auto"/>
                <w:sz w:val="21"/>
                <w:szCs w:val="21"/>
                <w:highlight w:val="none"/>
                <w:u w:val="single"/>
                <w:lang w:eastAsia="zh-CN"/>
              </w:rPr>
              <w:t xml:space="preserve">    *****             </w:t>
            </w:r>
          </w:p>
        </w:tc>
      </w:tr>
      <w:tr w14:paraId="5F6CC956">
        <w:tblPrEx>
          <w:tblCellMar>
            <w:top w:w="0" w:type="dxa"/>
            <w:left w:w="108" w:type="dxa"/>
            <w:bottom w:w="0" w:type="dxa"/>
            <w:right w:w="108" w:type="dxa"/>
          </w:tblCellMar>
        </w:tblPrEx>
        <w:trPr>
          <w:trHeight w:val="567" w:hRule="exact"/>
        </w:trPr>
        <w:tc>
          <w:tcPr>
            <w:tcW w:w="4844" w:type="dxa"/>
            <w:noWrap w:val="0"/>
            <w:vAlign w:val="center"/>
          </w:tcPr>
          <w:p w14:paraId="502FC818">
            <w:pPr>
              <w:kinsoku w:val="0"/>
              <w:spacing w:beforeLines="0" w:afterLines="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银行账号：800136608100016</w:t>
            </w:r>
          </w:p>
        </w:tc>
        <w:tc>
          <w:tcPr>
            <w:tcW w:w="4794" w:type="dxa"/>
            <w:noWrap w:val="0"/>
            <w:vAlign w:val="center"/>
          </w:tcPr>
          <w:p w14:paraId="200FA4E5">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银行账号：</w:t>
            </w:r>
            <w:r>
              <w:rPr>
                <w:rFonts w:hint="eastAsia" w:ascii="宋体" w:hAnsi="宋体" w:eastAsia="宋体" w:cs="宋体"/>
                <w:color w:val="auto"/>
                <w:sz w:val="21"/>
                <w:szCs w:val="21"/>
                <w:highlight w:val="none"/>
                <w:u w:val="single"/>
                <w:lang w:eastAsia="zh-CN"/>
              </w:rPr>
              <w:t xml:space="preserve">    *****             </w:t>
            </w:r>
          </w:p>
        </w:tc>
      </w:tr>
      <w:tr w14:paraId="573449A1">
        <w:tblPrEx>
          <w:tblCellMar>
            <w:top w:w="0" w:type="dxa"/>
            <w:left w:w="108" w:type="dxa"/>
            <w:bottom w:w="0" w:type="dxa"/>
            <w:right w:w="108" w:type="dxa"/>
          </w:tblCellMar>
        </w:tblPrEx>
        <w:trPr>
          <w:trHeight w:val="567" w:hRule="exact"/>
        </w:trPr>
        <w:tc>
          <w:tcPr>
            <w:tcW w:w="4844" w:type="dxa"/>
            <w:noWrap w:val="0"/>
            <w:vAlign w:val="center"/>
          </w:tcPr>
          <w:p w14:paraId="59189308">
            <w:pPr>
              <w:kinsoku w:val="0"/>
              <w:spacing w:beforeLines="0" w:afterLines="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联系人：</w:t>
            </w:r>
            <w:r>
              <w:rPr>
                <w:rFonts w:hint="default" w:ascii="宋体" w:hAnsi="宋体" w:eastAsia="宋体" w:cs="宋体"/>
                <w:color w:val="auto"/>
                <w:sz w:val="21"/>
                <w:szCs w:val="21"/>
                <w:highlight w:val="none"/>
                <w:u w:val="single"/>
              </w:rPr>
              <w:t xml:space="preserve">    *****             </w:t>
            </w:r>
          </w:p>
        </w:tc>
        <w:tc>
          <w:tcPr>
            <w:tcW w:w="4794" w:type="dxa"/>
            <w:noWrap w:val="0"/>
            <w:vAlign w:val="center"/>
          </w:tcPr>
          <w:p w14:paraId="43EC1B56">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开户银行行号：</w:t>
            </w:r>
            <w:r>
              <w:rPr>
                <w:rFonts w:hint="eastAsia" w:ascii="宋体" w:hAnsi="宋体" w:eastAsia="宋体" w:cs="宋体"/>
                <w:color w:val="auto"/>
                <w:sz w:val="21"/>
                <w:szCs w:val="21"/>
                <w:highlight w:val="none"/>
                <w:u w:val="single"/>
                <w:lang w:eastAsia="zh-CN"/>
              </w:rPr>
              <w:t xml:space="preserve">    *****             </w:t>
            </w:r>
          </w:p>
        </w:tc>
      </w:tr>
      <w:tr w14:paraId="7DF6C38D">
        <w:tblPrEx>
          <w:tblCellMar>
            <w:top w:w="0" w:type="dxa"/>
            <w:left w:w="108" w:type="dxa"/>
            <w:bottom w:w="0" w:type="dxa"/>
            <w:right w:w="108" w:type="dxa"/>
          </w:tblCellMar>
        </w:tblPrEx>
        <w:trPr>
          <w:trHeight w:val="567" w:hRule="exact"/>
        </w:trPr>
        <w:tc>
          <w:tcPr>
            <w:tcW w:w="4844" w:type="dxa"/>
            <w:noWrap w:val="0"/>
            <w:vAlign w:val="center"/>
          </w:tcPr>
          <w:p w14:paraId="0F2760B2">
            <w:pPr>
              <w:kinsoku w:val="0"/>
              <w:spacing w:beforeLines="0" w:afterLines="0"/>
              <w:rPr>
                <w:rFonts w:hint="eastAsia"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rPr>
              <w:t>联系电话：</w:t>
            </w:r>
            <w:r>
              <w:rPr>
                <w:rFonts w:hint="default" w:ascii="宋体" w:hAnsi="宋体" w:eastAsia="宋体" w:cs="宋体"/>
                <w:color w:val="auto"/>
                <w:sz w:val="21"/>
                <w:szCs w:val="21"/>
                <w:highlight w:val="none"/>
                <w:u w:val="single"/>
              </w:rPr>
              <w:t xml:space="preserve">    *****             </w:t>
            </w:r>
          </w:p>
        </w:tc>
        <w:tc>
          <w:tcPr>
            <w:tcW w:w="4794" w:type="dxa"/>
            <w:noWrap w:val="0"/>
            <w:vAlign w:val="center"/>
          </w:tcPr>
          <w:p w14:paraId="69BD09E9">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联系人：</w:t>
            </w:r>
            <w:r>
              <w:rPr>
                <w:rFonts w:hint="eastAsia" w:ascii="宋体" w:hAnsi="宋体" w:eastAsia="宋体" w:cs="宋体"/>
                <w:color w:val="auto"/>
                <w:sz w:val="21"/>
                <w:szCs w:val="21"/>
                <w:highlight w:val="none"/>
                <w:u w:val="single"/>
                <w:lang w:eastAsia="zh-CN"/>
              </w:rPr>
              <w:t xml:space="preserve">    *****             </w:t>
            </w:r>
          </w:p>
        </w:tc>
      </w:tr>
      <w:tr w14:paraId="1F3EC93A">
        <w:tblPrEx>
          <w:tblCellMar>
            <w:top w:w="0" w:type="dxa"/>
            <w:left w:w="108" w:type="dxa"/>
            <w:bottom w:w="0" w:type="dxa"/>
            <w:right w:w="108" w:type="dxa"/>
          </w:tblCellMar>
        </w:tblPrEx>
        <w:trPr>
          <w:trHeight w:val="567" w:hRule="exact"/>
        </w:trPr>
        <w:tc>
          <w:tcPr>
            <w:tcW w:w="4844" w:type="dxa"/>
            <w:noWrap w:val="0"/>
            <w:vAlign w:val="center"/>
          </w:tcPr>
          <w:p w14:paraId="10F3423A">
            <w:pPr>
              <w:kinsoku w:val="0"/>
              <w:spacing w:beforeLines="0" w:afterLines="0"/>
              <w:rPr>
                <w:rFonts w:hint="eastAsia" w:ascii="宋体" w:hAnsi="宋体" w:eastAsia="宋体" w:cs="宋体"/>
                <w:color w:val="auto"/>
                <w:sz w:val="21"/>
                <w:szCs w:val="21"/>
                <w:highlight w:val="none"/>
                <w:lang w:eastAsia="zh-CN"/>
              </w:rPr>
            </w:pPr>
          </w:p>
        </w:tc>
        <w:tc>
          <w:tcPr>
            <w:tcW w:w="4794" w:type="dxa"/>
            <w:noWrap w:val="0"/>
            <w:vAlign w:val="center"/>
          </w:tcPr>
          <w:p w14:paraId="026E1218">
            <w:pPr>
              <w:kinsoku w:val="0"/>
              <w:spacing w:after="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联系电话：</w:t>
            </w:r>
            <w:r>
              <w:rPr>
                <w:rFonts w:hint="eastAsia" w:ascii="宋体" w:hAnsi="宋体" w:eastAsia="宋体" w:cs="宋体"/>
                <w:color w:val="auto"/>
                <w:sz w:val="21"/>
                <w:szCs w:val="21"/>
                <w:highlight w:val="none"/>
                <w:u w:val="single"/>
                <w:lang w:eastAsia="zh-CN"/>
              </w:rPr>
              <w:t xml:space="preserve">    *****             </w:t>
            </w:r>
          </w:p>
        </w:tc>
      </w:tr>
    </w:tbl>
    <w:p w14:paraId="4A459FB6">
      <w:pPr>
        <w:kinsoku w:val="0"/>
        <w:spacing w:line="240" w:lineRule="auto"/>
        <w:ind w:left="158" w:leftChars="75"/>
        <w:rPr>
          <w:color w:val="auto"/>
          <w:highlight w:val="none"/>
          <w:lang w:eastAsia="zh-CN"/>
        </w:rPr>
      </w:pPr>
      <w:bookmarkStart w:id="721" w:name="_Toc101963481"/>
      <w:bookmarkStart w:id="722" w:name="_Toc9997"/>
      <w:bookmarkStart w:id="723" w:name="_Toc14254"/>
      <w:bookmarkStart w:id="724" w:name="_Toc25679"/>
      <w:bookmarkStart w:id="725" w:name="_Toc6860"/>
      <w:bookmarkStart w:id="726" w:name="_Toc30455"/>
      <w:bookmarkStart w:id="727" w:name="_Toc47"/>
      <w:bookmarkStart w:id="728" w:name="_Toc18153"/>
      <w:bookmarkStart w:id="729" w:name="_Toc21478"/>
      <w:bookmarkStart w:id="730" w:name="_Toc20736"/>
      <w:bookmarkStart w:id="731" w:name="_Toc22648"/>
      <w:bookmarkStart w:id="732" w:name="_Toc30871"/>
      <w:bookmarkStart w:id="733" w:name="_Toc6057"/>
      <w:bookmarkStart w:id="734" w:name="_Toc5545"/>
      <w:bookmarkStart w:id="735" w:name="_Toc101357414"/>
      <w:bookmarkStart w:id="736" w:name="_Toc20750"/>
      <w:bookmarkStart w:id="737" w:name="_Toc7477"/>
      <w:bookmarkStart w:id="738" w:name="_Toc29121"/>
      <w:bookmarkStart w:id="739" w:name="_Toc10193"/>
      <w:bookmarkStart w:id="740" w:name="_Toc29921"/>
    </w:p>
    <w:p w14:paraId="4DCE8F4A">
      <w:pPr>
        <w:kinsoku w:val="0"/>
        <w:spacing w:after="0" w:line="240" w:lineRule="auto"/>
        <w:rPr>
          <w:color w:val="auto"/>
          <w:highlight w:val="none"/>
          <w:lang w:eastAsia="zh-CN"/>
        </w:rPr>
        <w:sectPr>
          <w:footerReference r:id="rId13" w:type="default"/>
          <w:pgSz w:w="11906" w:h="16838"/>
          <w:pgMar w:top="1134" w:right="1134" w:bottom="1134" w:left="1134" w:header="851" w:footer="850" w:gutter="0"/>
          <w:pgNumType w:start="1"/>
          <w:cols w:space="720" w:num="1"/>
          <w:docGrid w:type="lines" w:linePitch="312" w:charSpace="0"/>
        </w:sectPr>
      </w:pPr>
    </w:p>
    <w:p w14:paraId="1E5C0930">
      <w:pPr>
        <w:kinsoku w:val="0"/>
        <w:ind w:left="158" w:leftChars="75"/>
        <w:jc w:val="center"/>
        <w:outlineLvl w:val="0"/>
        <w:rPr>
          <w:rFonts w:hint="eastAsia" w:ascii="宋体" w:hAnsi="宋体"/>
          <w:b/>
          <w:color w:val="auto"/>
          <w:sz w:val="32"/>
          <w:szCs w:val="32"/>
          <w:highlight w:val="none"/>
          <w:lang w:eastAsia="zh-CN"/>
        </w:rPr>
      </w:pPr>
      <w:bookmarkStart w:id="741" w:name="_Toc175764418"/>
      <w:r>
        <w:rPr>
          <w:rFonts w:hint="eastAsia" w:ascii="宋体" w:hAnsi="宋体"/>
          <w:b/>
          <w:color w:val="auto"/>
          <w:sz w:val="32"/>
          <w:szCs w:val="32"/>
          <w:highlight w:val="none"/>
          <w:lang w:eastAsia="zh-CN"/>
        </w:rPr>
        <w:t>第二部分 通用合同条款</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14:paraId="12EA4EF5">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742" w:name="_Toc303538974"/>
      <w:bookmarkEnd w:id="742"/>
      <w:bookmarkStart w:id="743" w:name="_Toc303538976"/>
      <w:bookmarkEnd w:id="743"/>
      <w:bookmarkStart w:id="744" w:name="_Toc303538975"/>
      <w:bookmarkEnd w:id="744"/>
      <w:bookmarkStart w:id="745" w:name="_Toc303538972"/>
      <w:bookmarkEnd w:id="745"/>
      <w:bookmarkStart w:id="746" w:name="_Toc303538973"/>
      <w:bookmarkEnd w:id="746"/>
      <w:bookmarkStart w:id="747" w:name="_Toc17620"/>
      <w:bookmarkStart w:id="748" w:name="_Toc15310"/>
      <w:bookmarkStart w:id="749" w:name="_Toc2869"/>
      <w:bookmarkStart w:id="750" w:name="_Toc14272"/>
      <w:bookmarkStart w:id="751" w:name="_Toc23392"/>
      <w:bookmarkStart w:id="752" w:name="_Toc10833"/>
      <w:bookmarkStart w:id="753" w:name="_Toc175764419"/>
      <w:bookmarkStart w:id="754" w:name="_Toc17580"/>
      <w:bookmarkStart w:id="755" w:name="_Toc3750"/>
      <w:bookmarkStart w:id="756" w:name="_Toc26284"/>
      <w:bookmarkStart w:id="757" w:name="_Toc29619"/>
      <w:bookmarkStart w:id="758" w:name="_Toc7886"/>
      <w:bookmarkStart w:id="759" w:name="_Toc13130"/>
      <w:bookmarkStart w:id="760" w:name="_Toc101357415"/>
      <w:bookmarkStart w:id="761" w:name="_Toc101963482"/>
      <w:bookmarkStart w:id="762" w:name="_Toc11140"/>
      <w:bookmarkStart w:id="763" w:name="_Toc32658"/>
      <w:r>
        <w:rPr>
          <w:rFonts w:hint="eastAsia" w:ascii="宋体" w:hAnsi="宋体" w:eastAsia="宋体" w:cs="宋体"/>
          <w:b/>
          <w:color w:val="auto"/>
          <w:sz w:val="21"/>
          <w:szCs w:val="21"/>
          <w:highlight w:val="none"/>
          <w:lang w:eastAsia="zh-CN"/>
        </w:rPr>
        <w:t>词语解释</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14:paraId="7589D080">
      <w:pPr>
        <w:kinsoku w:val="0"/>
        <w:spacing w:after="0" w:line="360" w:lineRule="auto"/>
        <w:ind w:left="158" w:leftChars="75"/>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合同协议书、通用合同条款、专用合同条款中的下列词语应具有本款所赋予的含义：</w:t>
      </w:r>
    </w:p>
    <w:p w14:paraId="6325EE98">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总承包合同：指建设单位和甲方双方共同签署的施工总承包合同。</w:t>
      </w:r>
    </w:p>
    <w:p w14:paraId="3C29156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本分包合同：指甲方和乙方双方共同签署本分包工程的施工合同。</w:t>
      </w:r>
    </w:p>
    <w:p w14:paraId="7882DCDA">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建设单位：是指在总承包合同中与甲方订立合同协议书的当事人及取得该当事人资格的合法继受人。</w:t>
      </w:r>
    </w:p>
    <w:p w14:paraId="529DEB51">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甲方：是指在总承包合同中与建设单位订立合同协议书的当事人及取得该当事人资格的合法继受人。</w:t>
      </w:r>
    </w:p>
    <w:p w14:paraId="733AAF0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乙方：是指在本分包合同中与甲方订立合同协议书的当事人及取得该当事人资格的合法继受人。</w:t>
      </w:r>
    </w:p>
    <w:p w14:paraId="259449CB">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监理单位：指建设单位聘请的整体工程的监理单位。</w:t>
      </w:r>
    </w:p>
    <w:p w14:paraId="3C272A7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甲方项目经理：指甲方在本分包合同中指定的负责施工管理、履行总承包合同及本分包合同的代表。</w:t>
      </w:r>
    </w:p>
    <w:p w14:paraId="3C4A2DE1">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乙方项目经理：指由乙方在本分包合同中指定的负责施工管理和履行合同的代表。</w:t>
      </w:r>
    </w:p>
    <w:p w14:paraId="4C9DE1A8">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整体工程：指甲方与建设单位签订的总承包合同中约定由甲方负责实施、竣工和修补质量缺陷的有关工程。</w:t>
      </w:r>
    </w:p>
    <w:p w14:paraId="406A6DC2">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本分包工程：指乙方按本分包合同约定负责实施、完工和修补质量缺陷的整体工程内的有关工程。</w:t>
      </w:r>
    </w:p>
    <w:p w14:paraId="4469F1B0">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图纸：指包含在本分包合同中的工程图纸，以及由甲方按本分包合同约定提供的任何补充和修改的图纸，包括配套的说明。</w:t>
      </w:r>
    </w:p>
    <w:p w14:paraId="3A5A833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日、天：除特别指明外，指日历天。合同中按天计算时间的，开始当天不计入，从次日开始计算。期限最后一天的截止时间为当天24:00。</w:t>
      </w:r>
    </w:p>
    <w:p w14:paraId="704FB57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缺陷责任期：是指甲方预留工程质量保证金以保证乙方履行第20.1条约定的缺陷责任的期限。</w:t>
      </w:r>
    </w:p>
    <w:p w14:paraId="7313E35E">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质量保修期：是指乙方按照合同第20.2条约定和法律规定对工程质量承担保修责任的期限。</w:t>
      </w:r>
    </w:p>
    <w:p w14:paraId="1C9D03F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名制管理：指利用实名制信息管理系统，采集建设工程项目人员身份信息、居住信息、劳动关系、工资发放、考勤信息、工作经历、良好行为及不良行为、执业证书、安全培训证书等基本信息，建立现场人员的信息档案，对建设工程项目人员进行组织化、信息化管理的制度。</w:t>
      </w:r>
    </w:p>
    <w:p w14:paraId="22ECED8B">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764" w:name="_Toc29050"/>
      <w:bookmarkStart w:id="765" w:name="_Toc23135"/>
      <w:bookmarkStart w:id="766" w:name="_Toc9151"/>
      <w:bookmarkStart w:id="767" w:name="_Toc15530"/>
      <w:bookmarkStart w:id="768" w:name="_Toc101357416"/>
      <w:bookmarkStart w:id="769" w:name="_Toc101963483"/>
      <w:bookmarkStart w:id="770" w:name="_Toc175764420"/>
      <w:bookmarkStart w:id="771" w:name="_Toc27924"/>
      <w:bookmarkStart w:id="772" w:name="_Toc4355"/>
      <w:bookmarkStart w:id="773" w:name="_Toc13230"/>
      <w:bookmarkStart w:id="774" w:name="_Toc11909"/>
      <w:bookmarkStart w:id="775" w:name="_Toc25260"/>
      <w:bookmarkStart w:id="776" w:name="_Toc25557"/>
      <w:bookmarkStart w:id="777" w:name="_Toc14170"/>
      <w:bookmarkStart w:id="778" w:name="_Toc1668"/>
      <w:bookmarkStart w:id="779" w:name="_Toc2269"/>
      <w:bookmarkStart w:id="780" w:name="_Toc31420"/>
      <w:r>
        <w:rPr>
          <w:rFonts w:hint="eastAsia" w:ascii="宋体" w:hAnsi="宋体" w:eastAsia="宋体" w:cs="宋体"/>
          <w:b/>
          <w:color w:val="auto"/>
          <w:sz w:val="21"/>
          <w:szCs w:val="21"/>
          <w:highlight w:val="none"/>
        </w:rPr>
        <w:t>适用法律法规</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14:paraId="640AAC69">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bookmarkStart w:id="781" w:name="A2"/>
      <w:bookmarkEnd w:id="781"/>
      <w:r>
        <w:rPr>
          <w:rFonts w:hint="eastAsia" w:ascii="宋体" w:hAnsi="宋体" w:eastAsia="宋体" w:cs="宋体"/>
          <w:color w:val="auto"/>
          <w:sz w:val="21"/>
          <w:szCs w:val="21"/>
          <w:highlight w:val="none"/>
          <w:lang w:eastAsia="zh-CN"/>
        </w:rPr>
        <w:t>适用于合同的法律包括中华人民共和国正式颁布实施的法律、行政法规、部门规章，以及工程所在地的地方法规、自治条例、单行条例和地方政府规章。</w:t>
      </w:r>
    </w:p>
    <w:p w14:paraId="61F161B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如在合同有效期内，颁布新的法律法规或修订了原有法律法规，则此后继的法律法规将自动适用于本合同。</w:t>
      </w:r>
    </w:p>
    <w:p w14:paraId="4E6C704F">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782" w:name="_Toc101357417"/>
      <w:bookmarkStart w:id="783" w:name="_Toc101963484"/>
      <w:bookmarkStart w:id="784" w:name="_Toc175764421"/>
      <w:bookmarkStart w:id="785" w:name="_Toc9548"/>
      <w:bookmarkStart w:id="786" w:name="_Toc9473"/>
      <w:bookmarkStart w:id="787" w:name="_Toc6632"/>
      <w:bookmarkStart w:id="788" w:name="_Toc18612"/>
      <w:bookmarkStart w:id="789" w:name="_Toc26613"/>
      <w:bookmarkStart w:id="790" w:name="_Toc31847"/>
      <w:bookmarkStart w:id="791" w:name="_Toc15005"/>
      <w:bookmarkStart w:id="792" w:name="_Toc22228"/>
      <w:bookmarkStart w:id="793" w:name="_Toc8612"/>
      <w:bookmarkStart w:id="794" w:name="_Toc1257"/>
      <w:bookmarkStart w:id="795" w:name="_Toc19987"/>
      <w:bookmarkStart w:id="796" w:name="_Toc24914"/>
      <w:bookmarkStart w:id="797" w:name="_Toc7548"/>
      <w:bookmarkStart w:id="798" w:name="_Toc13199"/>
      <w:r>
        <w:rPr>
          <w:rFonts w:hint="eastAsia" w:ascii="宋体" w:hAnsi="宋体" w:eastAsia="宋体" w:cs="宋体"/>
          <w:b/>
          <w:color w:val="auto"/>
          <w:sz w:val="21"/>
          <w:szCs w:val="21"/>
          <w:highlight w:val="none"/>
        </w:rPr>
        <w:t>标准和规范</w:t>
      </w:r>
      <w:bookmarkEnd w:id="782"/>
      <w:bookmarkEnd w:id="783"/>
      <w:bookmarkEnd w:id="784"/>
    </w:p>
    <w:p w14:paraId="31DC93A3">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分包工程适用现行国家、行业和工程所在地市规范、标准和规程。所采用的标准与规范应满足施工图纸、设计单位的要求；满足国家、地方、行业颁布以及后续颁布的规范、标准、规程；满足国家、地方颁布实施的有关法律、法规、文件等。上述图纸、标准、规范、规程若有不一致或矛盾之处，按较为严格标准执行。</w:t>
      </w:r>
    </w:p>
    <w:p w14:paraId="37CFDD0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构成合同文件的任何内容与国家、行业和工程所在地市现行规范、规程和标准出现矛盾时，乙方应书面要求甲方予以澄清，除非甲方有特别指令，乙方应按其中要求最严格的标准执行。</w:t>
      </w:r>
    </w:p>
    <w:p w14:paraId="5E94BD23">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除合同另有约定外，材料、施工工艺和本分包工程应按技术标准和要求以及国家、行业和工程所在地市现行规范、标准和规程最新版本执行。</w:t>
      </w:r>
    </w:p>
    <w:p w14:paraId="43257886">
      <w:pPr>
        <w:numPr>
          <w:ilvl w:val="0"/>
          <w:numId w:val="6"/>
        </w:numPr>
        <w:kinsoku w:val="0"/>
        <w:spacing w:after="0" w:line="360" w:lineRule="auto"/>
        <w:jc w:val="both"/>
        <w:outlineLvl w:val="1"/>
        <w:rPr>
          <w:rFonts w:hint="eastAsia" w:ascii="宋体" w:hAnsi="宋体" w:eastAsia="宋体" w:cs="宋体"/>
          <w:b/>
          <w:color w:val="auto"/>
          <w:sz w:val="21"/>
          <w:szCs w:val="21"/>
          <w:highlight w:val="none"/>
          <w:lang w:eastAsia="zh-CN"/>
        </w:rPr>
      </w:pPr>
      <w:bookmarkStart w:id="799" w:name="_Toc101357418"/>
      <w:bookmarkStart w:id="800" w:name="_Toc175764422"/>
      <w:bookmarkStart w:id="801" w:name="_Toc101963485"/>
      <w:r>
        <w:rPr>
          <w:rFonts w:hint="eastAsia" w:ascii="宋体" w:hAnsi="宋体" w:eastAsia="宋体" w:cs="宋体"/>
          <w:b/>
          <w:color w:val="auto"/>
          <w:sz w:val="21"/>
          <w:szCs w:val="21"/>
          <w:highlight w:val="none"/>
          <w:lang w:eastAsia="zh-CN"/>
        </w:rPr>
        <w:t>合同文件组成及解释顺序</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14:paraId="53778950">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除专用合同条款另有约定外，组成本合同的文件及优先解释顺序如下：</w:t>
      </w:r>
    </w:p>
    <w:p w14:paraId="6F2BBCA2">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合同协议书；</w:t>
      </w:r>
    </w:p>
    <w:p w14:paraId="0CCADA79">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中标通知书（如有）；</w:t>
      </w:r>
    </w:p>
    <w:p w14:paraId="7055D4B3">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专用合同条款及承诺书等合同附件；</w:t>
      </w:r>
    </w:p>
    <w:p w14:paraId="39AE2412">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通用合同条款；</w:t>
      </w:r>
    </w:p>
    <w:p w14:paraId="4AFEA5AE">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标准、规范及有关技术标准和要求；</w:t>
      </w:r>
    </w:p>
    <w:p w14:paraId="63A851B8">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施工图纸、施工组织设计或施工方案；</w:t>
      </w:r>
    </w:p>
    <w:p w14:paraId="102E6854">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已标价的工程量清单；</w:t>
      </w:r>
    </w:p>
    <w:p w14:paraId="4F9947F4">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往来资料及函件；</w:t>
      </w:r>
    </w:p>
    <w:p w14:paraId="20AC31E7">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采购文件及补遗文件（如有）；</w:t>
      </w:r>
    </w:p>
    <w:p w14:paraId="352E49AA">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甲方现场管理制度及要求；</w:t>
      </w:r>
    </w:p>
    <w:p w14:paraId="1319B9F9">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投标文件及附件；</w:t>
      </w:r>
    </w:p>
    <w:p w14:paraId="698F53CF">
      <w:pPr>
        <w:pStyle w:val="87"/>
        <w:numPr>
          <w:ilvl w:val="0"/>
          <w:numId w:val="7"/>
        </w:numPr>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与本合同有关的其他文件。</w:t>
      </w:r>
    </w:p>
    <w:p w14:paraId="3ECCBC5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在合同订立及履行过程中形成的与合同有关的文件均为合同文件的组成部分。</w:t>
      </w:r>
    </w:p>
    <w:p w14:paraId="0B2E0BFB">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上述各项合同文件中包括合同当事人就该项合同文件所做出的补充和修改，属于同一类型内容的文件应以最新签署的为准。</w:t>
      </w:r>
    </w:p>
    <w:p w14:paraId="42C803D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组成合同的各项文件应互相解释，互为说明。本合同约定解释合同文件的优先顺序同上述排列次序，在合同订立及履行过程中形成的与合同有关的文件根据其性质确定优先解释顺序。当合同文件与工程规范、技术要求不一致时，应以要求较高的标准执行。</w:t>
      </w:r>
    </w:p>
    <w:p w14:paraId="0D1D5E5C">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802" w:name="_Toc12825"/>
      <w:bookmarkStart w:id="803" w:name="_Toc101963486"/>
      <w:bookmarkStart w:id="804" w:name="_Toc23198"/>
      <w:bookmarkStart w:id="805" w:name="_Toc24518"/>
      <w:bookmarkStart w:id="806" w:name="_Toc5199"/>
      <w:bookmarkStart w:id="807" w:name="_Toc3330"/>
      <w:bookmarkStart w:id="808" w:name="_Toc32415"/>
      <w:bookmarkStart w:id="809" w:name="_Toc175764423"/>
      <w:bookmarkStart w:id="810" w:name="_Toc101357419"/>
      <w:bookmarkStart w:id="811" w:name="_Toc2101"/>
      <w:bookmarkStart w:id="812" w:name="_Toc8737"/>
      <w:bookmarkStart w:id="813" w:name="_Toc10197"/>
      <w:bookmarkStart w:id="814" w:name="_Toc26319"/>
      <w:bookmarkStart w:id="815" w:name="_Toc494"/>
      <w:bookmarkStart w:id="816" w:name="_Toc10762"/>
      <w:bookmarkStart w:id="817" w:name="_Toc24763"/>
      <w:bookmarkStart w:id="818" w:name="_Toc28671"/>
      <w:r>
        <w:rPr>
          <w:rFonts w:hint="eastAsia" w:ascii="宋体" w:hAnsi="宋体" w:eastAsia="宋体" w:cs="宋体"/>
          <w:b/>
          <w:color w:val="auto"/>
          <w:sz w:val="21"/>
          <w:szCs w:val="21"/>
          <w:highlight w:val="none"/>
        </w:rPr>
        <w:t>甲方工作</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14:paraId="69FCEC5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负责将电源配送至一、二级电箱及线路装配。</w:t>
      </w:r>
    </w:p>
    <w:p w14:paraId="344AD391">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代表甲方行使本合同权利、履行本合同义务的机构是其成立的项目部，负责人为项目经理，代表甲方行使本合同的约定责任。对乙方不服从现场管理或有其他违约行为，项目经理可下达整改、处罚通知、追究违约责任。</w:t>
      </w:r>
      <w:r>
        <w:rPr>
          <w:rFonts w:hint="eastAsia" w:ascii="宋体" w:hAnsi="宋体" w:eastAsia="宋体" w:cs="宋体"/>
          <w:b/>
          <w:bCs/>
          <w:color w:val="auto"/>
          <w:sz w:val="21"/>
          <w:szCs w:val="21"/>
          <w:highlight w:val="none"/>
          <w:lang w:eastAsia="zh-CN"/>
        </w:rPr>
        <w:t>甲方可以变更或撤销关于项目经理的委派，对于变更或撤销后原项目经理发出的指令或签字等往来文件，不作为甲方对乙方的确认或承诺。</w:t>
      </w:r>
      <w:r>
        <w:rPr>
          <w:rFonts w:hint="eastAsia" w:ascii="宋体" w:hAnsi="宋体" w:eastAsia="宋体" w:cs="宋体"/>
          <w:b/>
          <w:color w:val="auto"/>
          <w:sz w:val="21"/>
          <w:szCs w:val="21"/>
          <w:highlight w:val="none"/>
          <w:lang w:eastAsia="zh-CN"/>
        </w:rPr>
        <w:t>涉及项目部及其管理人员无权办理的相关事项，任何形式的签字、盖章均无效，甲方不承担相应责任。项目部公章为公司授权在施工管理过程中使用的印章，该枚印章授权使用范围仅为项目往来函件、洽谈变更（同业主方）等履约过程中的文件，不包括签署任何合同及补充协议、任何经济性协议、任何经济性承诺、开具收款收据、办理结算等事项。</w:t>
      </w:r>
    </w:p>
    <w:p w14:paraId="73BA9EC8">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负责编制施工组织设计，统一制定各项管理目标，组织编制年、季、月施工计划、物资需用量计划表，实施对工程质量、工期、安全生产、文明施工、计量、试验等工作的控制、监督、检查和验收。</w:t>
      </w:r>
    </w:p>
    <w:p w14:paraId="1A36384D">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应按专用合同条款的约定向乙方提供图纸，并根据本分包工程进度计划组织图纸会审和技术交底。甲方可以随时根据现场实际情况对施工图纸进行补充和变更、对工艺工序和施工方案以及进度计划进行调整、对乙方施工条件作出改变等，乙方应执行以上指示，并受其约束。</w:t>
      </w:r>
    </w:p>
    <w:p w14:paraId="77E7DA93">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负责整个施工现场的管理工作，负责定期组织召开生产例会，协调乙方与现场其它分包商、施工工序之间的关系。</w:t>
      </w:r>
    </w:p>
    <w:p w14:paraId="6A3619A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甲方认为乙方管理人员（包括乙方项目经理、现场负责人及其他管理人员）不能按照合同约定履行职责或义务的，可以要求乙方无条件进行撤换，并委派新的管理人员接替。</w:t>
      </w:r>
    </w:p>
    <w:p w14:paraId="4368193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如果乙方在本工程质量、进度、安全、现场管理等方面满足不了建设单位、甲方的要求时，甲方可将分包合同范围内的工作承包给其它分包单位，其所需费用应由乙方承担，并从其应结款项扣除；如其应结款项不足以承担所需费用，则超出部分可由其履约担保金中扣回，如履约担保金仍不能满足所需费用超出部分，甲方保留其他追索权</w:t>
      </w:r>
      <w:r>
        <w:rPr>
          <w:rFonts w:hint="eastAsia" w:ascii="宋体" w:hAnsi="宋体" w:eastAsia="宋体" w:cs="宋体"/>
          <w:color w:val="auto"/>
          <w:sz w:val="21"/>
          <w:szCs w:val="21"/>
          <w:highlight w:val="none"/>
          <w:lang w:eastAsia="zh-CN"/>
        </w:rPr>
        <w:t>。</w:t>
      </w:r>
    </w:p>
    <w:p w14:paraId="50047E04">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如果乙方不服从甲方现场管理人员指挥、不按操作规程作业、有明显拖延工期倾向且无有效的安全、质量、进度保证措施及整改措施时，甲方可单方面解除合同，并保留对乙方追索的权利，乙方不得因解除合同向甲方提出任何索赔。由此对甲方造成其他损失的，甲方保留追索权。</w:t>
      </w:r>
    </w:p>
    <w:p w14:paraId="23639A0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甲方负责整体工程安全文明施工和环境保护工作，对乙方的绿色施工管理工作进行指导和监督，督促乙方遵守关于大气污染和绿色施工的相关管理规定，对施工现场范围内各乙方的绿色施工进行统筹管理。</w:t>
      </w:r>
    </w:p>
    <w:p w14:paraId="00FCF059">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负责组织分部工程、本分包工程的交（竣）工验收工作。</w:t>
      </w:r>
    </w:p>
    <w:p w14:paraId="5F70AAE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负责统一安排工程档案资料的收集、整理及交工验收。</w:t>
      </w:r>
    </w:p>
    <w:p w14:paraId="7266491D">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健全农民工管理体系，甲方监督乙方依法与招用的农民工签订劳动合同并严格履行合同内容，建立职工花名册并办理劳动备案；全面实行农民工实名制管理制度，建立劳动计酬手册，记录施工现场作业农民工的身份信息、劳动考勤、工资结算等信息，实现信息化实名制管理；加强对乙方劳动用工和工资发放的监督管理，在工程项目部配备劳资专管员，建立施工人员进出场登记制度和考勤计量、工资支付等管理台账，实时掌握施工现场用工及其工资支付情况，不得以包代管。</w:t>
      </w:r>
    </w:p>
    <w:p w14:paraId="6C30DF72">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负责对农民工的进场安全教育，并积极组织相关考试，按照管理要求将教育情况、考试情况录入劳务实名制管理平台。</w:t>
      </w:r>
    </w:p>
    <w:p w14:paraId="1FC5509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建立健全项目后勤管理相关制度，做好包括乙方办公区、工人生活区的物业化管理制度、流程及标准。甲方可进行过程中的检查、督办整改，并根据具体情况予以处罚。乙方未遵守相关制度规定或不满足属地政府、办事处等有关部门的要求，引发的不良后果及给甲方造成的损失由乙方承担。</w:t>
      </w:r>
    </w:p>
    <w:p w14:paraId="759E7CB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负责核实乙方现场实际投入本工程项目（工序）的主要管理人员、技术人员的配备是否与合同约定相符，并对主要管理人员、技术人员的出勤状况进行考核。</w:t>
      </w:r>
    </w:p>
    <w:p w14:paraId="6BCFC661">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负责做好材料消耗数量管理，对乙方使用的材料消耗进行对比分析，按合同规定对乙方进行扣款。</w:t>
      </w:r>
    </w:p>
    <w:p w14:paraId="1BB5A542">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负责核实乙方现场实际投入本工程项目（工序）的主要机械设备的规格、数量、进退场时间是否与合同约定相符。</w:t>
      </w:r>
    </w:p>
    <w:p w14:paraId="770EDFD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做好机械设备管理工作，对乙方进场的机械设备进行验收并登记造册，监督乙方对租赁机械设备费用的及时支付。</w:t>
      </w:r>
    </w:p>
    <w:p w14:paraId="6F1E03F8">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819" w:name="_Toc17585"/>
      <w:bookmarkStart w:id="820" w:name="_Toc101357420"/>
      <w:bookmarkStart w:id="821" w:name="_Toc28386"/>
      <w:bookmarkStart w:id="822" w:name="_Toc4268"/>
      <w:bookmarkStart w:id="823" w:name="_Toc8122"/>
      <w:bookmarkStart w:id="824" w:name="_Toc22501"/>
      <w:bookmarkStart w:id="825" w:name="_Toc26413"/>
      <w:bookmarkStart w:id="826" w:name="_Toc13995"/>
      <w:bookmarkStart w:id="827" w:name="_Toc24013"/>
      <w:bookmarkStart w:id="828" w:name="_Toc17055"/>
      <w:bookmarkStart w:id="829" w:name="_Toc101963487"/>
      <w:bookmarkStart w:id="830" w:name="_Toc175764424"/>
      <w:bookmarkStart w:id="831" w:name="_Toc15331"/>
      <w:bookmarkStart w:id="832" w:name="_Toc15315"/>
      <w:bookmarkStart w:id="833" w:name="_Toc7322"/>
      <w:bookmarkStart w:id="834" w:name="_Toc15691"/>
      <w:bookmarkStart w:id="835" w:name="_Toc18862"/>
      <w:r>
        <w:rPr>
          <w:rFonts w:hint="eastAsia" w:ascii="宋体" w:hAnsi="宋体" w:eastAsia="宋体" w:cs="宋体"/>
          <w:b/>
          <w:color w:val="auto"/>
          <w:sz w:val="21"/>
          <w:szCs w:val="21"/>
          <w:highlight w:val="none"/>
        </w:rPr>
        <w:t>乙方工作</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14:paraId="2EA8F389">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为完成本分包工程而设置合理可行的现场组织机构，并委派具备相应岗位资格的管理人员，进场前应将管理人员的资料报甲方备案。除非获得甲方书面同意，乙方不得更换或撤回主要管理人员（现场负责人、技术负责人、安全负责人等）。在合同签订时，乙方应提供项目现场代表、技术负责人、质量负责人、安全负责人的劳动合同、养老保险及工资发放凭证，同时提供身份证复印件（双面复印）及岗位证书复印件，其中养老保险及工资发放凭证在合同履行期间每季度提供一次且确保真实、有效，直至合同履行完成，否则，甲方可以单方解除合同。</w:t>
      </w:r>
    </w:p>
    <w:p w14:paraId="35984B7A">
      <w:pPr>
        <w:numPr>
          <w:ilvl w:val="1"/>
          <w:numId w:val="6"/>
        </w:numPr>
        <w:kinsoku w:val="0"/>
        <w:spacing w:after="0" w:line="360" w:lineRule="auto"/>
        <w:jc w:val="both"/>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乙方使用专用合同条款中约定的电子邮箱或联系地址收发与本分包工程有关的电子文件和书面文件，电子文件与书面文件具有相同的法律效力，电子文件投递至甲方服务器系统时生效，书面文件寄出后的第三个工作日或收件人实际签收日（以先到的时间为准）视为送达，选择直接送达的，则递交时视为送达。乙方电子邮箱或联系地址发生变更的，应在变更发生后5日内以书面形式加盖与本分包合同一致的印章通知甲方，未书面通知甲方的，视为原电子邮箱和联系地址继续有效，由此造成的任何损失由乙方承担。</w:t>
      </w:r>
    </w:p>
    <w:p w14:paraId="2F8EA2DD">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甲方的总体部署下，负责编制本分包工程的施工组织设计，包括各项保证工期、质量、安全的措施以及冬雨季施工措施，按照经甲方批准的本分包工程施工组织设计及甲方根据本合同发出的指令要求组织施工，未经甲方同意不得擅自更改施工方案及工艺。乙方施工组织应该符合项目整体施工组织计划的要求，涉及与其他分包工程交叉作业的工作，应采用甲方认可的合理工序进行搭接。</w:t>
      </w:r>
    </w:p>
    <w:p w14:paraId="1D4E79F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有义务审查并识别分包工程的设计图纸或工程建设标准、技术要求中存在的错误、遗漏、矛盾或其他缺陷，并及时通知甲方，根据甲方指令决定下一步施工安排。因乙方未能识别或识别后未及时通知导致返工或导致安全、质量等问题造成其他经济损失的，由乙方负责无偿整改恢复并承担其他经济损失，工期不予顺延。</w:t>
      </w:r>
    </w:p>
    <w:p w14:paraId="487A309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在本合同签订后3天内向甲方项目经理部提交分包工程总体进度计划，并按甲方的具体要求提交年度、季度、月度、周工程进度计划。如乙方不能按甲方批准的进度计划施工时，应根据甲方的要求提交一份修订的进度计划，以保证分包工程如期竣工。</w:t>
      </w:r>
    </w:p>
    <w:p w14:paraId="73AFC4E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编制与施工组织设计相适应的劳动力安排计划，劳动力安排计划应当包括分包作业人员数量、工种、进场时间、退场时间以及劳务费支付计划等，劳动力安排计划应当经甲方批准后实施。乙方应当组织具有相应资格证书和符合本合同分包作业要求的分包作业人员投入工作。未经甲方书面准许，乙方不得擅自调整和撤走进驻工地人员。私自调整进驻工地人员，所导致的经济损失由乙方负责。</w:t>
      </w:r>
    </w:p>
    <w:p w14:paraId="71C97EB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提供的图纸和文件，未经甲方同意，乙方不得为本合同履约以外的目的，泄露给他人或公开发表与引用，乙方施工完毕需将纸质图纸完整交回甲方。未经甲方书面同意，乙方不得为了本合同履约以外的目的而复制、使用上述文件或将之转让、泄露给任何第三方。乙方应负责分包工程范围内图纸的保密工作，乙方的保密义务在分包合同终止后，应当继续履行。</w:t>
      </w:r>
    </w:p>
    <w:p w14:paraId="746B532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对甲方的技术交底（含技术交底图纸）进行认真审核与校对，当发生下列各项情况之一时，乙方应立即以书面形式报告甲方工程部门进行确认，待甲方确认可后，方可进行施工。由于乙方未对所承担工程项目（工序）的技术交底（含技术交底图纸）进行认真的审核和校对，造成甲方损失的，由乙方承担全部责任并承担返工费用。</w:t>
      </w:r>
    </w:p>
    <w:p w14:paraId="0D3371D0">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技术交底（含技术交底图纸）与工程实际不符，如施工位置、地质、设计高程及技术交底图纸、技术交底所标明的设计数据、施工要求与实际不符；</w:t>
      </w:r>
    </w:p>
    <w:p w14:paraId="0F86CBE4">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技术交底（含技术交底图纸）表示不明确或有遗漏、错误、图纸与文字说明不符，工程数量有误等；</w:t>
      </w:r>
    </w:p>
    <w:p w14:paraId="6E52BE9A">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技术交底（含技术交底图纸）中的常识性错误。</w:t>
      </w:r>
    </w:p>
    <w:p w14:paraId="2225933B">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乙方承担复制、重新绘制、翻译、购买标准图纸的责任和费用，乙方负责按甲方要求，收集、整理、编制本分包工程的中间交工资料、竣工资料及竣工图,并在甲方规定的时间内提交。</w:t>
      </w:r>
    </w:p>
    <w:p w14:paraId="5447C78A">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本工程除甲方以外的测量、放线、监测工作，负责对本工程的基准坐标点、高程点、沉降及位移观测点的保护工作，确保不被破坏，并且确保所施工工程结构定位、标高、几何尺寸等的准确性，因施工偏差而造成的其他分包工程的返工、返修，其费用由乙方承担，甲方可以在未得到乙方书面确认的前提下从乙方结算价款中直接扣除。并为自带的全站仪、经纬仪、水准仪、激光铅垂仪、尺等测量仪器向甲方提供检测合格的报告加盖乙方公章的复印件一份，并在检测有效期内使用，费用自理，同时乙方必须配备必要的测量人员。施工控制网点丢失或损坏的，乙方应及时修复并承担费用。</w:t>
      </w:r>
    </w:p>
    <w:p w14:paraId="2E5E25B2">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负责提供除本合同约定甲方提供资源和服务以外的所有实施本工程所必须的资源。负责随时接受建设单位、监理及甲方的监督检查和指导，并为其日常检查查验提供便利和安全条件。</w:t>
      </w:r>
    </w:p>
    <w:p w14:paraId="117D488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必须在进行中间验收前24小时以书面形式通知甲方进行验收，未经甲方同意不得进入下道工序施工，由于未报验导致的一切损失和责任由乙方承担。乙方按本合同规定完成合同内全部工作后，向甲方提出竣工验收要求，竣工验收按国家规定程序及甲方的要求办理。</w:t>
      </w:r>
    </w:p>
    <w:p w14:paraId="3268A34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乙方应严格执行样板（首件制）制度，样板（首件制）验收合格后方可进行大面积施工。</w:t>
      </w:r>
    </w:p>
    <w:p w14:paraId="7A477C7D">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负责现场数据资料的编写。必须指定专人配合甲方进行本工程所须的一切试验检测工作（含第三方见证试验），配合甲方进行和完成承包工程所需的所有甲方、建设单位、有关政府部门/单位要求的各种试验工作。</w:t>
      </w:r>
    </w:p>
    <w:p w14:paraId="6659550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①如由甲方提供宿舍的，乙方负责甲方提供宿舍内设施的维护和维修，费用包含在综合单价内。水费、电费、水电表安装费用由乙方承担。工人退场后，应及时向甲方退宿舍；并确保宿舍内电器、空调、插座、电线线路、遥控、开关、床、吊顶等完好可用，宿舍卫生需打扫干净。若上述设备设施损坏，维修费用由乙方承担，在付款时直接自乙方的应得款项中扣除；宿舍卫生打扫不干净，按照每间宿舍100元扣款。并保证办公生活区满足消防要求。②乙方自身办公、住宿、饮食由乙方自行负责，包括但不限于房屋、办公及生活设施、卫生设施、水电费、第二场地租赁费、其它临时设施费、灭火器和生活垃圾清运费等。但必须服从甲方管理，达到甲方的安全文明施工要求。</w:t>
      </w:r>
    </w:p>
    <w:p w14:paraId="2AF8A40B">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施工过程中乙方应按甲方要求对施工现场临时设施、工作面、工人生活区、现场内外临时道路等进行清理，保证施工场地每日场容整洁，对模板（清理干净，长期不用的涂刷隔离剂）、周转料具等分类整理、码放，建筑垃圾和材料运至甲方指定堆放地点，并承担相关费用。若乙方未做到或无故拖延，甲方将委托他人代为清理，清理产生的费用由乙方承担，在付款时直接自乙方的应得款项中扣除。无条件配合甲方现场施工观摩、上级检查、质量验收工作，若因乙方劳动力不足，甲方另行委派其他队伍清理乙方场地，相关费用由乙方承担，从结算价款中扣除。</w:t>
      </w:r>
    </w:p>
    <w:p w14:paraId="68E6A1FE">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合理组织现场施工生产，充分利用已有机械设备、脚手架、临时道路、水电设施、消防设施及其他生产及安全设施，确保在甲方要求的时间内完成分包工作。若因乙方自身原因，造成已有设备和设施拆除后仍有剩余工作内容未完的，乙方必须另行配备足够的设备和搭建设施，并承担相关费用，保证如期履约。</w:t>
      </w:r>
    </w:p>
    <w:p w14:paraId="00652A40">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在接收工作面时，应组织三方交接，做好交接记录。需要上一道工序的分包单位进行质量整改的，应及时提出，未及时提出的，视为移交的上一道工序合格，施工过程中乙方不得向甲方提出质量修复或因此增加费用。</w:t>
      </w:r>
    </w:p>
    <w:p w14:paraId="7D7E3CE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若分包施工涉及工程防渗漏问题，乙方必须采取防渗漏措施，并在施工方案中体现，经甲方审核后实施。若由于乙方分包施工过程管控不严而产生渗漏，由此产生的直接及间接损失均由乙方承担。</w:t>
      </w:r>
    </w:p>
    <w:p w14:paraId="6BE79EC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乙方应在分包工程完工后 7 日内将所有剩余物料清退出场，移交施工场地，并负责清理本工程项目的标志、污斑、指印、油污和脏污等，达到交工前的清理标准。若因乙方的延误，后续分包单位不能顺利进场施工，甲方将按照实际损失从乙方结算价款中进行追偿。</w:t>
      </w:r>
    </w:p>
    <w:p w14:paraId="0E1E86D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承包范围内工程的成品保护工作直至本工程移交验收，并不得损坏他方的材料、成品及半成品，违反上述工作要求的一切责任和费用均由乙方承担。本分包工程交叉作业区域的成品保护工作由乙方自行协商解决，自行协商无果的，由甲方裁定当事方负责交叉区域的成品保护，当事方应无条件执行。</w:t>
      </w:r>
    </w:p>
    <w:p w14:paraId="446C44D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甲方在最终施工时可能对图纸、技术方案、施工范围和内容，以及进度节点和施工顺序、其他施工条件进行调整，乙方应按甲方要求实施并如期交付，合同价款已考虑所有费用的差异。</w:t>
      </w:r>
    </w:p>
    <w:p w14:paraId="40B181C9">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负责本分包工程档案资料的编制、整理、组卷并按照专用合同条款中的约定移交甲方。</w:t>
      </w:r>
    </w:p>
    <w:p w14:paraId="17E2351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乙方有义务保管、维护施工范围现场临水、临电、临时消防设施，负责二级以下至施工工作面的配电，同时必须达到甲方的安全文明施工要求，其费用包含在合同单价之内。</w:t>
      </w:r>
    </w:p>
    <w:p w14:paraId="5B9CBF01">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如果同一现场内有甲方分包的其它分包商，乙方应无条件为甲方的其它分包商提供合同中所约定的施工资源，其费用已包含在合同价款中，任何情况下均不得调整。</w:t>
      </w:r>
    </w:p>
    <w:p w14:paraId="4E454AD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乙方项目经理应按甲方要求准时参加由建设单位、监理单位、甲方（三方中任一方）主持的现场办公例会，并服从于会议决议以及甲方的协调管理。若乙方项目经理无法正常参加会议，需书面委托有相应决策权的代表参加。</w:t>
      </w:r>
    </w:p>
    <w:p w14:paraId="5BAF306A">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承包范围内施工场地周围建筑物、构筑物、地下管线、光缆、文物的保护工作，凡因乙方原因导致施工场地周围建筑物、构筑物和现场内外的各种管线、文物的破坏，乙方应承担相应责任及损失，延误的工期不予顺延。在施工中发现古墓、古建筑遗址等文物及其他有考古、地质研究等价值的物品时，乙方应保护好现场并于4小时内以书面形式通知甲方，并按文物管理要求采取妥善保护措施及协调有关事项，有关费用及工期影响按本合同规定执行。如发现后隐瞒不报，致使文物遭受破坏，责任者依法承担相应责任。</w:t>
      </w:r>
    </w:p>
    <w:p w14:paraId="7019F799">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遵守当地各级管理机构关于扰民的规定，负责因自身施工不当或违反操作规程等原因引起的扰民和民扰事宜的处理。乙方应当清楚地预计到施工期间对外界可能产生的必需的不可能避免的干扰，并为此保证主动努力减少这些干扰对外界的影响，且应当积极主动与外界进行协调，将本施工对扰民的影响降到最低限，不能对甲方产生任何负面影响；凡因乙方原因造成的扰民和民扰，其责任和经济损失由乙方承担，乙方并确保甲方免于承担该等责任。必须严格遵守国家及当地省市的法律、法规，服从并执行甲方对现场质量、安全、文明施工、环境保护、施工场地交通、施工噪音、劳动保障等各项制度、规定，并按要求办理有关手续，遵守甲方关于现场管理的相关规定和要求。乙方承担任何因执行上述制度、规定不力或违反上述制度、规定造成的一切损失及责任，并保证甲方免于因乙方过失造成的损失及承担的责任。</w:t>
      </w:r>
    </w:p>
    <w:p w14:paraId="57D12C51">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合同签订后乙方须向甲方提交企业营业执照、施工资质证书、施工安全生产许可证等加盖公章的复印件供甲方存档，如在合同期内各项证书发生变更、年审更新等情况，乙方应主动提供更新资料给甲方。乙方须遵守国家及当地省市关于承包工程所需资质和技术能力的有关规定，并已获得政府认定的在本地从事承包工作的资格，有关资料虽经甲方审查，亦不能减免乙方应负的责任。</w:t>
      </w:r>
    </w:p>
    <w:p w14:paraId="60436EAA">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乙方向甲方提供施工人员名单（外来人员需经当地项目建设行政主管部门外管处备案）及上岗证、操作人员100%持证上岗，特殊工种要100%持证上岗。</w:t>
      </w:r>
    </w:p>
    <w:p w14:paraId="2B203B8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乙方未经甲方的书面批准不得做出任何关于本工程宣传报道、竖立标牌、广告及单方面发表技术成果、专利等有关CI及知识产权方面的事宜。</w:t>
      </w:r>
    </w:p>
    <w:p w14:paraId="1735905E">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在使用任何材料、甲方设备、工程设备或采用施工工艺时，因侵犯专利权或其他知识产权所引起的责任，由乙方承担，但由于遵照甲方提供的设计或技术标准和要求引起的除外（乙方应在投标阶段充分考虑施工过程存在的专利使用费用,并包含在报价中）。</w:t>
      </w:r>
    </w:p>
    <w:p w14:paraId="768B408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须承担甲方按照总承包合同需向建设单位承担的有关本工程的责任和义务，乙方应在上述责任和义务涉及的范围内保障和保证甲方免于遭受任何与本合同的履行有关的或因其引起的一切索赔、诉讼、违约金、损失赔偿或其他任何费用。</w:t>
      </w:r>
    </w:p>
    <w:p w14:paraId="10EB03ED">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应保障和保证甲方免于承担由乙方、乙方工人或其雇佣的任何其他人员的任何疏忽造成的损失，及其所属上述人员对于甲方提供的临时工程的任何误用造成的损失，保障和保证甲方免于遭受与上述事宜相关的一切损失、索赔或诉讼。</w:t>
      </w:r>
    </w:p>
    <w:p w14:paraId="4B6D853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必须与所招用的农民工依法签订书面劳动合同，确立劳动关系。劳动合同必须明确规定工资支付标准（不低于当地最低工资标准）、支付形式、支付日期和项目名称等条款，工人工资约定内容要便于计量和支付。劳动合同应不少于一式三份，乙方与施工人员各持一份，剩余一份在乙方进场前提交甲方进行备案。乙方必须每月足额按照应付实际施工人员工资向甲方上报施工人员考勤及其工资表，并对考勤及其工资表真实性负责。因乙方上报资料不齐、虚假等造成不良后果的，乙方除承担费用损失外，对甲方造成信誉、社会、履约等影响的，甲方可随时中止本合同，并保留对乙方的追索权。</w:t>
      </w:r>
    </w:p>
    <w:p w14:paraId="221D23EB">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乙方必须执行国家和地方关于农民工工资管理的规定，保证农民工工资按月足额发放，不得随意挪用；若乙方擅自挪用农民工工资而引起农民工群体上访等事件，均由乙方负责承担相关法律责任及经济赔偿责任。</w:t>
      </w:r>
    </w:p>
    <w:p w14:paraId="3EAAB94D">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乙方进场后立即办理相关手续，如：暂住证、健康证等证件，乙方施工人员应持证上岗；劳动力进场后立即组织其进行入场的“三级教育”和法制教育，使职工做到安全生产，不违章、违纪、违法。</w:t>
      </w:r>
    </w:p>
    <w:p w14:paraId="692E159B">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按照专用合同条款的要求配备劳资专管员，为每位进场人员在甲方备案，配合甲方进行农民工实名制的信息化管理；配合甲方完成当地政府相关的各种检查，并提供相应的手续和证件；每月向甲方报送一次加盖乙方公章的施工人员花名册。</w:t>
      </w:r>
    </w:p>
    <w:p w14:paraId="485D988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对所招用农民工的实名制管理负直接责任。乙方要做到八统一标准：身份证、暂住证、岗位证书、劳动合同书、人员备案证明、花名册、考勤表、工资表统一。签订合同7日内，乙方将实名制资料提交甲方劳务管理人员审核备案，无实名制资料人员严禁进入施工现场。施工过程中乙方应按甲方要求做好实名制资料管理并随时配合甲方检查。</w:t>
      </w:r>
    </w:p>
    <w:p w14:paraId="721BE50D">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对所招用农民工实名制管理的工资支付负直接责任。不得以工程款未到位等为由克扣或拖欠农民工工资，不得将合同应收工程款等经营风险转嫁给农民工。乙方应当按照工资支付周期编制书面工资支付台账，并至少保存3年。书面工资支付台账应当包括乙方名称，支付周期，支付日期，支付对象姓名、身份证号码、联系方式，工作时间，应发工资项目及数额，代扣、代缴、扣除项目和数额，实发工资数额，银行代发工资凭证或者农民工签字等内容。乙方在甲方支付每笔工程款后</w:t>
      </w:r>
      <w:r>
        <w:rPr>
          <w:rFonts w:hint="eastAsia" w:ascii="宋体" w:hAnsi="宋体" w:eastAsia="宋体" w:cs="宋体"/>
          <w:color w:val="auto"/>
          <w:sz w:val="21"/>
          <w:szCs w:val="21"/>
          <w:highlight w:val="none"/>
          <w:u w:val="single"/>
          <w:lang w:eastAsia="zh-CN"/>
        </w:rPr>
        <w:t>7</w:t>
      </w:r>
      <w:r>
        <w:rPr>
          <w:rFonts w:hint="eastAsia" w:ascii="宋体" w:hAnsi="宋体" w:eastAsia="宋体" w:cs="宋体"/>
          <w:color w:val="auto"/>
          <w:sz w:val="21"/>
          <w:szCs w:val="21"/>
          <w:highlight w:val="none"/>
          <w:lang w:eastAsia="zh-CN"/>
        </w:rPr>
        <w:t>天内，需将上述资料复印件加盖乙方公章后提交至甲方存档。乙方人员进退场费用、驻地只施工场地的通行费用由乙方承担，甲方不再另行支付费用。</w:t>
      </w:r>
    </w:p>
    <w:p w14:paraId="79910F21">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农民工考勤采用手机端云筑劳务APP、刷脸、闸机等多种方式，每日在全国建筑工人实名制管理平台对劳务人员进行考勤，甲方劳务管理员负责监督管理，乙方擅自使用未在全国建筑工人实名制管理平台进行考勤的人员，甲方不予认可，相应后果由乙方承担。</w:t>
      </w:r>
    </w:p>
    <w:p w14:paraId="2CC843CA">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配备生活区管理员并派专人负责工人生活区保洁工作，费用由乙方承担，按照甲方各项制度要求，对所属员工进行交底培训，对违反制度的人员及现场及时教育改正，如经检查不符合现场管理规定，乙方应限期整改。</w:t>
      </w:r>
    </w:p>
    <w:p w14:paraId="4315D0BC">
      <w:pPr>
        <w:numPr>
          <w:ilvl w:val="1"/>
          <w:numId w:val="6"/>
        </w:numPr>
        <w:kinsoku w:val="0"/>
        <w:spacing w:after="0" w:line="360" w:lineRule="auto"/>
        <w:jc w:val="both"/>
        <w:rPr>
          <w:color w:val="auto"/>
          <w:highlight w:val="none"/>
          <w:lang w:eastAsia="zh-CN"/>
        </w:rPr>
      </w:pPr>
      <w:r>
        <w:rPr>
          <w:rFonts w:hint="eastAsia" w:ascii="宋体" w:hAnsi="宋体" w:eastAsia="宋体" w:cs="宋体"/>
          <w:color w:val="auto"/>
          <w:sz w:val="21"/>
          <w:szCs w:val="21"/>
          <w:highlight w:val="none"/>
          <w:lang w:eastAsia="zh-CN"/>
        </w:rPr>
        <w:t>乙方要严格执行甲方与国家、地方政府常态化疫情防控要求，制定疫情常态化防控工作方案，建立疫情常态化防控工作体系，配备疫情防控人员，完善疫情防控管理制度。因疫情防控管理产生的相关费用包含在合同单价之内。</w:t>
      </w:r>
    </w:p>
    <w:p w14:paraId="758004E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乙方应严格遵守环保和文明施工的法律、法规和行业标准规定以及甲方的有关规定，积极开展环保、节能减排、水土保持等相关工作。</w:t>
      </w:r>
    </w:p>
    <w:p w14:paraId="3CCBE7C0">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负责办理本合同备案事宜，并支付相应费用。如因乙方合同备案不及时导致乙方无法提供发票或提供的发票无法抵扣甲方已经缴纳的税金、施工手续无法正常办理等问题，造成甲方损失的，乙方应承担给甲方造成的损失。</w:t>
      </w:r>
    </w:p>
    <w:p w14:paraId="17B4DCB2">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实际施工过程中甲方可以根据实际施工情况增加或减少乙方的施工内容，乙方必须按照甲方的指令进行施工，确保现场施工进度，并且不得进行任何工期及费用的索赔。</w:t>
      </w:r>
    </w:p>
    <w:p w14:paraId="0F3C975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当积极维护甲方名誉，不得以中建集团、中建xxx局及其下属公司、甲方及甲方关联公司、项目部等名义发布自媒体作品，接受媒体、建设单位、行政机关、司法机关等第三方的采访、调查、问询等，或通过其他形式发表言论。</w:t>
      </w:r>
    </w:p>
    <w:p w14:paraId="616BF16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乙方不得书面、口头使用甲方企业及其项目部名称，对外进行经济活动。乙方在分包作业工地发生劳动、租赁、买卖等合同纠纷、债务、债权责任，一律由乙方履行和承担责任。</w:t>
      </w:r>
    </w:p>
    <w:p w14:paraId="6546020E">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836" w:name="_Toc11492"/>
      <w:bookmarkStart w:id="837" w:name="_Toc101357421"/>
      <w:bookmarkStart w:id="838" w:name="_Toc17634"/>
      <w:bookmarkStart w:id="839" w:name="_Toc19137"/>
      <w:bookmarkStart w:id="840" w:name="_Toc7712"/>
      <w:bookmarkStart w:id="841" w:name="_Toc9009"/>
      <w:bookmarkStart w:id="842" w:name="_Toc4863"/>
      <w:bookmarkStart w:id="843" w:name="_Toc30226"/>
      <w:bookmarkStart w:id="844" w:name="_Toc19801"/>
      <w:bookmarkStart w:id="845" w:name="_Toc13570"/>
      <w:bookmarkStart w:id="846" w:name="_Toc175764425"/>
      <w:bookmarkStart w:id="847" w:name="_Toc10226"/>
      <w:bookmarkStart w:id="848" w:name="_Toc21935"/>
      <w:bookmarkStart w:id="849" w:name="_Toc31633"/>
      <w:bookmarkStart w:id="850" w:name="_Toc11195"/>
      <w:bookmarkStart w:id="851" w:name="_Toc101963488"/>
      <w:bookmarkStart w:id="852" w:name="_Toc8398"/>
      <w:r>
        <w:rPr>
          <w:rFonts w:hint="eastAsia" w:ascii="宋体" w:hAnsi="宋体" w:eastAsia="宋体" w:cs="宋体"/>
          <w:b/>
          <w:color w:val="auto"/>
          <w:sz w:val="21"/>
          <w:szCs w:val="21"/>
          <w:highlight w:val="none"/>
        </w:rPr>
        <w:t>技术质量要求</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14:paraId="06B0E068">
      <w:pPr>
        <w:numPr>
          <w:ilvl w:val="1"/>
          <w:numId w:val="6"/>
        </w:numPr>
        <w:kinsoku w:val="0"/>
        <w:spacing w:after="0" w:line="360" w:lineRule="auto"/>
        <w:jc w:val="both"/>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sz w:val="21"/>
          <w:szCs w:val="21"/>
          <w:highlight w:val="none"/>
          <w:lang w:eastAsia="zh-CN"/>
        </w:rPr>
        <w:t>乙方必须配备满足甲方要求数量的质量检查人员（不少于两人），建立质量管理体系，坚持自检、互检、交接检制度，并为检验提供便利条件，随时接受甲方现场代表和委派人员以及各级质检部门的检查、检验，并按要求返工、修改，承担由自身原因导致的返工、修改费用。为达到上述标准或为达到上述质量标准乙方按照甲方要求施工，所采取的各种措施之费用已包含在合同价款中。</w:t>
      </w:r>
    </w:p>
    <w:p w14:paraId="2B84A7F5">
      <w:pPr>
        <w:numPr>
          <w:ilvl w:val="1"/>
          <w:numId w:val="6"/>
        </w:numPr>
        <w:kinsoku w:val="0"/>
        <w:spacing w:after="0" w:line="360" w:lineRule="auto"/>
        <w:jc w:val="both"/>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lang w:eastAsia="zh-CN"/>
        </w:rPr>
        <w:t>质量标准的评定参考国家、地方或行业的质量检验评定标准，以总包方对业主的最终承诺为准。因乙方原因致使本工程质量达不到本合同约定的质量标准和创优目标，乙方须承担违约责任，甲方将按专用合同条款中约定的比例从分包结算总价中扣除相应金额作为质量违约金，并由乙方承担建设单位因此对甲方的任何罚款或索赔。</w:t>
      </w:r>
    </w:p>
    <w:p w14:paraId="7671975A">
      <w:pPr>
        <w:numPr>
          <w:ilvl w:val="1"/>
          <w:numId w:val="6"/>
        </w:numPr>
        <w:kinsoku w:val="0"/>
        <w:spacing w:after="0" w:line="360" w:lineRule="auto"/>
        <w:jc w:val="both"/>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lang w:eastAsia="zh-CN"/>
        </w:rPr>
        <w:t>质量问题整改率：100%。由于乙方发生质量问题对甲方的利益或声誉造成损害时或乙方对质量问题整改不彻底或整改不及时，甲方按照专用条款23.7条约定扣除相应的违约金，工期不予顺延。</w:t>
      </w:r>
    </w:p>
    <w:p w14:paraId="76F38AB4">
      <w:pPr>
        <w:numPr>
          <w:ilvl w:val="1"/>
          <w:numId w:val="6"/>
        </w:numPr>
        <w:kinsoku w:val="0"/>
        <w:spacing w:after="0" w:line="360" w:lineRule="auto"/>
        <w:jc w:val="both"/>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lang w:eastAsia="zh-CN"/>
        </w:rPr>
        <w:t>甲方的过程质量监督检查和工程质量检验不应影响施工正常进行。如影响施工正常进行，且检查检验不合格时，影响正常施工造成的费用增加和（或）工期延误由乙方承担。</w:t>
      </w:r>
    </w:p>
    <w:p w14:paraId="212C23CD">
      <w:pPr>
        <w:numPr>
          <w:ilvl w:val="1"/>
          <w:numId w:val="6"/>
        </w:numPr>
        <w:kinsoku w:val="0"/>
        <w:spacing w:after="0" w:line="360" w:lineRule="auto"/>
        <w:jc w:val="both"/>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lang w:eastAsia="zh-CN"/>
        </w:rPr>
        <w:t>工程具备隐蔽条件时先由乙方进行自检，并在隐蔽验收前以书面形式通知甲方验收。通知包括隐蔽的内容、验收时间和地点。甲方组织</w:t>
      </w:r>
      <w:r>
        <w:rPr>
          <w:rFonts w:hint="eastAsia" w:ascii="宋体" w:hAnsi="宋体" w:eastAsia="宋体" w:cs="宋体"/>
          <w:color w:val="auto"/>
          <w:sz w:val="21"/>
          <w:szCs w:val="21"/>
          <w:highlight w:val="none"/>
          <w:lang w:eastAsia="zh-CN"/>
        </w:rPr>
        <w:t>建设单位</w:t>
      </w:r>
      <w:r>
        <w:rPr>
          <w:rFonts w:hint="eastAsia" w:ascii="宋体" w:hAnsi="宋体" w:eastAsia="宋体" w:cs="宋体"/>
          <w:color w:val="auto"/>
          <w:kern w:val="16"/>
          <w:sz w:val="21"/>
          <w:szCs w:val="21"/>
          <w:highlight w:val="none"/>
          <w:lang w:eastAsia="zh-CN"/>
        </w:rPr>
        <w:t>、监理单位进行验收。乙方准备验收记录，验收合格，甲方、监理单位在验收记录上签字后，乙方可进行隐蔽或继续施工。验收不合格，乙方在甲方限定的时间内修改后重新验收，因此造成的费用增加和（或）工期延误由乙方承担。</w:t>
      </w:r>
    </w:p>
    <w:p w14:paraId="751993A7">
      <w:pPr>
        <w:numPr>
          <w:ilvl w:val="1"/>
          <w:numId w:val="6"/>
        </w:numPr>
        <w:kinsoku w:val="0"/>
        <w:spacing w:after="0" w:line="360" w:lineRule="auto"/>
        <w:jc w:val="both"/>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lang w:eastAsia="zh-CN"/>
        </w:rPr>
        <w:t>无论甲方是否进行验收，当其要求对已经隐蔽的工程重新检验时，乙方应按要求进行剥离或开孔，并在检验后重新覆盖或修复。检验合格，甲方承担由此发生的全部费用，赔偿乙方损失，并相应顺延工期。检验不合格，乙方应按照甲方要求进行返工、修复，并承担发生的全部费用，工期不予顺延。</w:t>
      </w:r>
    </w:p>
    <w:p w14:paraId="5972B08E">
      <w:pPr>
        <w:numPr>
          <w:ilvl w:val="1"/>
          <w:numId w:val="6"/>
        </w:numPr>
        <w:kinsoku w:val="0"/>
        <w:spacing w:after="0" w:line="360" w:lineRule="auto"/>
        <w:jc w:val="both"/>
        <w:rPr>
          <w:rFonts w:hint="eastAsia" w:ascii="宋体" w:hAnsi="宋体" w:eastAsia="宋体" w:cs="宋体"/>
          <w:color w:val="auto"/>
          <w:kern w:val="16"/>
          <w:sz w:val="21"/>
          <w:szCs w:val="21"/>
          <w:highlight w:val="none"/>
          <w:lang w:eastAsia="zh-CN"/>
        </w:rPr>
      </w:pPr>
      <w:r>
        <w:rPr>
          <w:rFonts w:hint="eastAsia" w:ascii="宋体" w:hAnsi="宋体" w:eastAsia="宋体" w:cs="宋体"/>
          <w:color w:val="auto"/>
          <w:kern w:val="16"/>
          <w:sz w:val="21"/>
          <w:szCs w:val="21"/>
          <w:highlight w:val="none"/>
          <w:lang w:eastAsia="zh-CN"/>
        </w:rPr>
        <w:t>乙方应严格按相关工程资料管理的规定，及时、真实、准确地提供完整而规范的技术资料。乙方对资料的完整性、真实性负责。在资料不齐全时，甲方可以扣留部分工程款作为资料抵押金。如果政府、社会在建筑工程评比过程中对技术资料有特殊要求，乙方有义务竭力满足，不得以任何借口拒绝、推诿。</w:t>
      </w:r>
    </w:p>
    <w:p w14:paraId="674177B5">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853" w:name="_Toc9236"/>
      <w:bookmarkStart w:id="854" w:name="_Toc21526"/>
      <w:bookmarkStart w:id="855" w:name="_Toc101963489"/>
      <w:bookmarkStart w:id="856" w:name="_Toc20395"/>
      <w:bookmarkStart w:id="857" w:name="_Toc175764426"/>
      <w:bookmarkStart w:id="858" w:name="_Toc22854"/>
      <w:bookmarkStart w:id="859" w:name="_Toc834"/>
      <w:bookmarkStart w:id="860" w:name="_Toc6878"/>
      <w:bookmarkStart w:id="861" w:name="_Toc3419"/>
      <w:bookmarkStart w:id="862" w:name="_Toc25258"/>
      <w:bookmarkStart w:id="863" w:name="_Toc15900"/>
      <w:bookmarkStart w:id="864" w:name="_Toc28556"/>
      <w:bookmarkStart w:id="865" w:name="_Toc25440"/>
      <w:bookmarkStart w:id="866" w:name="_Toc14890"/>
      <w:bookmarkStart w:id="867" w:name="_Toc101357422"/>
      <w:bookmarkStart w:id="868" w:name="_Toc22723"/>
      <w:bookmarkStart w:id="869" w:name="_Toc29241"/>
      <w:r>
        <w:rPr>
          <w:rFonts w:hint="eastAsia" w:ascii="宋体" w:hAnsi="宋体" w:eastAsia="宋体" w:cs="宋体"/>
          <w:b/>
          <w:color w:val="auto"/>
          <w:sz w:val="21"/>
          <w:szCs w:val="21"/>
          <w:highlight w:val="none"/>
        </w:rPr>
        <w:t>材料设备管理</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14:paraId="528179E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供应的材料和设备，乙方应于合同签订后10日内，根据施工图纸、施工进度计划、施工方案编制工程整体材料和设备需用计划。在施工过程中编制材料和设备进场计划，乙方当月根据甲方下达的次月生产计划上报次月甲供材料设备的需求计划，需求计划必须按照不同的工作部位、工作内容、施工工序分别列明详细的计划清单，清单中应列明材料设备规格、品种、数量、进场时间、地点等。在材料和设备进场前乙方需提前15日提供进场计划，且上述材料和设备的计划进场时间须充分考虑材料和设备的加工和准备周期。上述所有计划均须上报甲方审核批准后实施。对于任何乙方所提计划之错误、遗漏、延迟等原因造成的浪费、工期延误及甲方的相应损失，均由乙方承担。甲方对于上述计划的审核批准并不免除乙方的任何责任。</w:t>
      </w:r>
    </w:p>
    <w:p w14:paraId="062E8F1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上报需求计划前须按现场实际耗用量（不超过规定的损耗率）认真盘点核算，确保各种规格甲供材料的原材料、半成品库存率不超过一定比例（具体比例在专用条款中予以约定），否则甲方将处以每次2000元以上的罚款，因特殊原因引起的停窝工或甲方书面批准的特殊材料除外。</w:t>
      </w:r>
    </w:p>
    <w:p w14:paraId="2EE6723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b/>
          <w:color w:val="auto"/>
          <w:sz w:val="21"/>
          <w:szCs w:val="21"/>
          <w:highlight w:val="none"/>
          <w:lang w:eastAsia="zh-CN"/>
        </w:rPr>
        <w:t>所有由甲方供应的材料设备，由甲方供应至施工现场，乙方必须及时配合甲方进行共同验收盘点，按照双方确认的数量进行接收，负责卸货、倒运，并由乙方合同签约人或授权人办理领用手续，材料设备一经领用，由乙方负责保管，直至工程完工。</w:t>
      </w:r>
      <w:r>
        <w:rPr>
          <w:rFonts w:hint="eastAsia" w:ascii="宋体" w:hAnsi="宋体" w:eastAsia="宋体" w:cs="宋体"/>
          <w:b/>
          <w:bCs/>
          <w:color w:val="auto"/>
          <w:sz w:val="21"/>
          <w:szCs w:val="21"/>
          <w:highlight w:val="none"/>
          <w:lang w:eastAsia="zh-CN"/>
        </w:rPr>
        <w:t>乙方未参加验收的，视为同意甲方的验收结果，以甲方与供应商双方确认的数量为准。如材料设备的品种、规格、型号、质量、数量不符合要求，乙方应在验收时提出，否则，视为乙方认可甲方提供的材料设备符合要求，如果乙方再行提出其他要求，由此增加的费用和（或）延误的期限均由乙方承担。</w:t>
      </w:r>
      <w:r>
        <w:rPr>
          <w:rFonts w:hint="eastAsia" w:ascii="宋体" w:hAnsi="宋体" w:eastAsia="宋体" w:cs="宋体"/>
          <w:b/>
          <w:color w:val="auto"/>
          <w:sz w:val="21"/>
          <w:szCs w:val="21"/>
          <w:highlight w:val="none"/>
          <w:lang w:eastAsia="zh-CN"/>
        </w:rPr>
        <w:t>由于乙方现场保管不善，造成丢失或损坏，由乙方负责赔偿，由此造成的工期延误不予顺延。所有甲方供应的材料设备，如因甲方原因导致材料退场，乙方应负责提供退场装车、到场卸车、退料等人工配合工作；如因乙方原因导致材料设备退场，材料设备退场所发生的所有费用由乙方承担</w:t>
      </w:r>
      <w:r>
        <w:rPr>
          <w:rFonts w:hint="eastAsia" w:ascii="宋体" w:hAnsi="宋体" w:eastAsia="宋体" w:cs="宋体"/>
          <w:color w:val="auto"/>
          <w:sz w:val="21"/>
          <w:szCs w:val="21"/>
          <w:highlight w:val="none"/>
          <w:lang w:eastAsia="zh-CN"/>
        </w:rPr>
        <w:t>。</w:t>
      </w:r>
    </w:p>
    <w:p w14:paraId="0B8DF5FE">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对于甲方提供的材料，乙方因自行加工、委托加工等原因必须移出本合同劳动作业范围时，乙方需报甲方审批，甲方批准且双方共同盘点后实施。</w:t>
      </w:r>
    </w:p>
    <w:p w14:paraId="4857D0F3">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供应的材料设备属甲方所有，只供本合同分包范围内工程专用，乙方不能挪作它用或擅自处理（包括边角余料）。施工节余材料，废旧材料、边角余料由乙方负责回收至指定地点，归甲方所有,若乙方不按照甲方要求送回至甲方指定地点，甲方将以采购价（到场价）上浮</w:t>
      </w:r>
      <w:r>
        <w:rPr>
          <w:rFonts w:hint="eastAsia" w:ascii="宋体" w:hAnsi="宋体" w:eastAsia="宋体" w:cs="宋体"/>
          <w:color w:val="auto"/>
          <w:sz w:val="21"/>
          <w:szCs w:val="21"/>
          <w:highlight w:val="none"/>
          <w:u w:val="single"/>
          <w:lang w:eastAsia="zh-CN"/>
        </w:rPr>
        <w:t>10</w:t>
      </w:r>
      <w:r>
        <w:rPr>
          <w:rFonts w:hint="eastAsia" w:ascii="宋体" w:hAnsi="宋体" w:eastAsia="宋体" w:cs="宋体"/>
          <w:color w:val="auto"/>
          <w:sz w:val="21"/>
          <w:szCs w:val="21"/>
          <w:highlight w:val="none"/>
          <w:lang w:eastAsia="zh-CN"/>
        </w:rPr>
        <w:t>%的价格调拨给乙方，或由乙方承担甲方自行收回所使用的机械、人工等费用。</w:t>
      </w:r>
    </w:p>
    <w:p w14:paraId="1F897CE3">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除《甲供材料、机械设备明细表》中已列明由甲方提供的材料和大中型机械外，其余辅材和小型机具均由乙方自行提供。包括但不限于辅材、低值易耗品、小型机械等，不包括主要建筑材料、周转材料和大中型施工机械设备等，费用包含在合同综合单价中。</w:t>
      </w:r>
    </w:p>
    <w:p w14:paraId="0253453C">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乙方应妥善保管和使用甲方提供给乙方使用的机械、设备、材料以及周转材料，并接受甲方对使用情况的监督检查。因乙方保管不善、未合理使用、违章操作等造成机械、设备、材料以及周转材料丢失或损毁的，乙方应予以赔偿，并承担因此造成其他损失。</w:t>
      </w:r>
    </w:p>
    <w:p w14:paraId="53524DB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乙方采购提供的材料、设备在使用前应按甲方要求进行检验或试验，不合格者不得使用，检验或试验费用由乙方承担。</w:t>
      </w:r>
    </w:p>
    <w:p w14:paraId="6DFA9800">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由乙方提供的机械设备，在进入施工场地后，应满足现场施工组织需求和安全文明管理，并按甲方要求进行管理，若机械设备无法满足现场施工组织要求时应无条件更换机械设备型号或增加机械设备数量，以满足施工要求。乙方提供机械设备的设备租赁费、折旧费、动力费用（燃油费、电费等）、维修费（包含配件）、进退场费、操作人员工资、食宿费等均由乙方自行承担，费用已包含在综合单价中，不再另行计取。</w:t>
      </w:r>
    </w:p>
    <w:p w14:paraId="5A116F0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甲方保留将任何材料作为指定供应的权利，及将任何分项工程另行分包的权利。</w:t>
      </w:r>
    </w:p>
    <w:p w14:paraId="14B195A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由甲方提供设备应在安装调试完毕，确认运行良好后交付乙方使用，在进出场时，乙方必须参与验收。乙方操作人员应严格遵守设备有关安全管理规定、操作规程要求，服从甲方相关人员的指挥安排，如违章操作、使用，造成事故，乙方应承担全部的安全责任及事故造成的经济损失，损坏或丢失甲供设备须按设备配件或设备的原值进行赔偿。甲方提供的大型机械，如遇特殊情况提前拆除或维修、不同作业区因工期问题造成某作业区一定时间内无法使用甲方提供的大型机械、施工现场存在少量覆盖盲区情况，甲方应在合理期限内提前通知乙方，由乙方自行解决物料搬运问题，甲方不补偿相应费用。</w:t>
      </w:r>
    </w:p>
    <w:p w14:paraId="5A80FF3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b/>
          <w:color w:val="auto"/>
          <w:sz w:val="21"/>
          <w:szCs w:val="21"/>
          <w:highlight w:val="none"/>
          <w:lang w:eastAsia="zh-CN"/>
        </w:rPr>
        <w:t>对于由甲方供应的材料（《甲供材料、机械设备明细表》），乙方负责在本合同中约定的消耗量之内控制使用。如合同未明确损耗率，则默认双方认可材料损耗率为零。</w:t>
      </w:r>
    </w:p>
    <w:p w14:paraId="6C464818">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对于由乙方负责提供的材料，不论何种原因造成超用、浪费、丢失的均由乙方自行承担。乙方不得以甲方的名义向甲方的材料、设备供方发出任何采购、订货指令和信息，且不得单方面签收其供货物品，否则其责任全部由乙方承担。</w:t>
      </w:r>
    </w:p>
    <w:p w14:paraId="354AC39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材料进场后的申报程序执行工程所在地地方标准，进场设备应符合工程所在地项目建设行政主管部门备案、安全规定，乙方租用设备要有主管部门要求的证件、手续。</w:t>
      </w:r>
    </w:p>
    <w:p w14:paraId="36A6629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材料存放管理：乙方自行负责材料保管，防止人为破坏、偷盗以及不利自然条件的侵蚀。材料在使用前完好无损，符合国家工程规范标准和合同其他要求。如果乙方未采取适当的保管保护措施，甲方将指派他人完成，所发生的费用由乙方承担。进场材料堆放地点、标识等管理，必须经过甲方批准，服从甲方的统筹安排。</w:t>
      </w:r>
    </w:p>
    <w:p w14:paraId="7FA8F273">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如本工程需要爆破，乙方应严格按照爆破器材的运输、保管、使用的安全规定及甲方制定的管理办法，由乙方指定持有爆破证的人员根据每次爆破用量到甲方指定的炸药库领取和使用，未使用完的爆破器材必须及时退回炸药库存放，不允许私自存放，否则发生的危险及后果由乙方承担。</w:t>
      </w:r>
    </w:p>
    <w:p w14:paraId="33B776F9">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接受甲方及相关部门对机械设备、工具、材料的管理及使用情况的监督和检查；接受甲方及相关部门对乙方操作人员的有效证件、持证上岗情况的监督和检查；并按甲方要求做好与现场其他单位协调配合工作。</w:t>
      </w:r>
    </w:p>
    <w:p w14:paraId="6B5DA003">
      <w:pPr>
        <w:numPr>
          <w:ilvl w:val="0"/>
          <w:numId w:val="6"/>
        </w:numPr>
        <w:kinsoku w:val="0"/>
        <w:spacing w:after="0" w:line="360" w:lineRule="auto"/>
        <w:jc w:val="both"/>
        <w:outlineLvl w:val="1"/>
        <w:rPr>
          <w:rFonts w:hint="eastAsia" w:ascii="宋体" w:hAnsi="宋体" w:eastAsia="宋体" w:cs="宋体"/>
          <w:b/>
          <w:color w:val="auto"/>
          <w:sz w:val="21"/>
          <w:szCs w:val="21"/>
          <w:highlight w:val="none"/>
          <w:lang w:eastAsia="zh-CN"/>
        </w:rPr>
      </w:pPr>
      <w:bookmarkStart w:id="870" w:name="_Toc175764427"/>
      <w:bookmarkStart w:id="871" w:name="_Toc10324"/>
      <w:bookmarkStart w:id="872" w:name="_Toc18280"/>
      <w:bookmarkStart w:id="873" w:name="_Toc22544"/>
      <w:bookmarkStart w:id="874" w:name="_Toc101357423"/>
      <w:bookmarkStart w:id="875" w:name="_Toc383"/>
      <w:bookmarkStart w:id="876" w:name="_Toc17371"/>
      <w:bookmarkStart w:id="877" w:name="_Toc15892"/>
      <w:bookmarkStart w:id="878" w:name="_Toc13649"/>
      <w:bookmarkStart w:id="879" w:name="_Toc31959"/>
      <w:bookmarkStart w:id="880" w:name="_Toc22411"/>
      <w:bookmarkStart w:id="881" w:name="_Toc16298"/>
      <w:bookmarkStart w:id="882" w:name="_Toc18064"/>
      <w:bookmarkStart w:id="883" w:name="_Toc749"/>
      <w:bookmarkStart w:id="884" w:name="_Toc5351"/>
      <w:bookmarkStart w:id="885" w:name="_Toc11354"/>
      <w:bookmarkStart w:id="886" w:name="_Toc101963490"/>
      <w:r>
        <w:rPr>
          <w:rFonts w:hint="eastAsia" w:ascii="宋体" w:hAnsi="宋体" w:eastAsia="宋体" w:cs="宋体"/>
          <w:b/>
          <w:color w:val="auto"/>
          <w:sz w:val="21"/>
          <w:szCs w:val="21"/>
          <w:highlight w:val="none"/>
          <w:lang w:eastAsia="zh-CN"/>
        </w:rPr>
        <w:t>安</w:t>
      </w:r>
      <w:r>
        <w:rPr>
          <w:rFonts w:hint="eastAsia" w:ascii="宋体" w:hAnsi="宋体" w:eastAsia="宋体" w:cs="宋体"/>
          <w:b/>
          <w:color w:val="auto"/>
          <w:sz w:val="21"/>
          <w:szCs w:val="21"/>
          <w:highlight w:val="none"/>
        </w:rPr>
        <w:t>全</w:t>
      </w:r>
      <w:r>
        <w:rPr>
          <w:rFonts w:hint="eastAsia" w:ascii="宋体" w:hAnsi="宋体" w:eastAsia="宋体" w:cs="宋体"/>
          <w:b/>
          <w:color w:val="auto"/>
          <w:sz w:val="21"/>
          <w:szCs w:val="21"/>
          <w:highlight w:val="none"/>
          <w:lang w:eastAsia="zh-CN"/>
        </w:rPr>
        <w:t>文明施工</w:t>
      </w:r>
      <w:r>
        <w:rPr>
          <w:rFonts w:hint="eastAsia" w:ascii="宋体" w:hAnsi="宋体" w:eastAsia="宋体" w:cs="宋体"/>
          <w:b/>
          <w:color w:val="auto"/>
          <w:sz w:val="21"/>
          <w:szCs w:val="21"/>
          <w:highlight w:val="none"/>
        </w:rPr>
        <w:t>管理</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14:paraId="14F62F73">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本合同双方须共同遵守国家和地方有关安全管理、环境保护的法律、法规。乙方应严格按照《安全管理协议书》中安全和绿色施工标准组织施工。</w:t>
      </w:r>
    </w:p>
    <w:p w14:paraId="1D48060D">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本合同签约合同总价中已包含安全文明施工措施费，且明确单列，乙方应保证做到专款专用。</w:t>
      </w:r>
      <w:r>
        <w:rPr>
          <w:rFonts w:hint="eastAsia" w:ascii="宋体" w:hAnsi="宋体" w:eastAsia="宋体" w:cs="宋体"/>
          <w:b/>
          <w:bCs/>
          <w:color w:val="auto"/>
          <w:sz w:val="21"/>
          <w:szCs w:val="21"/>
          <w:highlight w:val="none"/>
          <w:lang w:eastAsia="zh-CN"/>
        </w:rPr>
        <w:t>计提标准及使用方法见《中建路桥集团有限公司安全生产管理办法》。</w:t>
      </w:r>
    </w:p>
    <w:p w14:paraId="3BD09B62">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每月甲方对乙方的安全措施投入情况进行验收，验收合格后按照约定的计提比例予以支付，如现场安全投入不能满足甲方要求，则安全措施费不予支付。</w:t>
      </w:r>
    </w:p>
    <w:p w14:paraId="0647FD5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乙方必须缴纳安全风险抵押金5-10万元，具体金额按照专用合同条款约定执行，如施工过程中乙方更换安全人员，更换人员资历水平不得低于原投标人员，否则扣除安全风险抵押金。</w:t>
      </w:r>
    </w:p>
    <w:p w14:paraId="0E283EC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乙方应承担由于自身安全措施不力造成事故的责任和由此发生的费用，并承担政府主管部门因扬尘污染而给予责令停工等行政处罚所造成的误工、工期拖延造成的损失。</w:t>
      </w:r>
    </w:p>
    <w:p w14:paraId="04AB5FA0">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按照甲方现场管理的要求对其施工现场进行管理，并严格遵守甲方安全生产管理体系和本项目各阶段安全生产、文明施工要求，编制专项安全施工方案并在合同签订后三日内取得甲方审批同意，建立自己的安全生产保证体系，并配备足额安全生产管理人员。</w:t>
      </w:r>
    </w:p>
    <w:p w14:paraId="085B1847">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专业承包单位应当根据所承担的分部分项工程的工程量和施工危险程度按要求配置专职安全生产管理人员。</w:t>
      </w:r>
    </w:p>
    <w:p w14:paraId="235C3DE4">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劳务分包单位施工人员在50人以下的，应当配备1名专职安全生产管理人员；50人-200人的，应当配备2名专职安全生产管理人员；200人及以上的，应当配备3名及以上专职安全生产管理人员，并根据所承担的分部分项工程施工危险实际情况增加，不得少于工程施工人员总人数的5‰。</w:t>
      </w:r>
    </w:p>
    <w:p w14:paraId="1ECE228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按工程所在地政府及相关行政主管部门有关规定做好安全教育、安全防护（包括为所属人员配备个人防护用品）等工作，保证施工安全和人身安全。如在合同期内，乙方承包范围内发生的所有人员伤亡事故，其责任及费用均由乙方承担，并应积极采取有效措施防止损失扩大，同时按规定立即书面报告甲方。</w:t>
      </w:r>
    </w:p>
    <w:p w14:paraId="559A8EF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按文明施工有关规定及甲方要求进行现场布置管理，做到工完场清，料具工具堆放整齐。安全帽应按照甲方要求统一颜色、标识，便于规范管理。</w:t>
      </w:r>
    </w:p>
    <w:p w14:paraId="25741839">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乙方在施工过程中必须遵守工程所在地有关消防、安全文明施工、环境管理等规定，办理相关手续，承担由此发生的费用。凡因违反政府有关规定所导致的责任，均由乙方承担。</w:t>
      </w:r>
    </w:p>
    <w:p w14:paraId="1DBE65C9">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必须对其施工管理人员及作业人员施行严格的管理，在工程开工前将进场施工人员名单报送甲方，且所有施工人员已在项目建设行政主管部门办理备案登记，特殊工种必须持证上岗。乙方必须配备专职安全员，安全员必须持证上岗。</w:t>
      </w:r>
    </w:p>
    <w:p w14:paraId="3389F792">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甲方认为乙方工作中安全措施不力或安全设施不足，可要求乙方限期改正，若仍不能满足安全要求，甲方可自行安排相关工作，所发生的费用由乙方承担。</w:t>
      </w:r>
    </w:p>
    <w:p w14:paraId="791350A9">
      <w:pPr>
        <w:numPr>
          <w:ilvl w:val="1"/>
          <w:numId w:val="6"/>
        </w:numPr>
        <w:kinsoku w:val="0"/>
        <w:spacing w:after="0" w:line="360" w:lineRule="auto"/>
        <w:jc w:val="both"/>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乙方必须为施工现场自有人员配备必需的劳动防护用品。乙方配备的劳动防护用品使用性能或质量必须符合国家主管部门及行业规范、标准要求，另外劳动防护用品外观、样式、规格、型号须符合甲方安全管理要求。</w:t>
      </w:r>
    </w:p>
    <w:p w14:paraId="46D8C93A">
      <w:pPr>
        <w:numPr>
          <w:ilvl w:val="0"/>
          <w:numId w:val="6"/>
        </w:numPr>
        <w:kinsoku w:val="0"/>
        <w:spacing w:after="0" w:line="360" w:lineRule="auto"/>
        <w:jc w:val="both"/>
        <w:outlineLvl w:val="1"/>
        <w:rPr>
          <w:rFonts w:hint="eastAsia" w:ascii="宋体" w:hAnsi="宋体" w:eastAsia="宋体" w:cs="宋体"/>
          <w:b/>
          <w:color w:val="auto"/>
          <w:sz w:val="21"/>
          <w:szCs w:val="21"/>
          <w:highlight w:val="none"/>
          <w:lang w:eastAsia="zh-CN"/>
        </w:rPr>
      </w:pPr>
      <w:bookmarkStart w:id="887" w:name="_Toc101963491"/>
      <w:bookmarkStart w:id="888" w:name="_Toc175764428"/>
      <w:bookmarkStart w:id="889" w:name="_Toc101357424"/>
      <w:bookmarkStart w:id="890" w:name="_Toc2374"/>
      <w:bookmarkStart w:id="891" w:name="_Toc16982"/>
      <w:bookmarkStart w:id="892" w:name="_Toc6154"/>
      <w:bookmarkStart w:id="893" w:name="_Toc31132"/>
      <w:bookmarkStart w:id="894" w:name="_Toc32373"/>
      <w:bookmarkStart w:id="895" w:name="_Toc12899"/>
      <w:bookmarkStart w:id="896" w:name="_Toc6633"/>
      <w:bookmarkStart w:id="897" w:name="_Toc22368"/>
      <w:bookmarkStart w:id="898" w:name="_Toc8805"/>
      <w:bookmarkStart w:id="899" w:name="_Toc3343"/>
      <w:bookmarkStart w:id="900" w:name="_Toc27395"/>
      <w:bookmarkStart w:id="901" w:name="_Toc28305"/>
      <w:bookmarkStart w:id="902" w:name="_Toc27577"/>
      <w:bookmarkStart w:id="903" w:name="_Toc9837"/>
      <w:r>
        <w:rPr>
          <w:rFonts w:hint="eastAsia" w:ascii="宋体" w:hAnsi="宋体" w:eastAsia="宋体" w:cs="宋体"/>
          <w:b/>
          <w:color w:val="auto"/>
          <w:sz w:val="21"/>
          <w:szCs w:val="21"/>
          <w:highlight w:val="none"/>
          <w:lang w:eastAsia="zh-CN"/>
        </w:rPr>
        <w:t>绿色施工、环境保护与职业健康管理</w:t>
      </w:r>
      <w:bookmarkEnd w:id="887"/>
      <w:bookmarkEnd w:id="888"/>
      <w:bookmarkEnd w:id="889"/>
    </w:p>
    <w:p w14:paraId="576BB97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bookmarkStart w:id="904" w:name="_Toc101357426"/>
      <w:r>
        <w:rPr>
          <w:rFonts w:hint="eastAsia" w:ascii="宋体" w:hAnsi="宋体" w:eastAsia="宋体" w:cs="宋体"/>
          <w:color w:val="auto"/>
          <w:sz w:val="21"/>
          <w:szCs w:val="21"/>
          <w:highlight w:val="none"/>
          <w:lang w:eastAsia="zh-CN"/>
        </w:rPr>
        <w:t>本合同双方应共同遵守国家和地方有关的环境保护、“双碳”目标的法律、法规，努力营造绿色低碳施工环境及建筑。</w:t>
      </w:r>
      <w:bookmarkEnd w:id="904"/>
    </w:p>
    <w:p w14:paraId="07019E68">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bookmarkStart w:id="905" w:name="_Toc101357427"/>
      <w:r>
        <w:rPr>
          <w:rFonts w:hint="eastAsia" w:ascii="宋体" w:hAnsi="宋体" w:eastAsia="宋体" w:cs="宋体"/>
          <w:color w:val="auto"/>
          <w:sz w:val="21"/>
          <w:szCs w:val="21"/>
          <w:highlight w:val="none"/>
          <w:lang w:eastAsia="zh-CN"/>
        </w:rPr>
        <w:t>乙方在整个施工作业过程中满足甲方制定并经国家权威部门认证的ISO9001、ISO14001和OHSA18001的要求，保证施工生产符合相关标准的要求。</w:t>
      </w:r>
      <w:bookmarkEnd w:id="905"/>
      <w:r>
        <w:rPr>
          <w:rFonts w:hint="eastAsia" w:ascii="宋体" w:hAnsi="宋体" w:eastAsia="宋体" w:cs="宋体"/>
          <w:color w:val="auto"/>
          <w:sz w:val="21"/>
          <w:szCs w:val="21"/>
          <w:highlight w:val="none"/>
          <w:lang w:eastAsia="zh-CN"/>
        </w:rPr>
        <w:t>乙方应定期对自有管理人员及劳务工人进行绿色施工法规、技术知识培训等，并接受相关单位的监督管理。</w:t>
      </w:r>
    </w:p>
    <w:p w14:paraId="522876BA">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建立绿色施工组织架构和绿色施工管理体系，并保证有效运行，真正做到“四节一环保”即：节水、节能、节地、节材和环境保护：乙方施工中不得对未完成审批手续的森林、农田、自然保护区、自然保护动物进行破坏。</w:t>
      </w:r>
    </w:p>
    <w:p w14:paraId="5EA64990">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（1）乙方应当确保其所提供的材料、工程设备、施工设备和其他材料都是绿色环保产品，列入国家强制认证产品名录的，还应当是通过国家强制认证的产品；</w:t>
      </w:r>
    </w:p>
    <w:p w14:paraId="0FAC006D">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（2）建筑余料应合理使用：施工现场建筑余料要合理利用，如混凝土用于制作路牙石，预制过梁等，钢筋制作马镫，定位筋等；</w:t>
      </w:r>
    </w:p>
    <w:p w14:paraId="11C283E7">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（3）板材、块材等下脚料和撒落混凝土及砂浆应科学利用：下脚料等分规格后合理进行利用；</w:t>
      </w:r>
    </w:p>
    <w:p w14:paraId="77D3CECF">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（4）混凝土养护和砂浆搅拌用水应合理，应有节水措施：混凝土养护宜采用覆膜养护或喷雾养护等节水措施；</w:t>
      </w:r>
    </w:p>
    <w:p w14:paraId="5EDF57CD">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（5）管网和用水器具不应有渗漏：对管网及用水器具要定期进行检查维修；</w:t>
      </w:r>
    </w:p>
    <w:p w14:paraId="7170BCF5">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（6）对施工现场的生产、生活、办公和主要耗能施工设备应设有节能的控制措施：主要耗能设备要有自动控制等相关控制措施，避免造成能源浪费；</w:t>
      </w:r>
    </w:p>
    <w:p w14:paraId="145DB58B">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（7）国家、行业、地方政府明令淘汰的施工设备、机具和产品不应使用：施工现场严禁使用国家命令淘汰的用能设备及生产工艺；</w:t>
      </w:r>
    </w:p>
    <w:p w14:paraId="3BCFD89E">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（8）应采用节能型设施：现场临电设备、小型机具、照明灯具等应采用带有国家能源效率标示的产品；</w:t>
      </w:r>
    </w:p>
    <w:p w14:paraId="369C7A9E">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（9）临时用电应设置合理，管理制度应齐全并应落实到位：施工现场临时用电要规范，制定相关管理制度，有专人负责；</w:t>
      </w:r>
    </w:p>
    <w:p w14:paraId="5224D987">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（10）应采用能源利用效率高的施工机械设备：现场施工应选用功率与负载相匹配的施工机械设备；</w:t>
      </w:r>
    </w:p>
    <w:p w14:paraId="480DE05C">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（11）施工机具资源应共享：合理进行施工平面布置，塔吊、加工厂等要充分考虑多区域共同利用；</w:t>
      </w:r>
    </w:p>
    <w:p w14:paraId="1A0BAE5E">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（12）应定期监控重点耗能设备的能源利用情况，并有记录：塔吊、施工电梯等重点耗能设备要单独安装电表；</w:t>
      </w:r>
    </w:p>
    <w:p w14:paraId="68D8DCB2">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（13）建筑材料的选用应缩短运输距离，减少能源消耗：500km以内的建筑材料用量占施工使用的建筑材料总重量的70%以上；</w:t>
      </w:r>
    </w:p>
    <w:p w14:paraId="4E6389B1">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（14）应采用能耗少的施工工艺：改进施工工艺，节能降耗。如采用逆作法等，降低扬尘及噪音、减少材料消耗、避免使用大型设备能源；</w:t>
      </w:r>
    </w:p>
    <w:p w14:paraId="7D5A9801">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（15）应合理安排施工工序和施工进度：在既定施工目标条件下，做到均衡施工、流水施工。特别要避免突击赶工期造成的无序施工、人力物力财力浪费等现象；</w:t>
      </w:r>
    </w:p>
    <w:p w14:paraId="0D9D566E">
      <w:p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（16）乙方应在其施工环保措施计划中明确防止误用的保证措施，违背此项约定的责任和后果全部由乙方承担。</w:t>
      </w:r>
    </w:p>
    <w:p w14:paraId="1523222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bookmarkStart w:id="906" w:name="_Toc101357428"/>
      <w:r>
        <w:rPr>
          <w:rFonts w:hint="eastAsia" w:ascii="宋体" w:hAnsi="宋体" w:eastAsia="宋体" w:cs="宋体"/>
          <w:color w:val="auto"/>
          <w:sz w:val="21"/>
          <w:szCs w:val="21"/>
          <w:highlight w:val="none"/>
          <w:lang w:eastAsia="zh-CN"/>
        </w:rPr>
        <w:t>乙方在运输材料（包括废料）、机具过程中应执行工程所在地关于禁止车辆运输泄露、遗撒的规定。</w:t>
      </w:r>
    </w:p>
    <w:p w14:paraId="4F7F811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bookmarkStart w:id="907" w:name="_Toc101357430"/>
      <w:r>
        <w:rPr>
          <w:rFonts w:hint="eastAsia" w:ascii="宋体" w:hAnsi="宋体" w:eastAsia="宋体" w:cs="宋体"/>
          <w:color w:val="auto"/>
          <w:sz w:val="21"/>
          <w:szCs w:val="21"/>
          <w:highlight w:val="none"/>
          <w:lang w:eastAsia="zh-CN"/>
        </w:rPr>
        <w:t>乙方必须采取有效措施，防止运输机械噪声超标或机械漏油污染环境。</w:t>
      </w:r>
      <w:bookmarkEnd w:id="907"/>
      <w:r>
        <w:rPr>
          <w:rFonts w:hint="eastAsia" w:ascii="宋体" w:hAnsi="宋体" w:eastAsia="宋体" w:cs="宋体"/>
          <w:color w:val="auto"/>
          <w:sz w:val="21"/>
          <w:szCs w:val="21"/>
          <w:highlight w:val="none"/>
          <w:lang w:eastAsia="zh-CN"/>
        </w:rPr>
        <w:t>运输车辆要定期进行噪音检测。对于不符合要求的机械要及时采取必要的措施。车辆进入现场禁止鸣笛。</w:t>
      </w:r>
    </w:p>
    <w:p w14:paraId="786223FD">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乙方应承担因其原因引起的环境污染侵权损害赔偿责任，因上述环境污染引起纠纷而导致分包作业暂停的，由此增加的费用和（或）延误的工期由乙方承担。</w:t>
      </w:r>
    </w:p>
    <w:p w14:paraId="3401931B">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乙方进驻现场员工需接受10.2条约定的国家认证体系的教育培训并建立工人职业健康档案。</w:t>
      </w:r>
      <w:bookmarkEnd w:id="906"/>
      <w:r>
        <w:rPr>
          <w:rFonts w:hint="eastAsia" w:ascii="宋体" w:hAnsi="宋体" w:eastAsia="宋体" w:cs="宋体"/>
          <w:color w:val="auto"/>
          <w:sz w:val="21"/>
          <w:szCs w:val="21"/>
          <w:highlight w:val="none"/>
          <w:lang w:eastAsia="zh-CN"/>
        </w:rPr>
        <w:t>乙方应对聘用的所有人员核实身份及健康信息，不私招滥雇，不使用无健康信息的人员，不得在项目之间无组织无序调配使用务工人员。建立“一人一档”制度，准确掌握人员健康和流动情况。乙方应按法律规定安排分包作业人员的劳动和休息时间，保证其雇佣人员享有休息和休假的权利，做好人员防护、宣传教育工作，建立健全应急防控机制。</w:t>
      </w:r>
      <w:bookmarkStart w:id="908" w:name="_Toc101357429"/>
    </w:p>
    <w:p w14:paraId="32A16E1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w:t>
      </w:r>
    </w:p>
    <w:bookmarkEnd w:id="908"/>
    <w:p w14:paraId="440352B0">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909" w:name="_Toc101357431"/>
      <w:bookmarkStart w:id="910" w:name="_Toc101963492"/>
      <w:bookmarkStart w:id="911" w:name="_Toc175764429"/>
      <w:r>
        <w:rPr>
          <w:rFonts w:hint="eastAsia" w:ascii="宋体" w:hAnsi="宋体" w:eastAsia="宋体" w:cs="宋体"/>
          <w:b/>
          <w:color w:val="auto"/>
          <w:sz w:val="21"/>
          <w:szCs w:val="21"/>
          <w:highlight w:val="none"/>
        </w:rPr>
        <w:t>工期</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9"/>
      <w:bookmarkEnd w:id="910"/>
      <w:bookmarkEnd w:id="911"/>
    </w:p>
    <w:p w14:paraId="7C5D08F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 xml:space="preserve">  合同工期已经考虑下列因素，乙方承诺不因此类原因提出任何有关的工期和费用索赔：</w:t>
      </w:r>
    </w:p>
    <w:p w14:paraId="39CF3CA7">
      <w:pPr>
        <w:pStyle w:val="87"/>
        <w:numPr>
          <w:ilvl w:val="0"/>
          <w:numId w:val="8"/>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国家及地方政府规定的节假日或公休日；</w:t>
      </w:r>
    </w:p>
    <w:p w14:paraId="10240C54">
      <w:pPr>
        <w:pStyle w:val="87"/>
        <w:numPr>
          <w:ilvl w:val="0"/>
          <w:numId w:val="8"/>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高考、中考期间政府对施工的限制；</w:t>
      </w:r>
    </w:p>
    <w:p w14:paraId="6B8A1BEA">
      <w:pPr>
        <w:pStyle w:val="87"/>
        <w:numPr>
          <w:ilvl w:val="0"/>
          <w:numId w:val="8"/>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两会及其他政府会议；</w:t>
      </w:r>
    </w:p>
    <w:p w14:paraId="69CD530B">
      <w:pPr>
        <w:pStyle w:val="87"/>
        <w:numPr>
          <w:ilvl w:val="0"/>
          <w:numId w:val="8"/>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与其他施工工序间不可避免的交叉作业影响，配合施工的等待时间等对工期产生的影响；</w:t>
      </w:r>
    </w:p>
    <w:p w14:paraId="39C7AB16">
      <w:pPr>
        <w:pStyle w:val="87"/>
        <w:numPr>
          <w:ilvl w:val="0"/>
          <w:numId w:val="8"/>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不利的气候条件（不可抗力除外）；</w:t>
      </w:r>
    </w:p>
    <w:p w14:paraId="06925F90">
      <w:pPr>
        <w:pStyle w:val="87"/>
        <w:numPr>
          <w:ilvl w:val="0"/>
          <w:numId w:val="8"/>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施工噪音及夜间施工时间段造成的影响、空气污染预警、环保政策要求、扰民与民扰、城管管制、农忙；</w:t>
      </w:r>
    </w:p>
    <w:p w14:paraId="5D913F33">
      <w:pPr>
        <w:pStyle w:val="87"/>
        <w:numPr>
          <w:ilvl w:val="0"/>
          <w:numId w:val="8"/>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甲方及甲方上级单位、建设单位或政府职能部门的各类检查、奖项评比、各种层级的观摩；</w:t>
      </w:r>
    </w:p>
    <w:p w14:paraId="69B807CC">
      <w:pPr>
        <w:pStyle w:val="87"/>
        <w:numPr>
          <w:ilvl w:val="0"/>
          <w:numId w:val="8"/>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已充分研判和考虑地质风险；</w:t>
      </w:r>
    </w:p>
    <w:p w14:paraId="07CF1287">
      <w:pPr>
        <w:pStyle w:val="87"/>
        <w:numPr>
          <w:ilvl w:val="0"/>
          <w:numId w:val="8"/>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其它不利的条件（不可抗力除外）。</w:t>
      </w:r>
    </w:p>
    <w:p w14:paraId="73444AD8">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经甲方审批的《工程进度计划》作为考核分包工期的依据，乙方须无条件完全正确地执行。</w:t>
      </w:r>
    </w:p>
    <w:p w14:paraId="1644A44D">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本合同工期为乙方已充分考虑了合同文件的有关内容，并根据乙方自身条件完全能满足并达到甲方要求的工期，甲方的工期包括但不限于施工准备、材料/设备加工定货、工程施工、工程验收、完工交付等全部工作时间，除本合同规定外，不作调整。</w:t>
      </w:r>
    </w:p>
    <w:p w14:paraId="58D4DE03">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发生下列情况之一时,经甲方确认,工期可以顺延:</w:t>
      </w:r>
    </w:p>
    <w:p w14:paraId="7D4A1A58">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因不可抗力或甲方原因导致乙方不能正常施工，并按照签证签署经甲方项目经理、项目技术负责人、项目生产负责人、项目商务经理书面共同确认。</w:t>
      </w:r>
    </w:p>
    <w:p w14:paraId="112A2DFA">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建设单位书面认可的工期延误。</w:t>
      </w:r>
    </w:p>
    <w:p w14:paraId="06B77399">
      <w:pPr>
        <w:tabs>
          <w:tab w:val="left" w:pos="0"/>
        </w:tabs>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乙方须在以上情况发生后7天内，提出工期顺延要求的报告，并附上详细的证据资料，甲方在接到报告后</w:t>
      </w:r>
      <w:r>
        <w:rPr>
          <w:rFonts w:hint="eastAsia" w:ascii="宋体" w:hAnsi="宋体" w:eastAsia="宋体" w:cs="宋体"/>
          <w:color w:val="auto"/>
          <w:sz w:val="21"/>
          <w:szCs w:val="21"/>
          <w:highlight w:val="none"/>
          <w:u w:val="single"/>
          <w:lang w:eastAsia="zh-CN"/>
        </w:rPr>
        <w:t>7</w:t>
      </w:r>
      <w:r>
        <w:rPr>
          <w:rFonts w:hint="eastAsia" w:ascii="宋体" w:hAnsi="宋体" w:eastAsia="宋体" w:cs="宋体"/>
          <w:color w:val="auto"/>
          <w:sz w:val="21"/>
          <w:szCs w:val="21"/>
          <w:highlight w:val="none"/>
          <w:lang w:eastAsia="zh-CN"/>
        </w:rPr>
        <w:t>天内予以签认、提出拒签理由或要求乙方补充资料。若乙方未在</w:t>
      </w:r>
      <w:r>
        <w:rPr>
          <w:rFonts w:hint="eastAsia" w:ascii="宋体" w:hAnsi="宋体" w:eastAsia="宋体" w:cs="宋体"/>
          <w:color w:val="auto"/>
          <w:sz w:val="21"/>
          <w:szCs w:val="21"/>
          <w:highlight w:val="none"/>
          <w:u w:val="single"/>
          <w:lang w:eastAsia="zh-CN"/>
        </w:rPr>
        <w:t>5</w:t>
      </w:r>
      <w:r>
        <w:rPr>
          <w:rFonts w:hint="eastAsia" w:ascii="宋体" w:hAnsi="宋体" w:eastAsia="宋体" w:cs="宋体"/>
          <w:color w:val="auto"/>
          <w:sz w:val="21"/>
          <w:szCs w:val="21"/>
          <w:highlight w:val="none"/>
          <w:lang w:eastAsia="zh-CN"/>
        </w:rPr>
        <w:t>日内补充要求的资料，则视为乙方放弃索赔工期的权利。经甲方审核确认后，按甲方批准时间顺延阶段工期或总工期，但乙方不得因此提出任何索赔或费用的调整，如乙方逾期未向甲方提出报告，工期不予顺延。</w:t>
      </w:r>
    </w:p>
    <w:p w14:paraId="019121EA">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乙方充分理解甲方在征拆或图纸不到位的情况下有可能出现所分包项目不能连续施工的情况，乙方承诺将按甲方要求顺延工期并不对此做任何费用增加及补偿的要求。</w:t>
      </w:r>
    </w:p>
    <w:p w14:paraId="024C346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甲方根据合同约定工期及施工组织设计编制节点工期，乙方必须严格按照甲方制定的节点工期要求组织施工。</w:t>
      </w:r>
    </w:p>
    <w:p w14:paraId="155C0FF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由于政策变化、扬尘治理、不可抗力以及建设单位或甲乙双方原因等导致工程停建或缓建，使合同不能连续履行，乙方应妥善做好已完工程和已进场材料、设备的保护和移交工作，按甲方要求将自带机械和人员撤出施工现场；如需继续施工到安全部位的，乙方应按甲方指令将工程施工到安全部位。甲方应为乙方撤出现场提供必要的条件，及时做好已完工程的结算，并按合同约定支付已完工程款。</w:t>
      </w:r>
    </w:p>
    <w:p w14:paraId="33F1EEAE">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当工程具备复工条件时，甲方向乙方发出复工通知后，乙方应按照复工通知的要求复工，乙方应当无条件复工，超过15天乙方仍未复工的，甲方可解除合同并要求乙方承担违约责任。</w:t>
      </w:r>
    </w:p>
    <w:p w14:paraId="5802181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如在乙方没有全面履行完此分包合同义务之前，甲方与建设单位合同解除，甲方应当及时通知乙方，乙方接到通知后应尽快与甲方协商，解除或调整分包合同的内容，及时做好已完工程的结算。</w:t>
      </w:r>
      <w:r>
        <w:rPr>
          <w:rFonts w:hint="eastAsia" w:ascii="宋体" w:hAnsi="宋体" w:eastAsia="宋体" w:cs="宋体"/>
          <w:b/>
          <w:bCs/>
          <w:color w:val="auto"/>
          <w:sz w:val="21"/>
          <w:szCs w:val="21"/>
          <w:highlight w:val="none"/>
          <w:lang w:eastAsia="zh-CN"/>
        </w:rPr>
        <w:t>无法施工的剩余分包内容工程，乙方放弃主张可得利益等权利。</w:t>
      </w:r>
    </w:p>
    <w:p w14:paraId="3C069CF3">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912" w:name="_Toc101357432"/>
      <w:bookmarkStart w:id="913" w:name="_Toc101963493"/>
      <w:bookmarkStart w:id="914" w:name="_Toc175764430"/>
      <w:bookmarkStart w:id="915" w:name="_Toc17806"/>
      <w:bookmarkStart w:id="916" w:name="_Toc1769"/>
      <w:bookmarkStart w:id="917" w:name="_Toc32027"/>
      <w:bookmarkStart w:id="918" w:name="_Toc14657"/>
      <w:bookmarkStart w:id="919" w:name="_Toc6962"/>
      <w:bookmarkStart w:id="920" w:name="_Toc30786"/>
      <w:bookmarkStart w:id="921" w:name="_Toc19965"/>
      <w:bookmarkStart w:id="922" w:name="_Toc23833"/>
      <w:bookmarkStart w:id="923" w:name="_Toc30939"/>
      <w:bookmarkStart w:id="924" w:name="_Toc10639"/>
      <w:bookmarkStart w:id="925" w:name="_Toc4842"/>
      <w:bookmarkStart w:id="926" w:name="_Toc12433"/>
      <w:bookmarkStart w:id="927" w:name="_Toc26349"/>
      <w:bookmarkStart w:id="928" w:name="_Toc12536"/>
      <w:r>
        <w:rPr>
          <w:rFonts w:hint="eastAsia" w:ascii="宋体" w:hAnsi="宋体" w:eastAsia="宋体" w:cs="宋体"/>
          <w:b/>
          <w:color w:val="auto"/>
          <w:sz w:val="21"/>
          <w:szCs w:val="21"/>
          <w:highlight w:val="none"/>
          <w:lang w:eastAsia="zh-CN"/>
        </w:rPr>
        <w:t>试验和检验</w:t>
      </w:r>
      <w:bookmarkEnd w:id="912"/>
      <w:bookmarkEnd w:id="913"/>
      <w:bookmarkEnd w:id="914"/>
    </w:p>
    <w:p w14:paraId="17070759">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bookmarkStart w:id="929" w:name="_Toc101357433"/>
      <w:r>
        <w:rPr>
          <w:rFonts w:hint="eastAsia" w:ascii="宋体" w:hAnsi="宋体" w:eastAsia="宋体" w:cs="宋体"/>
          <w:color w:val="auto"/>
          <w:sz w:val="21"/>
          <w:szCs w:val="21"/>
          <w:highlight w:val="none"/>
          <w:lang w:eastAsia="zh-CN"/>
        </w:rPr>
        <w:t>乙方应按合同约定进行材料、工程设备和工程的试验和检验，并为甲方对上述材料、工程设备和工程的质量检查提供必要的试验资料和原始记录。按合同约定应由甲方与乙方共同进行试验和检验的，由乙方负责提供必要的试验条件、试验资料和原始记录。</w:t>
      </w:r>
      <w:bookmarkEnd w:id="929"/>
    </w:p>
    <w:p w14:paraId="2BC717AE">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bookmarkStart w:id="930" w:name="_Toc101357434"/>
      <w:r>
        <w:rPr>
          <w:rFonts w:hint="eastAsia" w:ascii="宋体" w:hAnsi="宋体" w:eastAsia="宋体" w:cs="宋体"/>
          <w:color w:val="auto"/>
          <w:sz w:val="21"/>
          <w:szCs w:val="21"/>
          <w:highlight w:val="none"/>
          <w:lang w:eastAsia="zh-CN"/>
        </w:rPr>
        <w:t>甲方未按合同约定派员参加试验和检验的，除甲方另有指示外，乙方可自行试验和检验，并应及时将试验和检验结果报送甲方，甲方应签字确认。</w:t>
      </w:r>
      <w:bookmarkEnd w:id="930"/>
    </w:p>
    <w:p w14:paraId="4C7DD9F3">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bookmarkStart w:id="931" w:name="_Toc101357435"/>
      <w:r>
        <w:rPr>
          <w:rFonts w:hint="eastAsia" w:ascii="宋体" w:hAnsi="宋体" w:eastAsia="宋体" w:cs="宋体"/>
          <w:color w:val="auto"/>
          <w:sz w:val="21"/>
          <w:szCs w:val="21"/>
          <w:highlight w:val="none"/>
          <w:lang w:eastAsia="zh-CN"/>
        </w:rPr>
        <w:t>甲方对乙方的试验和检验结果有疑问的，或为查清乙方试验和检验成果的可靠性而要求乙方重新试验和检验的。重新试验和检验的结果证明该项材料、工程设备或工程的质量不符合合同约定或质量技术要求的，由此增加的费用和（或）工期延误由乙方承担；重新试验和检验结果符合合同约定的，由甲方承担由此增加的费用和（或）工期延误。</w:t>
      </w:r>
      <w:bookmarkEnd w:id="931"/>
    </w:p>
    <w:p w14:paraId="13CE9A81">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932" w:name="_Toc175764431"/>
      <w:bookmarkStart w:id="933" w:name="_Toc101357436"/>
      <w:bookmarkStart w:id="934" w:name="_Toc101963494"/>
      <w:r>
        <w:rPr>
          <w:rFonts w:hint="eastAsia" w:ascii="宋体" w:hAnsi="宋体" w:eastAsia="宋体" w:cs="宋体"/>
          <w:b/>
          <w:color w:val="auto"/>
          <w:sz w:val="21"/>
          <w:szCs w:val="21"/>
          <w:highlight w:val="none"/>
        </w:rPr>
        <w:t>合同价款与计量方式</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32"/>
      <w:bookmarkEnd w:id="933"/>
      <w:bookmarkEnd w:id="934"/>
    </w:p>
    <w:p w14:paraId="4E0DDB0B">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eastAsia="zh-CN"/>
        </w:rPr>
        <w:t>合同价款：以合同协议书中约定为准，本合同生效后，除专用合同条款另有约定外不作调整。乙方在其承包范围内，为履行本合同约定的义务和职责，满足国家相关法律法规、设计要求和建设单位（</w:t>
      </w:r>
      <w:r>
        <w:rPr>
          <w:rFonts w:hint="eastAsia" w:ascii="宋体" w:hAnsi="宋体" w:eastAsia="宋体" w:cs="宋体"/>
          <w:color w:val="auto"/>
          <w:sz w:val="21"/>
          <w:szCs w:val="21"/>
          <w:highlight w:val="none"/>
          <w:u w:val="single"/>
          <w:lang w:eastAsia="zh-CN"/>
        </w:rPr>
        <w:t>包括项目管理咨询公司、第三方实测实量机构</w:t>
      </w:r>
      <w:r>
        <w:rPr>
          <w:rFonts w:hint="eastAsia" w:ascii="宋体" w:hAnsi="宋体" w:eastAsia="宋体" w:cs="宋体"/>
          <w:color w:val="auto"/>
          <w:sz w:val="21"/>
          <w:szCs w:val="21"/>
          <w:highlight w:val="none"/>
          <w:lang w:eastAsia="zh-CN"/>
        </w:rPr>
        <w:t>）、监理单位、甲方的合理要求，并承担自身经营风险所可能发生的一切相关费用均已包含在合同价格之内。</w:t>
      </w:r>
    </w:p>
    <w:p w14:paraId="5077F655">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下列三种确定合同价格的方式，在专用合同条款中约定采用其中一种：</w:t>
      </w:r>
    </w:p>
    <w:p w14:paraId="12003F9D">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单价合同：是指双方当事人约定以工程量清单及其综合单价进行合同价格计算、调整和确认的建设工程施工合同，在约定的风险范围内合同单价不作调整。综合单价包括但不限于人工费、材料相关费用（包括但不限于损耗、辅材辅料、材料转运、材料保管和堆放、材料上下车费、场地内水平及垂直运输、场内搬迁费、特殊地段材料运费补差等）、机械相关费用（包括但不限于设备进退场及场外运输费用、二次进场费、辅助机械费、小型机具费、专用工具费、机械设备安拆费、机械设备闲置费、机械设备燃动费、租赁费、维修费、场内运费等）、设计图纸中标示的特殊材料工艺的专利使用费、管理费、规费、利润、除增值税外的其他全部税费（包括但不限于城市建设维护税、教育费附加及地方教育费附加、个人所得税、合同印花税、企业所得税、车船使用税以及国家和地方规定的所有税费）、各类风险费（包括但不限于物价上涨、合同明示或暗示的风险责任和义务、施工过程中因要符合政府部门的新规定或新规范等而须改善或替换之材料设备的费用等）、相关措施费（包括但不限于质量、安全、工期、测量放线、CI费、绿色安全文明施工费、环境保护相关费用、水土保持相关费用、深化设计费、专家论证费、特殊条件施工增加费、保险费、赶工费、窝工费、加班费、成品保护费、养护费、保修费、缺陷修理费、养路费、检验试验费、竣工清理费、竣工资料费、水电燃油费、扰民调停费、各项评比检查观摩等所需的配合费用、工人及管理人员住宿通勤费、工程验收、垃圾清运、现场二次及多次搭拆施工用架子及吊篮、后期服务费用等）、施工降效费、超高费、外经证办理费用、进入工程所在地备案费用、涉及</w:t>
      </w:r>
      <w:r>
        <w:rPr>
          <w:rFonts w:hint="eastAsia" w:ascii="宋体" w:hAnsi="宋体" w:cs="宋体"/>
          <w:color w:val="auto"/>
          <w:sz w:val="21"/>
          <w:szCs w:val="21"/>
          <w:highlight w:val="none"/>
          <w:lang w:eastAsia="zh-CN"/>
        </w:rPr>
        <w:t>相关部门各种手续办理及费用、与周边居民的协调工作、</w:t>
      </w:r>
      <w:r>
        <w:rPr>
          <w:rFonts w:hint="eastAsia" w:ascii="宋体" w:hAnsi="宋体" w:eastAsia="宋体" w:cs="宋体"/>
          <w:color w:val="auto"/>
          <w:sz w:val="21"/>
          <w:szCs w:val="21"/>
          <w:highlight w:val="none"/>
          <w:lang w:eastAsia="zh-CN"/>
        </w:rPr>
        <w:t>配合乙方或甲方另行分包的项目所需的配合服务费及配合照管费、疫情常态化防控发生的各种防疫费用、为完成本合同承包范围由甲方安排的其它工作等。合同价格包括的风险范围：</w:t>
      </w:r>
    </w:p>
    <w:p w14:paraId="5BD39670">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（1）措施费包干，除特别约定外不作调整；</w:t>
      </w:r>
    </w:p>
    <w:p w14:paraId="09F47326">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（2）经过乙方标价的工程量清单（或乙方投标报价）各分项工程、各子目中的计算、价格错误及组价的漏项；</w:t>
      </w:r>
    </w:p>
    <w:p w14:paraId="0F293DFF">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（3）乙方施工范围或施工工程量增加15%范围以内的情况或乙方施工范围或施工工程量减少的情况导致价格的变化；</w:t>
      </w:r>
    </w:p>
    <w:p w14:paraId="0DEC0334">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（4）材料价格及人工价格上涨或下落；</w:t>
      </w:r>
    </w:p>
    <w:p w14:paraId="69613967">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（5）国家法律、法规、政策的变化；</w:t>
      </w:r>
    </w:p>
    <w:p w14:paraId="2253978B">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（6）工程造价管理部门公布的各种价格调整；</w:t>
      </w:r>
    </w:p>
    <w:p w14:paraId="1F2AB6C7">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（7）大面积与局部、小面积之间，普通部位与特殊部位之间的各种施工差异；</w:t>
      </w:r>
    </w:p>
    <w:p w14:paraId="676938C7">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（8）任何情况下，乙方在投标前已勘察现场及熟悉施工图纸等，实际施工时不能以对现场或图纸不熟，或者以清单未描述或内容描述不全面等为由要求调整合同单价。</w:t>
      </w:r>
    </w:p>
    <w:p w14:paraId="6AD28735">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总价合同：是指双方当事人约定以图纸、已标价工程量清单或预算书及有关条件进行合同价格计算、调整和确认的建设工程施工合同，在约定的风险范围内合同价格不再调整。</w:t>
      </w:r>
      <w:r>
        <w:rPr>
          <w:rFonts w:hint="eastAsia" w:ascii="宋体" w:hAnsi="宋体" w:eastAsia="宋体" w:cs="宋体"/>
          <w:color w:val="auto"/>
          <w:sz w:val="21"/>
          <w:szCs w:val="21"/>
          <w:highlight w:val="none"/>
          <w:lang w:eastAsia="zh-CN"/>
        </w:rPr>
        <w:t>合同总价包括但不限于人工费、材料相关费用（包括但不限于损耗、辅材辅料、材料转运、材料保管和堆放、材料上下车费、场地内水平及垂直运输、场内搬迁费、特殊地段材料运费补差等）、机械相关费用（包括但不限于设备进退场及场外运输费用、二次进场费、辅助机械费、小型机具费、专用工具费、机械设备安拆费、机械设备闲置费、机械设备燃动费、租赁费、维修费、场内运费等）、设计图纸中标示的特殊材料工艺的专利使用费、管理费、规费、利润、除增值税外的其他全部税费（包括但不限于城市建设维护税、教育费附加及地方教育费附加、个人所得税、合同印花税、企业所得税、车船使用税以及国家和地方规定的所有税费）、各类风险费（包括但不限于物价上涨、合同明示或暗示的风险责任和义务、施工过程中因要符合政府部门的新规定或新规范等而须改善或替换之材料设备的费用等）、相关措施费（包括但不限于质量、安全、工期、测量放线、CI费、绿色安全文明施工费、环境保护相关费用、水土保持相关费用、深化设计费、专家论证费、特殊条件施工增加费、保险费、赶工费、窝工费、加班费、成品保护费、养护费、保修费、缺陷修理费、养路费、检验试验费、竣工清理费、竣工资料费、水电燃油费、扰民调停费、各项评比检查观摩等所需的配合费用、工人及管理人员住宿通勤费、工程验收、垃圾清运、现场二次及多次搭拆施工用架子及吊篮、后期服务费用等）、施工降效费、超高费、外经证办理费用、进入工程所在地备案费用、涉及</w:t>
      </w:r>
      <w:r>
        <w:rPr>
          <w:rFonts w:hint="eastAsia" w:ascii="宋体" w:hAnsi="宋体" w:cs="宋体"/>
          <w:color w:val="auto"/>
          <w:sz w:val="21"/>
          <w:szCs w:val="21"/>
          <w:highlight w:val="none"/>
          <w:lang w:eastAsia="zh-CN"/>
        </w:rPr>
        <w:t>相关部门各种手续办理及费用、与周边居民的协调工作、</w:t>
      </w:r>
      <w:r>
        <w:rPr>
          <w:rFonts w:hint="eastAsia" w:ascii="宋体" w:hAnsi="宋体" w:eastAsia="宋体" w:cs="宋体"/>
          <w:color w:val="auto"/>
          <w:sz w:val="21"/>
          <w:szCs w:val="21"/>
          <w:highlight w:val="none"/>
          <w:lang w:eastAsia="zh-CN"/>
        </w:rPr>
        <w:t>配合乙方或甲方另行分包的项目所需的配合服务费及配合照管费、疫情常态化防控发生的各种防疫费用、为完成本合同承包范围由甲方安排的其它工作等。合同价格包括的风险范围：</w:t>
      </w:r>
    </w:p>
    <w:p w14:paraId="0BFF6180">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（1）措施费包干，除特别约定外不作调整；</w:t>
      </w:r>
    </w:p>
    <w:p w14:paraId="72856499">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（2）施工图纸、图集和相关规范所必须的全部施工内容；</w:t>
      </w:r>
    </w:p>
    <w:p w14:paraId="275F3F96">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（3）当施工范围或施工图纸发生变化导致工程量增加15%以内或工程量减少的情况导致价格的变化；</w:t>
      </w:r>
    </w:p>
    <w:p w14:paraId="67DAE940">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（4）合同清单中的计算、价格错误及组价的漏项；</w:t>
      </w:r>
    </w:p>
    <w:p w14:paraId="27F9939A">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（5）材料价格及人工价格上涨或下落；</w:t>
      </w:r>
    </w:p>
    <w:p w14:paraId="1664CA12">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（6）国家法律、法规、政策的变化；</w:t>
      </w:r>
    </w:p>
    <w:p w14:paraId="7A84C80D">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（7）工程造价管理部门公布的各种价格调整；</w:t>
      </w:r>
    </w:p>
    <w:p w14:paraId="0276C14E">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（8）大面积与局部、小面积之间，普通部位与特殊部位之间的各种施工差异；</w:t>
      </w:r>
    </w:p>
    <w:p w14:paraId="6F187482">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（9）任何情况下，乙方在投标前已勘察现场及熟悉施工图纸等，实际施工时不能以对现场或图纸不熟，或者以清单未描述或内容描述不全面等为由要求调整合同总价。</w:t>
      </w:r>
    </w:p>
    <w:p w14:paraId="110E55DD">
      <w:pPr>
        <w:numPr>
          <w:ilvl w:val="2"/>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其他价格形式：是指除第 13.2.1、13.2.2 项以外的其他合同价格形式，具体约定见专用合同条款。</w:t>
      </w:r>
    </w:p>
    <w:p w14:paraId="2F389A01">
      <w:pPr>
        <w:numPr>
          <w:ilvl w:val="1"/>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采购文件和分包合同文件明示要求的项目若在《工程量清单计价表》内没有显示，或任何组成《工程量清单计价表》以外的而根据设计和规范必不可少项目，其价款均视为已经包含在《工程量清单计价表》所列项目单价/价款内。</w:t>
      </w:r>
    </w:p>
    <w:p w14:paraId="2C1778FA">
      <w:pPr>
        <w:numPr>
          <w:ilvl w:val="1"/>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合同单价中存在一定的不平衡，由此导致的风险由乙方承担，乙方不得以低于成本、出现亏损等任何原因要求调高价款。</w:t>
      </w:r>
    </w:p>
    <w:p w14:paraId="268BB1A0">
      <w:pPr>
        <w:numPr>
          <w:ilvl w:val="1"/>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合同价款综合考虑了以下各类因素，乙方不得有选择性施工作业；乙方不得以施工难度等因素为由调整合同价款，甲方不接受乙方就以下情况的费用索赔或额外补偿的要求。</w:t>
      </w:r>
    </w:p>
    <w:p w14:paraId="0704B533">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bCs/>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（1）实际</w:t>
      </w:r>
      <w:r>
        <w:rPr>
          <w:rFonts w:hint="eastAsia" w:ascii="宋体" w:hAnsi="宋体" w:eastAsia="宋体" w:cs="宋体"/>
          <w:bCs/>
          <w:color w:val="auto"/>
          <w:kern w:val="10"/>
          <w:sz w:val="21"/>
          <w:szCs w:val="21"/>
          <w:highlight w:val="none"/>
          <w:lang w:eastAsia="zh-CN"/>
        </w:rPr>
        <w:t>工程量较合同清单工程量增加</w:t>
      </w:r>
      <w:r>
        <w:rPr>
          <w:rFonts w:hint="eastAsia" w:ascii="宋体" w:hAnsi="宋体" w:eastAsia="宋体" w:cs="宋体"/>
          <w:color w:val="auto"/>
          <w:sz w:val="21"/>
          <w:szCs w:val="21"/>
          <w:highlight w:val="none"/>
          <w:lang w:eastAsia="zh-CN"/>
        </w:rPr>
        <w:t>15%范围以内或减少的情况，单价不予调整；若</w:t>
      </w:r>
      <w:r>
        <w:rPr>
          <w:rFonts w:hint="eastAsia" w:ascii="宋体" w:hAnsi="宋体" w:eastAsia="宋体" w:cs="宋体"/>
          <w:color w:val="auto"/>
          <w:kern w:val="10"/>
          <w:sz w:val="21"/>
          <w:szCs w:val="21"/>
          <w:highlight w:val="none"/>
          <w:lang w:eastAsia="zh-CN"/>
        </w:rPr>
        <w:t>实际</w:t>
      </w:r>
      <w:r>
        <w:rPr>
          <w:rFonts w:hint="eastAsia" w:ascii="宋体" w:hAnsi="宋体" w:eastAsia="宋体" w:cs="宋体"/>
          <w:bCs/>
          <w:color w:val="auto"/>
          <w:kern w:val="10"/>
          <w:sz w:val="21"/>
          <w:szCs w:val="21"/>
          <w:highlight w:val="none"/>
          <w:lang w:eastAsia="zh-CN"/>
        </w:rPr>
        <w:t>工程量较合同清单工程量</w:t>
      </w:r>
      <w:r>
        <w:rPr>
          <w:rFonts w:hint="eastAsia" w:ascii="宋体" w:hAnsi="宋体" w:eastAsia="宋体" w:cs="宋体"/>
          <w:color w:val="auto"/>
          <w:sz w:val="21"/>
          <w:szCs w:val="21"/>
          <w:highlight w:val="none"/>
          <w:lang w:eastAsia="zh-CN"/>
        </w:rPr>
        <w:t>增加超过15%时，双方应就该清单项单价调减，并及时签订补充协议</w:t>
      </w:r>
      <w:r>
        <w:rPr>
          <w:rFonts w:hint="eastAsia" w:ascii="宋体" w:hAnsi="宋体" w:eastAsia="宋体" w:cs="宋体"/>
          <w:bCs/>
          <w:color w:val="auto"/>
          <w:kern w:val="10"/>
          <w:sz w:val="21"/>
          <w:szCs w:val="21"/>
          <w:highlight w:val="none"/>
          <w:lang w:eastAsia="zh-CN"/>
        </w:rPr>
        <w:t>；</w:t>
      </w:r>
    </w:p>
    <w:p w14:paraId="5748011D">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bCs/>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（2）全部</w:t>
      </w:r>
      <w:r>
        <w:rPr>
          <w:rFonts w:hint="eastAsia" w:ascii="宋体" w:hAnsi="宋体" w:eastAsia="宋体" w:cs="宋体"/>
          <w:bCs/>
          <w:color w:val="auto"/>
          <w:kern w:val="10"/>
          <w:sz w:val="21"/>
          <w:szCs w:val="21"/>
          <w:highlight w:val="none"/>
          <w:lang w:eastAsia="zh-CN"/>
        </w:rPr>
        <w:t>非标层高、局部超高及高层施工难度等因素；</w:t>
      </w:r>
    </w:p>
    <w:p w14:paraId="5C16AE43">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（3）全部或局部尺寸、形状、工艺等部分特殊性设计或异形构件等施工造成的工效降低；</w:t>
      </w:r>
    </w:p>
    <w:p w14:paraId="787ED80B">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（3）机械覆盖范围外引起降效和人工倒运；</w:t>
      </w:r>
    </w:p>
    <w:p w14:paraId="7FB4877B">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bookmarkStart w:id="935" w:name="_Hlk34494197"/>
      <w:r>
        <w:rPr>
          <w:rFonts w:hint="eastAsia" w:ascii="宋体" w:hAnsi="宋体" w:eastAsia="宋体" w:cs="宋体"/>
          <w:color w:val="auto"/>
          <w:kern w:val="10"/>
          <w:sz w:val="21"/>
          <w:szCs w:val="21"/>
          <w:highlight w:val="none"/>
          <w:lang w:eastAsia="zh-CN"/>
        </w:rPr>
        <w:t>（4）</w:t>
      </w:r>
      <w:bookmarkEnd w:id="935"/>
      <w:r>
        <w:rPr>
          <w:rFonts w:hint="eastAsia" w:ascii="宋体" w:hAnsi="宋体" w:eastAsia="宋体" w:cs="宋体"/>
          <w:color w:val="auto"/>
          <w:kern w:val="10"/>
          <w:sz w:val="21"/>
          <w:szCs w:val="21"/>
          <w:highlight w:val="none"/>
          <w:lang w:eastAsia="zh-CN"/>
        </w:rPr>
        <w:t>建设单位图纸原因、节假日、政府强制停工复工、各类</w:t>
      </w:r>
      <w:r>
        <w:rPr>
          <w:rFonts w:hint="eastAsia" w:ascii="宋体" w:hAnsi="宋体" w:eastAsia="宋体" w:cs="宋体"/>
          <w:color w:val="auto"/>
          <w:sz w:val="21"/>
          <w:szCs w:val="21"/>
          <w:highlight w:val="none"/>
          <w:lang w:eastAsia="zh-CN"/>
        </w:rPr>
        <w:t>检查观摩等</w:t>
      </w:r>
      <w:r>
        <w:rPr>
          <w:rFonts w:hint="eastAsia" w:ascii="宋体" w:hAnsi="宋体" w:eastAsia="宋体" w:cs="宋体"/>
          <w:color w:val="auto"/>
          <w:kern w:val="10"/>
          <w:sz w:val="21"/>
          <w:szCs w:val="21"/>
          <w:highlight w:val="none"/>
          <w:lang w:eastAsia="zh-CN"/>
        </w:rPr>
        <w:t>所引起各项工作费用（如二次进出场、留守人员等）；</w:t>
      </w:r>
    </w:p>
    <w:p w14:paraId="385E9C23">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（5）停水停电、待料、机械修理等停工费用；</w:t>
      </w:r>
    </w:p>
    <w:p w14:paraId="046049EF">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（6）甲方根据工程的进展及施工的需要调整了施工方案和工序而产生费用；</w:t>
      </w:r>
    </w:p>
    <w:p w14:paraId="77D2882E">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（7）未经甲方允许，乙方在施工中擅自改变材料做法进行施工作业；</w:t>
      </w:r>
    </w:p>
    <w:p w14:paraId="0D623867">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（8）乙方承包范围内任何零星用工、窝工、误工、赶工等费用；</w:t>
      </w:r>
    </w:p>
    <w:p w14:paraId="57C68733">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（9）因市场变化导致人工、材料、机械价格变化或政府及行业主管部门红头文件的颁发而起的乙方的实际支出的增减；</w:t>
      </w:r>
    </w:p>
    <w:p w14:paraId="55FD8504">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（10）因天气、地形、地质、环保要求等条件变化对工程影响（如因雨雪、大气污染、扬尘管控）及采取的临时措施；</w:t>
      </w:r>
    </w:p>
    <w:p w14:paraId="1966FF8D">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（11）乙方对采购文件、图纸情况、施工现场情况、生活区情况的理解偏差；</w:t>
      </w:r>
    </w:p>
    <w:p w14:paraId="0C3C4779">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（12）按规范、方案、图纸要求必须完成的</w:t>
      </w:r>
      <w:bookmarkStart w:id="936" w:name="_Hlk34051356"/>
      <w:r>
        <w:rPr>
          <w:rFonts w:hint="eastAsia" w:ascii="宋体" w:hAnsi="宋体" w:eastAsia="宋体" w:cs="宋体"/>
          <w:color w:val="auto"/>
          <w:kern w:val="10"/>
          <w:sz w:val="21"/>
          <w:szCs w:val="21"/>
          <w:highlight w:val="none"/>
          <w:lang w:eastAsia="zh-CN"/>
        </w:rPr>
        <w:t>（包括图纸没有显示的）工作；</w:t>
      </w:r>
    </w:p>
    <w:bookmarkEnd w:id="936"/>
    <w:p w14:paraId="32B966B4">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（13）同前期工程衔接、处理完善前期遗留问题、接受现场基层条件所需的费用；</w:t>
      </w:r>
    </w:p>
    <w:p w14:paraId="425A4C45">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bookmarkStart w:id="937" w:name="_Hlk33982872"/>
      <w:r>
        <w:rPr>
          <w:rFonts w:hint="eastAsia" w:ascii="宋体" w:hAnsi="宋体" w:eastAsia="宋体" w:cs="宋体"/>
          <w:color w:val="auto"/>
          <w:kern w:val="10"/>
          <w:sz w:val="21"/>
          <w:szCs w:val="21"/>
          <w:highlight w:val="none"/>
          <w:lang w:eastAsia="zh-CN"/>
        </w:rPr>
        <w:t>（14）与其他分包单位的照管、配合及带来的工作量的全部费用；</w:t>
      </w:r>
    </w:p>
    <w:bookmarkEnd w:id="937"/>
    <w:p w14:paraId="17446F11">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（15）甲方基于项目需求所推行或要求使用的新技术、新工艺、新材料的费用；</w:t>
      </w:r>
    </w:p>
    <w:p w14:paraId="09EC67B8">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（16）本合同没有提到的但乙方为完成本工程工作所必然发生的工作所产生的费用；</w:t>
      </w:r>
    </w:p>
    <w:p w14:paraId="1954EB2F">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（17）非乙方原因停工30日以内造成的窝工；</w:t>
      </w:r>
    </w:p>
    <w:p w14:paraId="6B570C70">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（18）因达到合同约定的创优标准所发生的费用；</w:t>
      </w:r>
    </w:p>
    <w:p w14:paraId="3F3CC078">
      <w:pPr>
        <w:tabs>
          <w:tab w:val="left" w:pos="6090"/>
        </w:tabs>
        <w:kinsoku w:val="0"/>
        <w:adjustRightInd w:val="0"/>
        <w:spacing w:after="0" w:line="360" w:lineRule="auto"/>
        <w:ind w:right="149" w:rightChars="71" w:firstLine="420" w:firstLineChars="200"/>
        <w:contextualSpacing/>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（19）其他在本合同中明确的因素。</w:t>
      </w:r>
    </w:p>
    <w:p w14:paraId="6C50E6D2">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10"/>
          <w:sz w:val="21"/>
          <w:szCs w:val="21"/>
          <w:highlight w:val="none"/>
          <w:lang w:eastAsia="zh-CN"/>
        </w:rPr>
        <w:t>乙方承诺为满足本合同约定的工期、质量、安全生产要求，会随时按甲方指令无条件追加现场资源投入，以达到甲方的要求为止；为达到上述要求，乙方采取各种措施的费用已包含于合同价款中，不再增加任何费用。</w:t>
      </w:r>
    </w:p>
    <w:p w14:paraId="269E1F7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在合同执行期间，如遇国家增值税率调整，在不含税价格不变的情况下，按政策调整之日对本合同项下未完成部分执行最新规定。</w:t>
      </w:r>
    </w:p>
    <w:p w14:paraId="05E2921A">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本合同中约定的任何一项工作内容未履行或未完全履行，均应从合同价款中扣除相应费用。</w:t>
      </w:r>
    </w:p>
    <w:p w14:paraId="1177FBD8">
      <w:pPr>
        <w:numPr>
          <w:ilvl w:val="1"/>
          <w:numId w:val="6"/>
        </w:numPr>
        <w:kinsoku w:val="0"/>
        <w:spacing w:after="0" w:line="360" w:lineRule="auto"/>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计量方式</w:t>
      </w:r>
    </w:p>
    <w:p w14:paraId="56BBF66A">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本工程工程量计量原则按照经甲方确认的施工图纸及合同专用条款中约定的规定执行，以经甲方最终确认的实际施工部位为准，按照施工图纸计算的工程量及现场实际完成的合格工程量的较小值计算。</w:t>
      </w:r>
    </w:p>
    <w:p w14:paraId="684400AF">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本工程分部分项工程量清单中所列数量为暂定数量（固定总价合同除外），不作为乙方结算依据，乙方不得以清单中工程数量及项目发生变更要求调整清单单价，乙方结算按照上述计量原则进行计算。</w:t>
      </w:r>
    </w:p>
    <w:p w14:paraId="43C3320D">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本合同范围内工作内容不得发生任何零工、零星机械台班及技术措施费。甲方可以拒绝支付任何此类费用。</w:t>
      </w:r>
    </w:p>
    <w:p w14:paraId="0F5EF1CD">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任何情况下（甲方原因除外）造成的返工、返修、超技术交底或设计图纸施工的工程数量不予计价。</w:t>
      </w:r>
    </w:p>
    <w:p w14:paraId="59930E93">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开工前期，如在网电未接通的情况下需进行施工时,具体事宜在专用条款中约定，专用条款中没有约定的视为此项费用由乙方承担，已包含在分包单价中。</w:t>
      </w:r>
    </w:p>
    <w:p w14:paraId="4B9DAC30">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938" w:name="_Toc7970"/>
      <w:bookmarkStart w:id="939" w:name="_Toc32406"/>
      <w:bookmarkStart w:id="940" w:name="_Toc26611"/>
      <w:bookmarkStart w:id="941" w:name="_Toc20662"/>
      <w:bookmarkStart w:id="942" w:name="_Toc9587"/>
      <w:bookmarkStart w:id="943" w:name="_Toc101357437"/>
      <w:bookmarkStart w:id="944" w:name="_Toc12172"/>
      <w:bookmarkStart w:id="945" w:name="_Toc25862"/>
      <w:bookmarkStart w:id="946" w:name="_Toc10179"/>
      <w:bookmarkStart w:id="947" w:name="_Toc175764432"/>
      <w:bookmarkStart w:id="948" w:name="_Toc27252"/>
      <w:bookmarkStart w:id="949" w:name="_Toc17450"/>
      <w:bookmarkStart w:id="950" w:name="_Toc10689"/>
      <w:bookmarkStart w:id="951" w:name="_Toc19551"/>
      <w:bookmarkStart w:id="952" w:name="_Toc101963495"/>
      <w:bookmarkStart w:id="953" w:name="_Toc29071"/>
      <w:bookmarkStart w:id="954" w:name="_Toc24618"/>
      <w:r>
        <w:rPr>
          <w:rFonts w:hint="eastAsia" w:ascii="宋体" w:hAnsi="宋体" w:eastAsia="宋体" w:cs="宋体"/>
          <w:b/>
          <w:color w:val="auto"/>
          <w:sz w:val="21"/>
          <w:szCs w:val="21"/>
          <w:highlight w:val="none"/>
        </w:rPr>
        <w:t>变更</w:t>
      </w:r>
      <w:r>
        <w:rPr>
          <w:rFonts w:hint="eastAsia" w:ascii="宋体" w:hAnsi="宋体" w:eastAsia="宋体" w:cs="宋体"/>
          <w:b/>
          <w:color w:val="auto"/>
          <w:sz w:val="21"/>
          <w:szCs w:val="21"/>
          <w:highlight w:val="none"/>
          <w:lang w:eastAsia="zh-CN"/>
        </w:rPr>
        <w:t>签证</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14:paraId="1753748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如果甲方认为有必要对本分包工程或其中的任何部分的形式、质量、数量做出任何变更或调整，乙方应遵照执行，该指示包括来自建设单位、设计单位、监理单位的设计变更、洽商、指示等。</w:t>
      </w:r>
      <w:r>
        <w:rPr>
          <w:rFonts w:hint="eastAsia" w:ascii="宋体" w:hAnsi="宋体" w:eastAsia="宋体" w:cs="宋体"/>
          <w:bCs/>
          <w:color w:val="auto"/>
          <w:sz w:val="21"/>
          <w:szCs w:val="21"/>
          <w:highlight w:val="none"/>
          <w:lang w:eastAsia="zh-CN"/>
        </w:rPr>
        <w:t>乙方因没有遵守此条款，引起的任何返工，其损失或工期延误都应由乙方承担。</w:t>
      </w:r>
    </w:p>
    <w:p w14:paraId="35751DB9">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上述变更指令发出后，双方应继续履行本合同。因变更而导致合同价款的增减及造成的工期影响，按本合同17.4.2条规定执行。</w:t>
      </w:r>
    </w:p>
    <w:p w14:paraId="6186BB6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如果上述变更是因为乙方违约或自身原因造成甲方不得不发出变更指令，则任何此类变更后增加的费用均由乙方承担。</w:t>
      </w:r>
    </w:p>
    <w:p w14:paraId="07BBC8A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按照甲方发出的设计变更通知及有关要求，进行施工，未经甲方事先书面同意，乙方不得擅自对原工程设计进行变更或调整分包作业范围。由乙方擅自变更或未按照甲方设计变更通知进行施工造成的费用增加和由此导致甲方的直接损失，由乙方承担，延误的工期不予顺延。</w:t>
      </w:r>
    </w:p>
    <w:p w14:paraId="3DCF519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在施工中提出的合理化建议及涉及到对设计图纸或施工组织设计的更改及对材料、设备的换用，应向甲方提交合理化建议说明，说明建议的内容、理由以及实施该建议对合同价格和工期的影响，且须经甲方同意，未经甲方同意擅自更改或换用时，乙方承担由此发生的费用，并赔偿由此给甲方造成的一切损失，延误的工期不予顺延。</w:t>
      </w:r>
    </w:p>
    <w:p w14:paraId="62B838C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发生14.5条中的情况时，乙方应在7日内，将调整的原因、金额以书面形式（附有详细估算）提交甲方，甲方在收到乙方报告后上报建设单位，经建设单位审批后，甲方签署意见并调整本合同价款，本变更合同价款由双方协商确定但不得超过建设单位审批变更价款。</w:t>
      </w:r>
    </w:p>
    <w:p w14:paraId="0425030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现场变更签证管理规定：</w:t>
      </w:r>
    </w:p>
    <w:p w14:paraId="2C9BDE5C">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变更、工程量确定原则</w:t>
      </w:r>
    </w:p>
    <w:p w14:paraId="6C91E2BE">
      <w:pPr>
        <w:tabs>
          <w:tab w:val="left" w:pos="0"/>
        </w:tabs>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（1）工程变更、签证单应按甲方要求填写，字迹清楚工整。</w:t>
      </w:r>
    </w:p>
    <w:p w14:paraId="5632CF7D">
      <w:pPr>
        <w:tabs>
          <w:tab w:val="left" w:pos="0"/>
        </w:tabs>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w:t>
      </w:r>
      <w:r>
        <w:rPr>
          <w:rFonts w:hint="eastAsia" w:ascii="宋体" w:hAnsi="宋体" w:eastAsia="宋体" w:cs="宋体"/>
          <w:b/>
          <w:bCs/>
          <w:color w:val="auto"/>
          <w:sz w:val="21"/>
          <w:szCs w:val="21"/>
          <w:highlight w:val="none"/>
          <w:lang w:eastAsia="zh-CN"/>
        </w:rPr>
        <w:t>须由甲方项目部现场签证发起人员、商务人员及乙方三方进行现场验收核实，并经甲方项目经理、商务经理、项目技术负责人、项目生产负责人等共同签字且日期齐全。</w:t>
      </w:r>
      <w:r>
        <w:rPr>
          <w:rFonts w:hint="eastAsia" w:ascii="宋体" w:hAnsi="宋体" w:eastAsia="宋体" w:cs="宋体"/>
          <w:color w:val="auto"/>
          <w:sz w:val="21"/>
          <w:szCs w:val="21"/>
          <w:highlight w:val="none"/>
          <w:lang w:eastAsia="zh-CN"/>
        </w:rPr>
        <w:t>对变更、签证事由和内容的描述须详尽，必要时应附上图示及工程量计算式。变更事由注明发生时间、地点和工作部位（层次、轴线编号、构件名称、桩号等）。</w:t>
      </w:r>
    </w:p>
    <w:p w14:paraId="5F4093AC">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变更、签证单价确定原则</w:t>
      </w:r>
    </w:p>
    <w:p w14:paraId="4609CBF5">
      <w:pPr>
        <w:kinsoku w:val="0"/>
        <w:autoSpaceDE w:val="0"/>
        <w:autoSpaceDN w:val="0"/>
        <w:adjustRightInd w:val="0"/>
        <w:spacing w:after="0" w:line="48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（1）如果取消某项工作，则该项工作的总额价不予支付；</w:t>
      </w:r>
    </w:p>
    <w:p w14:paraId="66A9D5A1">
      <w:pPr>
        <w:kinsoku w:val="0"/>
        <w:autoSpaceDE w:val="0"/>
        <w:autoSpaceDN w:val="0"/>
        <w:adjustRightInd w:val="0"/>
        <w:spacing w:after="0" w:line="48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（2）已标价工程量清单中有相同清单项的，按照已标价工程量清单单价认定；</w:t>
      </w:r>
    </w:p>
    <w:p w14:paraId="72431A9D">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（3）已标价工程量清单中无相同清单项，但有类似清单项的，于合同清单外工程的价格，可以参照已标价工程量清单中类似清单项单价认定；</w:t>
      </w:r>
    </w:p>
    <w:p w14:paraId="310B02B5">
      <w:pPr>
        <w:kinsoku w:val="0"/>
        <w:adjustRightInd w:val="0"/>
        <w:snapToGrid w:val="0"/>
        <w:spacing w:after="0" w:line="360" w:lineRule="auto"/>
        <w:ind w:firstLine="420" w:firstLineChars="200"/>
        <w:contextualSpacing/>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已标价工程量清单中无相同清单项或类似清单项的，由乙方提出适当的价格，并经甲方审核后出具双方签字盖章的价格确认单方可执行。变更、签证单上签署的未经甲方相关部门和人员审核的价格，不作为最终结算依据。</w:t>
      </w:r>
    </w:p>
    <w:p w14:paraId="4C26E42A">
      <w:pPr>
        <w:kinsoku w:val="0"/>
        <w:autoSpaceDE w:val="0"/>
        <w:autoSpaceDN w:val="0"/>
        <w:adjustRightInd w:val="0"/>
        <w:spacing w:after="0" w:line="48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（5）如果本工程的变更指示是因乙方过错、乙方违反合同或乙方责任造成的，则这种违约引起的任何额外费用应由乙方承担。</w:t>
      </w:r>
    </w:p>
    <w:p w14:paraId="16D003A0">
      <w:pPr>
        <w:numPr>
          <w:ilvl w:val="2"/>
          <w:numId w:val="6"/>
        </w:numPr>
        <w:kinsoku w:val="0"/>
        <w:spacing w:after="0" w:line="360" w:lineRule="auto"/>
        <w:jc w:val="both"/>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eastAsia="zh-CN"/>
        </w:rPr>
        <w:t>无效变更、签证单：</w:t>
      </w:r>
    </w:p>
    <w:p w14:paraId="75A550AE">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（1）</w:t>
      </w:r>
      <w:r>
        <w:rPr>
          <w:rFonts w:hint="eastAsia" w:ascii="宋体" w:hAnsi="宋体" w:eastAsia="宋体" w:cs="宋体"/>
          <w:color w:val="auto"/>
          <w:sz w:val="21"/>
          <w:szCs w:val="21"/>
          <w:highlight w:val="none"/>
          <w:lang w:eastAsia="zh-CN"/>
        </w:rPr>
        <w:t>甲方项目经理、项目商务经理、项目技术负责人、项目生产负责人及经办人员签名不全或没有注明变更日期的变更、签证单；</w:t>
      </w:r>
    </w:p>
    <w:p w14:paraId="1E994655">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（2）超过变更时效或竣工后突击补签的变更、签证单；</w:t>
      </w:r>
    </w:p>
    <w:p w14:paraId="2413D5DD">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（3）非原件的变更、签证资料；</w:t>
      </w:r>
    </w:p>
    <w:p w14:paraId="3D54BDFC">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（4）内容不实、对事由的描述太简单以致无法核定工程量的变更、签证单；</w:t>
      </w:r>
    </w:p>
    <w:p w14:paraId="3DC6B568">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（5）变更、签证内容包括在本合同单价范围内或者本合同工作范围内。</w:t>
      </w:r>
    </w:p>
    <w:p w14:paraId="1AC94E43">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已发生的有关签证必须在当天办理现场验收核实，涉及的合同外增加费用的，乙方必须在变更、签证发生7天内将变更、签证费用上报甲方，如果乙方未在规定的时间内上报，则视为本洽商、变更、签证不涉及合同外费用调整。</w:t>
      </w:r>
    </w:p>
    <w:p w14:paraId="6C57E89C">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955" w:name="_Toc101963496"/>
      <w:bookmarkStart w:id="956" w:name="_Toc4065"/>
      <w:bookmarkStart w:id="957" w:name="_Toc23028"/>
      <w:bookmarkStart w:id="958" w:name="_Toc5904"/>
      <w:bookmarkStart w:id="959" w:name="_Toc30828"/>
      <w:bookmarkStart w:id="960" w:name="_Toc101357440"/>
      <w:bookmarkStart w:id="961" w:name="_Toc175764433"/>
      <w:bookmarkStart w:id="962" w:name="_Toc21943"/>
      <w:bookmarkStart w:id="963" w:name="_Toc26886"/>
      <w:bookmarkStart w:id="964" w:name="_Toc21135"/>
      <w:bookmarkStart w:id="965" w:name="_Toc14250"/>
      <w:bookmarkStart w:id="966" w:name="_Toc4788"/>
      <w:bookmarkStart w:id="967" w:name="_Toc1051"/>
      <w:bookmarkStart w:id="968" w:name="_Toc24261"/>
      <w:bookmarkStart w:id="969" w:name="_Toc4391"/>
      <w:bookmarkStart w:id="970" w:name="_Toc31015"/>
      <w:bookmarkStart w:id="971" w:name="_Toc20055"/>
      <w:bookmarkStart w:id="972" w:name="_Toc30193"/>
      <w:bookmarkStart w:id="973" w:name="_Toc11138"/>
      <w:bookmarkStart w:id="974" w:name="_Toc23683"/>
      <w:bookmarkStart w:id="975" w:name="_Toc23790"/>
      <w:bookmarkStart w:id="976" w:name="_Toc6616"/>
      <w:bookmarkStart w:id="977" w:name="_Toc28726"/>
      <w:bookmarkStart w:id="978" w:name="_Toc9294"/>
      <w:bookmarkStart w:id="979" w:name="_Toc20120"/>
      <w:bookmarkStart w:id="980" w:name="_Toc27177"/>
      <w:bookmarkStart w:id="981" w:name="_Toc32733"/>
      <w:bookmarkStart w:id="982" w:name="_Toc28252"/>
      <w:bookmarkStart w:id="983" w:name="_Toc22125"/>
      <w:bookmarkStart w:id="984" w:name="_Toc101357438"/>
      <w:bookmarkStart w:id="985" w:name="_Toc11238"/>
      <w:bookmarkStart w:id="986" w:name="_Toc29236"/>
      <w:r>
        <w:rPr>
          <w:rFonts w:hint="eastAsia" w:ascii="宋体" w:hAnsi="宋体" w:eastAsia="宋体" w:cs="宋体"/>
          <w:b/>
          <w:color w:val="auto"/>
          <w:sz w:val="21"/>
          <w:szCs w:val="21"/>
          <w:highlight w:val="none"/>
        </w:rPr>
        <w:t>工程款支付</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66325588">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甲方应按合同约定向乙方支付工程预付款。工程预付款的支付时间、预付额度、工程预付款的抵扣起始时间和方式见专用合同条款。</w:t>
      </w:r>
    </w:p>
    <w:p w14:paraId="130C520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甲方应按专用合同条款约定的工程进度款付款周期、程序、支付比例或金额支付工程进度款。</w:t>
      </w:r>
    </w:p>
    <w:p w14:paraId="4F49DDB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委托甲方代发农民工工资，并认可甲方的按月代发行为，每次付款前,应当提供收款承诺书或收据。不得据此拒绝提供或不足额提供增值税专用发票给甲方。甲方根据合同专用合同条款的约定代发乙方农民工工资。乙方不得以任何理由扣押或者变相扣押用于支付农民工工资的银行账户所绑定的农民工本人社会保障卡或者银行卡。乙方需按照国家法律法规政策，为农民工缴纳个人所得税，并按照甲方要求，定期提交纳税证明，确保如实履行代扣代缴的纳税义务。</w:t>
      </w:r>
    </w:p>
    <w:p w14:paraId="1B0953AD">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甲方按合同约定向乙方支付的进度款已足够支付全额工人工资，乙方在收到甲方进度款后应优先用于支付工人工资。</w:t>
      </w:r>
    </w:p>
    <w:p w14:paraId="6C77C54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按甲方财务要求提供符合本合同协议书中约定税率的合规增值税专用发票（包含税务机关代开），并按实际提供服务及货物情况，准确填写发票项目，甲方收到乙方的合格发票后支付工程款。因乙方发票填写有误，造成甲方增值税抵扣税额损失的，由乙方全额进行赔偿。</w:t>
      </w:r>
    </w:p>
    <w:p w14:paraId="439B43B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开具增值税专用发票的，乙方应按甲方通知的时间完成指定工作，并经双方现场人员验收确认后，由甲方通知乙方开票时间，乙方在甲方要求的时间内，向甲方开具已验收工作内容全额增值税专用发票。由于乙方不及时提供发票或者提供的发票不符合税务机关要求，导致甲方不能报验抵扣进项税金，或者当时虽正常通过审核，后被税务机关以“比对不符”或“失控发票”等事由追缴税款，从而给甲方造成的经济损失，由乙方负责赔偿。乙方不提供发票或发票不符合税务部门要求的，甲方</w:t>
      </w:r>
      <w:r>
        <w:rPr>
          <w:rStyle w:val="38"/>
          <w:rFonts w:hint="eastAsia" w:ascii="宋体" w:hAnsi="宋体" w:eastAsia="宋体" w:cs="宋体"/>
          <w:color w:val="auto"/>
          <w:highlight w:val="none"/>
          <w:lang w:eastAsia="zh-CN"/>
        </w:rPr>
        <w:t>可以</w:t>
      </w:r>
      <w:r>
        <w:rPr>
          <w:rFonts w:hint="eastAsia" w:ascii="宋体" w:hAnsi="宋体" w:eastAsia="宋体" w:cs="宋体"/>
          <w:color w:val="auto"/>
          <w:sz w:val="21"/>
          <w:szCs w:val="21"/>
          <w:highlight w:val="none"/>
          <w:lang w:eastAsia="zh-CN"/>
        </w:rPr>
        <w:t>从应付款项中直接扣除发票事项的损失，然后再支付剩余的款项给乙方。</w:t>
      </w:r>
    </w:p>
    <w:p w14:paraId="7D7291DE">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若因合同工作内容及价款等增值税专用发票记载项目发生变化的，如果甲方取得增值税专用发票尚未认证抵扣，则乙方应作废原发票，重新开具增值税专用发票，作废发票前需告知甲方，并收回原发票；如果原增值税专用发票已经认证抵扣，则乙方就合同增加的金额补开增值税专用发票；如有调减或者其他需要，与甲方联系开具红字信息表办理开具红冲发票。</w:t>
      </w:r>
    </w:p>
    <w:p w14:paraId="7FE195E3">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开具的发票必须保证“五流一致”，即合同流、资金流（银行的收付款凭证）、发票流（发票的开票人和收票人）、物流（或劳务流）和信息流相互统一，即合同主体、收款方、开票方和货物销售方或劳务提供方必须是同一个法律主体，而且合同主体、付款方、货物采购方或劳务接收方必须是同一个法律主体，如果因乙方原因导致五流不一致，造成甲方不能对税款进行抵扣的，乙方必须承担由此给甲方带来的经济损失。</w:t>
      </w:r>
    </w:p>
    <w:p w14:paraId="33EABCA9">
      <w:pPr>
        <w:numPr>
          <w:ilvl w:val="1"/>
          <w:numId w:val="6"/>
        </w:numPr>
        <w:kinsoku w:val="0"/>
        <w:spacing w:after="0" w:line="360" w:lineRule="auto"/>
        <w:jc w:val="both"/>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乙方在分包报价中已考虑本项目的资金风险，具备一定的资金实力。如双方因工程款支付发生争议，对于争议解决前甲方存在迟付情形的已付款项，乙方放弃索要逾期利息、违约金或资金占用费的权利。非甲方原因延迟支付结算款的，甲方不承担逾期利息，如因其他原因需甲方承担逾期利息时，约定利率为不超过合同订立时1年期贷款市场报价利率。乙方不以缓付、迟付工程款为由减慢施工进度或停止施工，</w:t>
      </w:r>
      <w:r>
        <w:rPr>
          <w:rFonts w:hint="eastAsia" w:ascii="宋体" w:hAnsi="宋体" w:eastAsia="宋体" w:cs="宋体"/>
          <w:b/>
          <w:bCs/>
          <w:color w:val="auto"/>
          <w:sz w:val="21"/>
          <w:szCs w:val="21"/>
          <w:highlight w:val="none"/>
          <w:lang w:eastAsia="zh-CN"/>
        </w:rPr>
        <w:t>乙方需自筹资金保证本工程按期完成</w:t>
      </w:r>
      <w:r>
        <w:rPr>
          <w:rFonts w:hint="eastAsia" w:ascii="宋体" w:hAnsi="宋体" w:eastAsia="宋体" w:cs="宋体"/>
          <w:b/>
          <w:color w:val="auto"/>
          <w:sz w:val="21"/>
          <w:szCs w:val="21"/>
          <w:highlight w:val="none"/>
          <w:lang w:eastAsia="zh-CN"/>
        </w:rPr>
        <w:t>；不以缓付、迟付工程款为由拒绝办理过程结算、竣工结算。</w:t>
      </w:r>
    </w:p>
    <w:p w14:paraId="6DC390E2">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987" w:name="_Toc175764434"/>
      <w:bookmarkStart w:id="988" w:name="_Toc101963497"/>
      <w:r>
        <w:rPr>
          <w:rFonts w:hint="eastAsia" w:ascii="宋体" w:hAnsi="宋体" w:eastAsia="宋体" w:cs="宋体"/>
          <w:b/>
          <w:color w:val="auto"/>
          <w:sz w:val="21"/>
          <w:szCs w:val="21"/>
          <w:highlight w:val="none"/>
          <w:lang w:eastAsia="zh-CN"/>
        </w:rPr>
        <w:t>过程结算</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14:paraId="59538398">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乙方应按合同约定的时间和内容向甲方提交计量周期的已完成的工程量报告。乙方提交已完成的工程量报告的时间、内容和计量周期见专用合同条款。</w:t>
      </w:r>
    </w:p>
    <w:p w14:paraId="309670F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乙方必须满足“月结月清”要求，每次过程结算内容必须包含图纸施工内容、及经相关人员签字确认的合同外签证变更索赔等所有乙方发生内容，超期补报视为无效。</w:t>
      </w:r>
    </w:p>
    <w:p w14:paraId="3F6A62AD">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对工程量有异议的，可以要求乙方进行共同复核或抽样复测。乙方应协助甲方进行复核或抽样复测，并按甲方要求提供补充计量资料。乙方未按甲方要求参加复核或抽样复测的，甲方复核或修正的工程量视为乙方实际完成的工程量。</w:t>
      </w:r>
    </w:p>
    <w:p w14:paraId="0A0B829E">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根据审核通过的工程量报告，编制过程结算资料，甲方和乙方应在过程结算资料编制完毕后2日内对过程结算资料予以书面确认，乙方需加盖公章。乙方应在书面确认后2日内开具已确认过程结算金额的全额增值税专用发票。</w:t>
      </w:r>
    </w:p>
    <w:p w14:paraId="522363F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过程结算审核必须经过甲方项目部、公司等各层级相关部门审核并签字后方可生效，仅甲方项目部项目经理签字的结算书不作为过程结算确认依据。</w:t>
      </w:r>
    </w:p>
    <w:p w14:paraId="39BE4F9D">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989" w:name="_Toc4798"/>
      <w:bookmarkStart w:id="990" w:name="_Toc21709"/>
      <w:bookmarkStart w:id="991" w:name="_Toc27851"/>
      <w:bookmarkStart w:id="992" w:name="_Toc24796"/>
      <w:bookmarkStart w:id="993" w:name="_Toc27329"/>
      <w:bookmarkStart w:id="994" w:name="_Toc14052"/>
      <w:bookmarkStart w:id="995" w:name="_Toc26856"/>
      <w:bookmarkStart w:id="996" w:name="_Toc8694"/>
      <w:bookmarkStart w:id="997" w:name="_Toc101963498"/>
      <w:bookmarkStart w:id="998" w:name="_Toc9353"/>
      <w:bookmarkStart w:id="999" w:name="_Toc175764435"/>
      <w:bookmarkStart w:id="1000" w:name="_Toc6494"/>
      <w:bookmarkStart w:id="1001" w:name="_Toc28888"/>
      <w:bookmarkStart w:id="1002" w:name="_Toc20927"/>
      <w:bookmarkStart w:id="1003" w:name="_Toc101357439"/>
      <w:bookmarkStart w:id="1004" w:name="_Toc26755"/>
      <w:bookmarkStart w:id="1005" w:name="_Toc9893"/>
      <w:r>
        <w:rPr>
          <w:rFonts w:hint="eastAsia" w:ascii="宋体" w:hAnsi="宋体" w:eastAsia="宋体" w:cs="宋体"/>
          <w:b/>
          <w:color w:val="auto"/>
          <w:sz w:val="21"/>
          <w:szCs w:val="21"/>
          <w:highlight w:val="none"/>
          <w:lang w:eastAsia="zh-CN"/>
        </w:rPr>
        <w:t>最终</w:t>
      </w:r>
      <w:r>
        <w:rPr>
          <w:rFonts w:hint="eastAsia" w:ascii="宋体" w:hAnsi="宋体" w:eastAsia="宋体" w:cs="宋体"/>
          <w:b/>
          <w:color w:val="auto"/>
          <w:sz w:val="21"/>
          <w:szCs w:val="21"/>
          <w:highlight w:val="none"/>
        </w:rPr>
        <w:t>结算</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14:paraId="08194E6B">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分包工程完工验收合格后30天内，乙方向甲方提交经乙方签字盖章并装订成册的结算报告及完整的结算资料，包含内容见专用合同条款。结算资料一经提交，乙方不得更改或补充。超过本分包工程完工验收合格后60天或经甲方催促后14天，乙方仍未向甲方提交完整结算资料或明确答复的，甲方可以根据已有资料进行审查，确定双方的结算金额，并单方面出具书面结算资料，以快递或电子邮件形式发送乙方，若在三日内未收到乙方回复，则视同乙方已认可该结算，并将该结算作为双方最终结算。该结算金额对乙方具有约束力，乙方无权再提出疑义，由此带来的全部责任和后果由乙方自负。</w:t>
      </w:r>
    </w:p>
    <w:p w14:paraId="7E72602B">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对结算报告有异议的，可以要求乙方进行共同复核或抽样复测。乙方应协助甲方进行复核或抽样复测，并按甲方要求提供补充结算资料。乙方未按甲方要求参加复核或抽样复测的，甲方复核或修正的结算金额视为乙方实际完成的结算金额。</w:t>
      </w:r>
    </w:p>
    <w:p w14:paraId="06D9520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分包工程结算必须经过甲方项目部、子企业、集团总部等相关部门审核，甲方根据通过审核的结算资料编制完工结算书，甲方和乙方应在完工结算书编制完毕后30日内予以书面确认，结算书经双方签字盖章后方可生效，仅甲方项目部相关人员签字的结算书不作为最终双方确认依据。</w:t>
      </w:r>
    </w:p>
    <w:p w14:paraId="535E3AD0">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最终结算价款根据合同价格形式，按照专用条款约定执行。</w:t>
      </w:r>
    </w:p>
    <w:p w14:paraId="706B1F81">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本分包工程可根据施工形象进度办理分阶段最终结算，办理原则和要求与上述最终结算条款约定一致。</w:t>
      </w:r>
    </w:p>
    <w:p w14:paraId="33A08E89">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1006" w:name="_Toc101357441"/>
      <w:bookmarkStart w:id="1007" w:name="_Toc175764436"/>
      <w:bookmarkStart w:id="1008" w:name="_Toc101963499"/>
      <w:bookmarkStart w:id="1009" w:name="_Toc2774"/>
      <w:bookmarkStart w:id="1010" w:name="_Toc12386"/>
      <w:bookmarkStart w:id="1011" w:name="_Toc29076"/>
      <w:bookmarkStart w:id="1012" w:name="_Toc22036"/>
      <w:bookmarkStart w:id="1013" w:name="_Toc3706"/>
      <w:bookmarkStart w:id="1014" w:name="_Toc40"/>
      <w:bookmarkStart w:id="1015" w:name="_Toc4750"/>
      <w:bookmarkStart w:id="1016" w:name="_Toc1823"/>
      <w:bookmarkStart w:id="1017" w:name="_Toc19831"/>
      <w:bookmarkStart w:id="1018" w:name="_Toc21233"/>
      <w:bookmarkStart w:id="1019" w:name="_Toc12374"/>
      <w:bookmarkStart w:id="1020" w:name="_Toc16415"/>
      <w:bookmarkStart w:id="1021" w:name="_Toc19855"/>
      <w:bookmarkStart w:id="1022" w:name="_Toc25864"/>
      <w:r>
        <w:rPr>
          <w:rFonts w:hint="eastAsia" w:ascii="宋体" w:hAnsi="宋体" w:eastAsia="宋体" w:cs="宋体"/>
          <w:b/>
          <w:color w:val="auto"/>
          <w:sz w:val="21"/>
          <w:szCs w:val="21"/>
          <w:highlight w:val="none"/>
          <w:lang w:eastAsia="zh-CN"/>
        </w:rPr>
        <w:t>完工验收</w:t>
      </w:r>
      <w:bookmarkEnd w:id="1006"/>
      <w:bookmarkEnd w:id="1007"/>
      <w:bookmarkEnd w:id="1008"/>
    </w:p>
    <w:p w14:paraId="2DDAF8A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甲方有作业规范要求的，乙方的分包作业还应当满足甲方的作业规范要求。甲方可以随时对乙方实施的分包作业进行监督检查。</w:t>
      </w:r>
    </w:p>
    <w:p w14:paraId="40F638B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本分包工程具备以下完工验收条件后，乙方方可向甲方提交完工验收申请报告：</w:t>
      </w:r>
    </w:p>
    <w:p w14:paraId="24AC1652">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工程完工后，乙方应在完工验收10日前，向甲方提交完工验收报告和竣工资料。乙方提供资料数据并配合甲方做好竣工验收各项资料，资料费用由乙方承担。相关资料包括：分包资质报验表及其附件；乙方现场代表授权文书及现场人员通讯录（均需加盖公章）；材料进场报验表及其所附的材料试验、复试报告；隐蔽工程和中间验收记录的原始技术资料；提供办理工程竣工图的数据与资料；其他为完成竣工验收所需要的一切附件资料。</w:t>
      </w:r>
    </w:p>
    <w:p w14:paraId="6C968CF1">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乙方在工程完工后应通知甲方、监理办理完工验收，在甲方、监理在完工验收单上签字，明确表示本工程符合合同约定的质量标准后，方被认为工程完工。甲方、监理在完工验收单上签字时间为本工程完工时间。</w:t>
      </w:r>
    </w:p>
    <w:p w14:paraId="2F350572">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协助甲方办理整体工程竣工验收，及时完成验收提出的整改内容；并提交产品合格证、竣工报告及符合工程所在地地方标准的资料。如因缺项、漏项或资料不合格等情况，影响分包工程结算、工程款或质量保证金支付，相应责任由乙方承担。</w:t>
      </w:r>
    </w:p>
    <w:p w14:paraId="15A5B53C">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bookmarkStart w:id="1023" w:name="_Toc101357443"/>
      <w:r>
        <w:rPr>
          <w:rFonts w:hint="eastAsia" w:ascii="宋体" w:hAnsi="宋体" w:eastAsia="宋体" w:cs="宋体"/>
          <w:color w:val="auto"/>
          <w:sz w:val="21"/>
          <w:szCs w:val="21"/>
          <w:highlight w:val="none"/>
          <w:lang w:eastAsia="zh-CN"/>
        </w:rPr>
        <w:t>甲方审查后，认为尚不具备验收条件的，应通知乙方在完工验收前尚需完成的工作内容，乙方应在完成甲方通知的全部工作内容后，再次提交完工验收申请报告。甲方审查后，认为已具备验收条件的，应在专用合同条款约定的时间内进行验收。验收合格的，则视为工程完工验收通过。验收不合格的，甲方应通知乙方进行整改，整改完成后重新办理验收，由此增加的费用和（或）工期延误由乙方承担。</w:t>
      </w:r>
      <w:bookmarkEnd w:id="1023"/>
      <w:bookmarkStart w:id="1024" w:name="_Toc101357444"/>
    </w:p>
    <w:p w14:paraId="4BABF6F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经验收合格的工程，实际完工日期为乙方按第 18.2 款提交完工验收申请报告或按该款重新提交完工验收申请报告的日期（以两者中时间在后者为准）。</w:t>
      </w:r>
      <w:bookmarkEnd w:id="1024"/>
    </w:p>
    <w:p w14:paraId="3BB4E6A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bookmarkStart w:id="1025" w:name="_Toc101357445"/>
      <w:r>
        <w:rPr>
          <w:rFonts w:hint="eastAsia" w:ascii="宋体" w:hAnsi="宋体" w:eastAsia="宋体" w:cs="宋体"/>
          <w:color w:val="auto"/>
          <w:sz w:val="21"/>
          <w:szCs w:val="21"/>
          <w:highlight w:val="none"/>
          <w:lang w:eastAsia="zh-CN"/>
        </w:rPr>
        <w:t>检查检验合格后，又发现因乙方原因引起的质量问题，仍由乙方承担返修责任及费用，赔偿甲方因此造成的损失。甲方并不为其检查检验的行为承担任何责任。造成工期延误的，按照合同协议书约定承担违约金并赔偿甲方损失。</w:t>
      </w:r>
    </w:p>
    <w:p w14:paraId="43EA613D">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分包作业经验收合格后，乙方应当按照甲方指示及时将该分包作业交付甲方，不得以双方存在争议为由拒绝将该分包作业交付甲方。</w:t>
      </w:r>
    </w:p>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5"/>
    <w:p w14:paraId="60045AA1">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1026" w:name="_Toc101366205"/>
      <w:bookmarkEnd w:id="1026"/>
      <w:bookmarkStart w:id="1027" w:name="_Toc15786"/>
      <w:bookmarkStart w:id="1028" w:name="_Toc17265"/>
      <w:bookmarkStart w:id="1029" w:name="_Toc101357447"/>
      <w:bookmarkStart w:id="1030" w:name="_Toc29742"/>
      <w:bookmarkStart w:id="1031" w:name="_Toc28445"/>
      <w:bookmarkStart w:id="1032" w:name="_Toc16080"/>
      <w:bookmarkStart w:id="1033" w:name="_Toc16570"/>
      <w:bookmarkStart w:id="1034" w:name="_Toc230"/>
      <w:bookmarkStart w:id="1035" w:name="_Toc15912"/>
      <w:bookmarkStart w:id="1036" w:name="_Toc5861"/>
      <w:bookmarkStart w:id="1037" w:name="_Toc28979"/>
      <w:bookmarkStart w:id="1038" w:name="_Toc20068"/>
      <w:bookmarkStart w:id="1039" w:name="_Toc3049"/>
      <w:bookmarkStart w:id="1040" w:name="_Toc24385"/>
      <w:bookmarkStart w:id="1041" w:name="_Toc101963501"/>
      <w:bookmarkStart w:id="1042" w:name="_Toc24000"/>
      <w:bookmarkStart w:id="1043" w:name="_Toc175764437"/>
      <w:r>
        <w:rPr>
          <w:rFonts w:hint="eastAsia" w:ascii="宋体" w:hAnsi="宋体" w:eastAsia="宋体" w:cs="宋体"/>
          <w:b/>
          <w:color w:val="auto"/>
          <w:sz w:val="21"/>
          <w:szCs w:val="21"/>
          <w:highlight w:val="none"/>
        </w:rPr>
        <w:t>履约</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r>
        <w:rPr>
          <w:rFonts w:hint="eastAsia" w:ascii="宋体" w:hAnsi="宋体" w:eastAsia="宋体" w:cs="宋体"/>
          <w:b/>
          <w:color w:val="auto"/>
          <w:sz w:val="21"/>
          <w:szCs w:val="21"/>
          <w:highlight w:val="none"/>
          <w:lang w:eastAsia="zh-CN"/>
        </w:rPr>
        <w:t>保证</w:t>
      </w:r>
      <w:bookmarkEnd w:id="1043"/>
    </w:p>
    <w:p w14:paraId="13E09387">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乙方应在合同签订的同时，按专用合同条款约定向甲方提交履约保函（或提供同等金额的履约保证金）。该保函应为独立、不可撤销、见索即付的银行保函，且采取甲方和乙方双方同意的格式，开具保函的机构须经甲方同意，为执行本款所发生的费用应由乙方承担。未提交履约保函或保证金的，进度款不予支付。</w:t>
      </w:r>
    </w:p>
    <w:p w14:paraId="1D2332A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本分包工程交（竣）工验收合格之前，乙方应保证履约担保持续有效。若分包工程尚未完工验收或办理完成最终结算，则乙方应在履约担保期满前28天内延长履约担保的有效期，直至分包工程完工验收合格并办理完成最终结算。履约保函（或履约保证金）的有效期至本分包工程完工验收合格并办理完成最终结算为止，在有效期满30日内扣除乙方违约金及应扣款项后将履约保函（或履约保证金）无息退还给乙方。</w:t>
      </w:r>
    </w:p>
    <w:p w14:paraId="5315722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当乙方未按约定履行合同而发生违约行为时，乙方应承担的违约金及因违约对甲方所造成的损失金额，甲方可无条件从履约担保中扣除违约金及相关损失并通知乙方，乙方有义务在接到上述通知后7天内将履约担保恢复到原金额。当乙方需承担的违约金及造成甲方的损失金额超出履约担保金额时，甲方可就超出数额向乙方追偿。</w:t>
      </w:r>
    </w:p>
    <w:p w14:paraId="41E21FBF">
      <w:pPr>
        <w:numPr>
          <w:ilvl w:val="0"/>
          <w:numId w:val="6"/>
        </w:numPr>
        <w:kinsoku w:val="0"/>
        <w:spacing w:after="0" w:line="360" w:lineRule="auto"/>
        <w:jc w:val="both"/>
        <w:outlineLvl w:val="1"/>
        <w:rPr>
          <w:rFonts w:hint="eastAsia" w:ascii="宋体" w:hAnsi="宋体" w:eastAsia="宋体" w:cs="宋体"/>
          <w:b/>
          <w:color w:val="auto"/>
          <w:kern w:val="10"/>
          <w:sz w:val="21"/>
          <w:szCs w:val="21"/>
          <w:highlight w:val="none"/>
        </w:rPr>
      </w:pPr>
      <w:bookmarkStart w:id="1044" w:name="_Toc32222"/>
      <w:bookmarkStart w:id="1045" w:name="_Toc11409"/>
      <w:bookmarkStart w:id="1046" w:name="_Toc28929"/>
      <w:bookmarkStart w:id="1047" w:name="_Toc13622"/>
      <w:bookmarkStart w:id="1048" w:name="_Toc13752"/>
      <w:bookmarkStart w:id="1049" w:name="_Toc3211"/>
      <w:bookmarkStart w:id="1050" w:name="_Toc101357448"/>
      <w:bookmarkStart w:id="1051" w:name="_Toc5026"/>
      <w:bookmarkStart w:id="1052" w:name="_Toc19247"/>
      <w:bookmarkStart w:id="1053" w:name="_Toc29175"/>
      <w:bookmarkStart w:id="1054" w:name="_Toc101963502"/>
      <w:bookmarkStart w:id="1055" w:name="_Toc19980"/>
      <w:bookmarkStart w:id="1056" w:name="_Toc175764438"/>
      <w:bookmarkStart w:id="1057" w:name="_Toc24258"/>
      <w:bookmarkStart w:id="1058" w:name="_Toc15725"/>
      <w:bookmarkStart w:id="1059" w:name="_Toc23026"/>
      <w:bookmarkStart w:id="1060" w:name="_Toc29227"/>
      <w:r>
        <w:rPr>
          <w:rFonts w:hint="eastAsia" w:ascii="宋体" w:hAnsi="宋体" w:eastAsia="宋体" w:cs="宋体"/>
          <w:b/>
          <w:color w:val="auto"/>
          <w:sz w:val="21"/>
          <w:szCs w:val="21"/>
          <w:highlight w:val="none"/>
          <w:lang w:eastAsia="zh-CN"/>
        </w:rPr>
        <w:t>缺陷责任与</w:t>
      </w:r>
      <w:r>
        <w:rPr>
          <w:rFonts w:hint="eastAsia" w:ascii="宋体" w:hAnsi="宋体" w:eastAsia="宋体" w:cs="宋体"/>
          <w:b/>
          <w:color w:val="auto"/>
          <w:sz w:val="21"/>
          <w:szCs w:val="21"/>
          <w:highlight w:val="none"/>
        </w:rPr>
        <w:t>保修</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14:paraId="45689E95">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乙方应在缺陷责任期内对已交付使用的工程承担缺陷责任。缺陷责任期的起始时间和缺陷责任期的期限见专用合同条款。</w:t>
      </w:r>
    </w:p>
    <w:p w14:paraId="454D7AC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乙方应在质量保修期内对已交付使用的工程承担保修责任。质量保修期的起始时间和质量保修期的期限见专用合同条款。</w:t>
      </w:r>
    </w:p>
    <w:p w14:paraId="1F12650B">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10"/>
          <w:sz w:val="21"/>
          <w:szCs w:val="21"/>
          <w:highlight w:val="none"/>
          <w:lang w:eastAsia="zh-CN"/>
        </w:rPr>
        <w:t>乙方在质量保修期内，按照有关法律、法规、规章的管理规定和双方约定，承担本分包工程质量保修责任。保修金在保修期满后30天内无息支付。</w:t>
      </w:r>
      <w:r>
        <w:rPr>
          <w:rFonts w:hint="eastAsia" w:ascii="宋体" w:hAnsi="宋体" w:eastAsia="宋体" w:cs="宋体"/>
          <w:color w:val="auto"/>
          <w:sz w:val="21"/>
          <w:szCs w:val="21"/>
          <w:highlight w:val="none"/>
          <w:lang w:eastAsia="zh-CN"/>
        </w:rPr>
        <w:t>乙方负责承包范围的保修工作，保修期及保修内容均按照甲方与总承包合同的相应规定执行，保修期满后，并不免除乙方的施工质量责任。</w:t>
      </w:r>
    </w:p>
    <w:p w14:paraId="675F8E54">
      <w:pPr>
        <w:numPr>
          <w:ilvl w:val="1"/>
          <w:numId w:val="6"/>
        </w:numPr>
        <w:kinsoku w:val="0"/>
        <w:spacing w:after="0" w:line="360" w:lineRule="auto"/>
        <w:jc w:val="both"/>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rPr>
        <w:t>质量保修责任</w:t>
      </w:r>
    </w:p>
    <w:p w14:paraId="3F978433">
      <w:pPr>
        <w:numPr>
          <w:ilvl w:val="2"/>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sz w:val="21"/>
          <w:szCs w:val="21"/>
          <w:highlight w:val="none"/>
          <w:lang w:eastAsia="zh-CN"/>
        </w:rPr>
        <w:t>属于保修范围、内容的项目，乙方应当在接到保修通知之日起24小时内派人保修。乙方不在约定期限内派人保修的，甲方可以委托第三方完成维修工作，发生的所有费用由乙方承担，因乙方拒绝维修导致额外的损失，甲方可向乙方追偿，同时乙方仍需承担由第三方代为施工的工程范围的质量及后期维修责任。</w:t>
      </w:r>
    </w:p>
    <w:p w14:paraId="2AEF280F">
      <w:pPr>
        <w:numPr>
          <w:ilvl w:val="2"/>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发生紧急抢修事故时，乙方在接到事故通知后，应当立即到达事故现场抢修。</w:t>
      </w:r>
    </w:p>
    <w:p w14:paraId="5FEBF0DD">
      <w:pPr>
        <w:numPr>
          <w:ilvl w:val="2"/>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乙方的操作工艺、材料质量、施工质量存在的缺陷以及为修补该缺陷而需进行的剔凿和恢复以及其它相关工作，若乙方自身技术水平与资质不能胜任类似工作时，甲方可以指定其他施工队伍完成相关作业，全部费用由乙方承担。</w:t>
      </w:r>
    </w:p>
    <w:p w14:paraId="0BCFF801">
      <w:pPr>
        <w:numPr>
          <w:ilvl w:val="2"/>
          <w:numId w:val="6"/>
        </w:numPr>
        <w:kinsoku w:val="0"/>
        <w:spacing w:after="0" w:line="360" w:lineRule="auto"/>
        <w:jc w:val="both"/>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lang w:eastAsia="zh-CN"/>
        </w:rPr>
        <w:t>对于涉及结构安全的质量问题，应当按照行业规定，立即向当地建设行政主管部门报告，采取安全防范措施；由原设计单位或者具有相应资质等级的设计单位提出保修方案，乙方实施保修作业。</w:t>
      </w:r>
      <w:r>
        <w:rPr>
          <w:rFonts w:hint="eastAsia" w:ascii="宋体" w:hAnsi="宋体" w:eastAsia="宋体" w:cs="宋体"/>
          <w:color w:val="auto"/>
          <w:kern w:val="10"/>
          <w:sz w:val="21"/>
          <w:szCs w:val="21"/>
          <w:highlight w:val="none"/>
        </w:rPr>
        <w:t>相关费用由乙方承担。</w:t>
      </w:r>
    </w:p>
    <w:p w14:paraId="078BFF4A">
      <w:pPr>
        <w:numPr>
          <w:ilvl w:val="2"/>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质量问题保修完成后，由建设单位、使用方会同甲方组织验收，各方验收合格后当次保修即告结束。</w:t>
      </w:r>
    </w:p>
    <w:p w14:paraId="2AAC1436">
      <w:pPr>
        <w:numPr>
          <w:ilvl w:val="1"/>
          <w:numId w:val="6"/>
        </w:numPr>
        <w:kinsoku w:val="0"/>
        <w:spacing w:after="0" w:line="360" w:lineRule="auto"/>
        <w:jc w:val="both"/>
        <w:rPr>
          <w:rFonts w:hint="eastAsia" w:ascii="宋体" w:hAnsi="宋体" w:eastAsia="宋体" w:cs="宋体"/>
          <w:color w:val="auto"/>
          <w:kern w:val="10"/>
          <w:sz w:val="21"/>
          <w:szCs w:val="21"/>
          <w:highlight w:val="none"/>
        </w:rPr>
      </w:pPr>
      <w:r>
        <w:rPr>
          <w:rFonts w:hint="eastAsia" w:ascii="宋体" w:hAnsi="宋体" w:eastAsia="宋体" w:cs="宋体"/>
          <w:color w:val="auto"/>
          <w:kern w:val="10"/>
          <w:sz w:val="21"/>
          <w:szCs w:val="21"/>
          <w:highlight w:val="none"/>
          <w:lang w:eastAsia="zh-CN"/>
        </w:rPr>
        <w:t xml:space="preserve"> </w:t>
      </w:r>
      <w:r>
        <w:rPr>
          <w:rFonts w:hint="eastAsia" w:ascii="宋体" w:hAnsi="宋体" w:eastAsia="宋体" w:cs="宋体"/>
          <w:color w:val="auto"/>
          <w:kern w:val="10"/>
          <w:sz w:val="21"/>
          <w:szCs w:val="21"/>
          <w:highlight w:val="none"/>
        </w:rPr>
        <w:t>保修费用与赔偿责任</w:t>
      </w:r>
    </w:p>
    <w:p w14:paraId="5349642B">
      <w:pPr>
        <w:numPr>
          <w:ilvl w:val="2"/>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保修费用由造成质量缺陷的责任方承担。</w:t>
      </w:r>
    </w:p>
    <w:p w14:paraId="5B5D289B">
      <w:pPr>
        <w:numPr>
          <w:ilvl w:val="2"/>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如乙方施工质量缺陷、工艺缺陷、材料老化等缺陷与瑕疵给使用方、建设单位造成人员物资财产等直接损失以及其它间接损失均由乙方负责赔偿。</w:t>
      </w:r>
    </w:p>
    <w:p w14:paraId="55FB6E12">
      <w:pPr>
        <w:numPr>
          <w:ilvl w:val="2"/>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为返修以及受它影响的相关联工作所需费用由乙方承担。</w:t>
      </w:r>
    </w:p>
    <w:p w14:paraId="723D5498">
      <w:pPr>
        <w:numPr>
          <w:ilvl w:val="2"/>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因</w:t>
      </w:r>
      <w:r>
        <w:rPr>
          <w:rFonts w:hint="eastAsia" w:ascii="宋体" w:hAnsi="宋体" w:eastAsia="宋体" w:cs="宋体"/>
          <w:color w:val="auto"/>
          <w:sz w:val="21"/>
          <w:szCs w:val="21"/>
          <w:highlight w:val="none"/>
          <w:lang w:eastAsia="zh-CN"/>
        </w:rPr>
        <w:t>建设单位</w:t>
      </w:r>
      <w:r>
        <w:rPr>
          <w:rFonts w:hint="eastAsia" w:ascii="宋体" w:hAnsi="宋体" w:eastAsia="宋体" w:cs="宋体"/>
          <w:color w:val="auto"/>
          <w:kern w:val="10"/>
          <w:sz w:val="21"/>
          <w:szCs w:val="21"/>
          <w:highlight w:val="none"/>
          <w:lang w:eastAsia="zh-CN"/>
        </w:rPr>
        <w:t>、使用方使用或保养不当造成质量问题，乙方应尽义务进行维修，维修费用则由甲方牵头，乙方配合，向责任方索要，但甲方没有追索此项债务的义务。</w:t>
      </w:r>
    </w:p>
    <w:p w14:paraId="14567698">
      <w:pPr>
        <w:numPr>
          <w:ilvl w:val="2"/>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若合同双方对本分包工程质量发生争议，则共同约请当地省市项目建设行政主管部门下属质量监督总站或其它权威机构进行鉴定。如果鉴定结论乙方质量不合格，则鉴定费用由乙方承担。</w:t>
      </w:r>
    </w:p>
    <w:p w14:paraId="66C71A32">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保修金的返还：</w:t>
      </w:r>
      <w:r>
        <w:rPr>
          <w:rFonts w:hint="eastAsia" w:ascii="宋体" w:hAnsi="宋体" w:eastAsia="宋体" w:cs="宋体"/>
          <w:color w:val="auto"/>
          <w:kern w:val="10"/>
          <w:sz w:val="21"/>
          <w:szCs w:val="21"/>
          <w:highlight w:val="none"/>
          <w:lang w:eastAsia="zh-CN"/>
        </w:rPr>
        <w:t>缺陷责任期</w:t>
      </w:r>
      <w:r>
        <w:rPr>
          <w:rFonts w:hint="eastAsia" w:ascii="宋体" w:hAnsi="宋体" w:eastAsia="宋体" w:cs="宋体"/>
          <w:color w:val="auto"/>
          <w:sz w:val="21"/>
          <w:szCs w:val="21"/>
          <w:highlight w:val="none"/>
          <w:lang w:eastAsia="zh-CN"/>
        </w:rPr>
        <w:t>满后</w:t>
      </w:r>
      <w:r>
        <w:rPr>
          <w:rFonts w:hint="eastAsia" w:ascii="宋体" w:hAnsi="宋体" w:eastAsia="宋体" w:cs="宋体"/>
          <w:color w:val="auto"/>
          <w:kern w:val="10"/>
          <w:sz w:val="21"/>
          <w:szCs w:val="21"/>
          <w:highlight w:val="none"/>
          <w:lang w:eastAsia="zh-CN"/>
        </w:rPr>
        <w:t>，</w:t>
      </w:r>
      <w:r>
        <w:rPr>
          <w:rFonts w:hint="eastAsia" w:ascii="宋体" w:hAnsi="宋体" w:eastAsia="宋体" w:cs="宋体"/>
          <w:color w:val="auto"/>
          <w:sz w:val="21"/>
          <w:szCs w:val="21"/>
          <w:highlight w:val="none"/>
          <w:lang w:eastAsia="zh-CN"/>
        </w:rPr>
        <w:t>在合同约定工作全部完成并验收合格后办理最终结算，结算手续完成后，以及按合同规定扣除应扣的款项后，甲方将余款一次性（无息）返还给乙方。</w:t>
      </w:r>
    </w:p>
    <w:p w14:paraId="20480D4D">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保修金需扣除以下费用：</w:t>
      </w:r>
    </w:p>
    <w:p w14:paraId="2A5B79B2">
      <w:pPr>
        <w:pStyle w:val="87"/>
        <w:numPr>
          <w:ilvl w:val="0"/>
          <w:numId w:val="9"/>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甲方委托他人完成保修维修工作的费用；</w:t>
      </w:r>
    </w:p>
    <w:p w14:paraId="42295599">
      <w:pPr>
        <w:pStyle w:val="87"/>
        <w:numPr>
          <w:ilvl w:val="0"/>
          <w:numId w:val="9"/>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因乙方过失、责任而赔偿建设单位、使用方的相关损失；</w:t>
      </w:r>
    </w:p>
    <w:p w14:paraId="65C0D822">
      <w:pPr>
        <w:pStyle w:val="87"/>
        <w:numPr>
          <w:ilvl w:val="0"/>
          <w:numId w:val="9"/>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为返修以及其它与之相关联工作所需花费的费用（甲方代为支付时）；</w:t>
      </w:r>
    </w:p>
    <w:p w14:paraId="51A785B2">
      <w:pPr>
        <w:pStyle w:val="87"/>
        <w:numPr>
          <w:ilvl w:val="0"/>
          <w:numId w:val="9"/>
        </w:numPr>
        <w:tabs>
          <w:tab w:val="left" w:pos="0"/>
        </w:tabs>
        <w:kinsoku w:val="0"/>
        <w:spacing w:after="0" w:line="360" w:lineRule="auto"/>
        <w:ind w:firstLine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其它与保修维修有关的费用。</w:t>
      </w:r>
    </w:p>
    <w:p w14:paraId="653B3953">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保修金不计取任何利息。</w:t>
      </w:r>
    </w:p>
    <w:p w14:paraId="59831085">
      <w:pPr>
        <w:numPr>
          <w:ilvl w:val="0"/>
          <w:numId w:val="6"/>
        </w:numPr>
        <w:kinsoku w:val="0"/>
        <w:spacing w:after="0" w:line="360" w:lineRule="auto"/>
        <w:jc w:val="both"/>
        <w:outlineLvl w:val="1"/>
        <w:rPr>
          <w:rFonts w:hint="eastAsia" w:ascii="宋体" w:hAnsi="宋体" w:eastAsia="宋体" w:cs="宋体"/>
          <w:b/>
          <w:color w:val="auto"/>
          <w:kern w:val="10"/>
          <w:sz w:val="21"/>
          <w:szCs w:val="21"/>
          <w:highlight w:val="none"/>
        </w:rPr>
      </w:pPr>
      <w:bookmarkStart w:id="1061" w:name="_Toc101963503"/>
      <w:bookmarkStart w:id="1062" w:name="_Toc3537"/>
      <w:bookmarkStart w:id="1063" w:name="_Toc9963"/>
      <w:bookmarkStart w:id="1064" w:name="_Toc2139"/>
      <w:bookmarkStart w:id="1065" w:name="_Toc22219"/>
      <w:bookmarkStart w:id="1066" w:name="_Toc175764439"/>
      <w:bookmarkStart w:id="1067" w:name="_Toc9403"/>
      <w:bookmarkStart w:id="1068" w:name="_Toc21842"/>
      <w:bookmarkStart w:id="1069" w:name="_Toc28167"/>
      <w:bookmarkStart w:id="1070" w:name="_Toc1655"/>
      <w:bookmarkStart w:id="1071" w:name="_Toc24745"/>
      <w:bookmarkStart w:id="1072" w:name="_Toc7709"/>
      <w:bookmarkStart w:id="1073" w:name="_Toc28472"/>
      <w:bookmarkStart w:id="1074" w:name="_Toc28821"/>
      <w:bookmarkStart w:id="1075" w:name="_Toc15716"/>
      <w:bookmarkStart w:id="1076" w:name="_Toc101357449"/>
      <w:bookmarkStart w:id="1077" w:name="_Toc4112"/>
      <w:r>
        <w:rPr>
          <w:rFonts w:hint="eastAsia" w:ascii="宋体" w:hAnsi="宋体" w:eastAsia="宋体" w:cs="宋体"/>
          <w:b/>
          <w:color w:val="auto"/>
          <w:sz w:val="21"/>
          <w:szCs w:val="21"/>
          <w:highlight w:val="none"/>
        </w:rPr>
        <w:t>保险</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14:paraId="7403CDAB">
      <w:pPr>
        <w:numPr>
          <w:ilvl w:val="1"/>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甲方投保内容：施工人员意外伤害险。</w:t>
      </w:r>
    </w:p>
    <w:p w14:paraId="2945E288">
      <w:pPr>
        <w:numPr>
          <w:ilvl w:val="1"/>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乙方投保内容：乙方应自行办理并履行与本合同有关的各类保险，包括人身、财产、设备、工程、农民工工伤保险第三方责任等（不限于此），并在出险时自行向保险公司索赔，以保障乙方自身与工程的利益。否则，一切损失和后果由乙方自负。</w:t>
      </w:r>
    </w:p>
    <w:p w14:paraId="3C90A3AF">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为施工场地内自有人员生命财产和施工机械设备及用于本工程的材料和待安装设备办理保险，并支付保险费用。乙方应保持保单的有效性，并按照甲方的要求，在本分包合同履约期间，妥善保存此保单及保险费付款收据，并在甲方要求的情况下立即向甲方出示投保单和保险单。如果乙方未按约定办理上述保险且在甲方提醒后仍未办理，甲方可代为办理保险，并从应支付乙方工程款中扣除相应金额。</w:t>
      </w:r>
    </w:p>
    <w:p w14:paraId="6AECB9C1">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关于乙方雇佣的任何员工或其他人员的任何意外事故或伤害所引起的一切损失或法律补偿费，甲方均不负责任。乙方应使甲方免遭此类损失或补偿费，免遭此方面或与此相关的任何索赔、诉讼和费用。</w:t>
      </w:r>
    </w:p>
    <w:p w14:paraId="7975B9D5">
      <w:pPr>
        <w:numPr>
          <w:ilvl w:val="1"/>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保险事故发生时，乙方有责任尽力采取必要的措施，控制事态扩散，防止或者减少损失。</w:t>
      </w:r>
    </w:p>
    <w:p w14:paraId="56237D86">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1078" w:name="_Toc30407"/>
      <w:bookmarkStart w:id="1079" w:name="_Toc101357450"/>
      <w:bookmarkStart w:id="1080" w:name="_Toc12027"/>
      <w:bookmarkStart w:id="1081" w:name="_Toc16393"/>
      <w:bookmarkStart w:id="1082" w:name="_Toc24439"/>
      <w:bookmarkStart w:id="1083" w:name="_Toc7811"/>
      <w:bookmarkStart w:id="1084" w:name="_Toc27970"/>
      <w:bookmarkStart w:id="1085" w:name="_Toc17940"/>
      <w:bookmarkStart w:id="1086" w:name="_Toc24208"/>
      <w:bookmarkStart w:id="1087" w:name="_Toc3767"/>
      <w:bookmarkStart w:id="1088" w:name="_Toc175764440"/>
      <w:bookmarkStart w:id="1089" w:name="_Toc20112"/>
      <w:bookmarkStart w:id="1090" w:name="_Toc101963504"/>
      <w:bookmarkStart w:id="1091" w:name="_Toc4173"/>
      <w:bookmarkStart w:id="1092" w:name="_Toc1429"/>
      <w:bookmarkStart w:id="1093" w:name="_Toc22749"/>
      <w:bookmarkStart w:id="1094" w:name="_Toc11014"/>
      <w:r>
        <w:rPr>
          <w:rFonts w:hint="eastAsia" w:ascii="宋体" w:hAnsi="宋体" w:eastAsia="宋体" w:cs="宋体"/>
          <w:b/>
          <w:color w:val="auto"/>
          <w:sz w:val="21"/>
          <w:szCs w:val="21"/>
          <w:highlight w:val="none"/>
        </w:rPr>
        <w:t>不可抗力</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14:paraId="378011B8">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本合同所定不可抗力是指合同当事人在签订合同时不可预见，在合同履行过程中不可避免且不能克服的自然灾害和社会性突发事件，包括但不限于地震、海啸、瘟疫、骚乱、戒严、暴动、战争等。</w:t>
      </w:r>
    </w:p>
    <w:p w14:paraId="6828C40D">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不可抗力事件发生后，乙方应立即通知甲方，并在力所能及的条件下迅速采取措施，尽力减少损失，甲方应协助乙方采取措施。若因乙方未能尽力挽救，导致损失扩大的，由乙方承担全部责任。</w:t>
      </w:r>
    </w:p>
    <w:p w14:paraId="71215569">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认为乙方应当暂停工作的，乙方应暂停工作。不可抗力事件发生后24小时内乙方向甲方通报受害情况和损失情况，及预计清理和修复的费用，逾期提出的甲方不予认可。不可抗力事件持续发生，乙方应每隔7日向甲方报告一次受害情况。不可抗力事件结束后7日内，乙方向甲方提交清理和修复费用的正式报告及有关资料。</w:t>
      </w:r>
    </w:p>
    <w:p w14:paraId="18B4742A">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因不可抗力事件导致发生的下列费用由乙方承担：</w:t>
      </w:r>
    </w:p>
    <w:p w14:paraId="650B543B">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乙方人员伤亡。</w:t>
      </w:r>
    </w:p>
    <w:p w14:paraId="2875EBC0">
      <w:pPr>
        <w:numPr>
          <w:ilvl w:val="2"/>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乙方机械设备和材料的损坏、停工等造成的损失；</w:t>
      </w:r>
    </w:p>
    <w:p w14:paraId="5D4EF1F4">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工程自身的损害、因工程损害导致第三人伤亡、工程清理维修费由乙方配合甲方与建设单位协商处理。</w:t>
      </w:r>
    </w:p>
    <w:p w14:paraId="20F42E08">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在得到建设单位/监理对整体/分包工程的工期顺延许可后，分包工程延误的工期相应顺延。</w:t>
      </w:r>
    </w:p>
    <w:p w14:paraId="0A46D3C2">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因本合同一方迟延履行合同后发生不可抗力的，不能免除迟延责任方的相应责任。</w:t>
      </w:r>
    </w:p>
    <w:p w14:paraId="47ECA57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因单次不可抗力导致合同无法履行连续超过</w:t>
      </w:r>
      <w:r>
        <w:rPr>
          <w:rFonts w:hint="eastAsia" w:ascii="宋体" w:hAnsi="宋体" w:eastAsia="宋体" w:cs="宋体"/>
          <w:color w:val="auto"/>
          <w:sz w:val="21"/>
          <w:szCs w:val="21"/>
          <w:highlight w:val="none"/>
          <w:u w:val="single"/>
          <w:lang w:eastAsia="zh-CN"/>
        </w:rPr>
        <w:t>90</w:t>
      </w:r>
      <w:r>
        <w:rPr>
          <w:rFonts w:hint="eastAsia" w:ascii="宋体" w:hAnsi="宋体" w:eastAsia="宋体" w:cs="宋体"/>
          <w:color w:val="auto"/>
          <w:sz w:val="21"/>
          <w:szCs w:val="21"/>
          <w:highlight w:val="none"/>
          <w:lang w:eastAsia="zh-CN"/>
        </w:rPr>
        <w:t>天或累计超过</w:t>
      </w:r>
      <w:r>
        <w:rPr>
          <w:rFonts w:hint="eastAsia" w:ascii="宋体" w:hAnsi="宋体" w:eastAsia="宋体" w:cs="宋体"/>
          <w:color w:val="auto"/>
          <w:sz w:val="21"/>
          <w:szCs w:val="21"/>
          <w:highlight w:val="none"/>
          <w:u w:val="single"/>
          <w:lang w:eastAsia="zh-CN"/>
        </w:rPr>
        <w:t>120</w:t>
      </w:r>
      <w:r>
        <w:rPr>
          <w:rFonts w:hint="eastAsia" w:ascii="宋体" w:hAnsi="宋体" w:eastAsia="宋体" w:cs="宋体"/>
          <w:color w:val="auto"/>
          <w:sz w:val="21"/>
          <w:szCs w:val="21"/>
          <w:highlight w:val="none"/>
          <w:lang w:eastAsia="zh-CN"/>
        </w:rPr>
        <w:t>天的，甲乙双方均有权解除合同。合同解除后，双方应就已完工程的计量、验收、估价以及结算与付款等善后事宜达成补充协议。</w:t>
      </w:r>
    </w:p>
    <w:p w14:paraId="4B9B2684">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1095" w:name="_Toc101963505"/>
      <w:bookmarkStart w:id="1096" w:name="_Toc175764441"/>
      <w:bookmarkStart w:id="1097" w:name="_Toc21421"/>
      <w:bookmarkStart w:id="1098" w:name="_Toc11143"/>
      <w:bookmarkStart w:id="1099" w:name="_Toc12030"/>
      <w:bookmarkStart w:id="1100" w:name="_Toc21657"/>
      <w:bookmarkStart w:id="1101" w:name="_Toc24540"/>
      <w:bookmarkStart w:id="1102" w:name="_Toc19938"/>
      <w:bookmarkStart w:id="1103" w:name="_Toc29858"/>
      <w:bookmarkStart w:id="1104" w:name="_Toc17882"/>
      <w:bookmarkStart w:id="1105" w:name="_Toc3544"/>
      <w:bookmarkStart w:id="1106" w:name="_Toc24388"/>
      <w:bookmarkStart w:id="1107" w:name="_Toc32288"/>
      <w:bookmarkStart w:id="1108" w:name="_Toc636"/>
      <w:bookmarkStart w:id="1109" w:name="_Toc101357451"/>
      <w:bookmarkStart w:id="1110" w:name="_Toc16400"/>
      <w:bookmarkStart w:id="1111" w:name="_Toc2523"/>
      <w:r>
        <w:rPr>
          <w:rFonts w:hint="eastAsia" w:ascii="宋体" w:hAnsi="宋体" w:eastAsia="宋体" w:cs="宋体"/>
          <w:b/>
          <w:color w:val="auto"/>
          <w:sz w:val="21"/>
          <w:szCs w:val="21"/>
          <w:highlight w:val="none"/>
        </w:rPr>
        <w:t>违约</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14:paraId="5F0F60D8">
      <w:pPr>
        <w:numPr>
          <w:ilvl w:val="1"/>
          <w:numId w:val="6"/>
        </w:numPr>
        <w:kinsoku w:val="0"/>
        <w:spacing w:after="0" w:line="360" w:lineRule="auto"/>
        <w:jc w:val="both"/>
        <w:rPr>
          <w:rFonts w:hint="eastAsia" w:ascii="宋体" w:hAnsi="宋体" w:eastAsia="宋体" w:cs="宋体"/>
          <w:bCs/>
          <w:color w:val="auto"/>
          <w:sz w:val="21"/>
          <w:szCs w:val="21"/>
          <w:highlight w:val="none"/>
          <w:lang w:eastAsia="zh-CN"/>
        </w:rPr>
      </w:pPr>
      <w:r>
        <w:rPr>
          <w:rFonts w:hint="eastAsia" w:ascii="宋体" w:hAnsi="宋体" w:eastAsia="宋体" w:cs="宋体"/>
          <w:color w:val="auto"/>
          <w:kern w:val="10"/>
          <w:sz w:val="21"/>
          <w:szCs w:val="21"/>
          <w:highlight w:val="none"/>
          <w:lang w:eastAsia="zh-CN"/>
        </w:rPr>
        <w:t>合同双方任何一方不能全面履行本合同条款，均属违约；违约所造成的损失、后果、责任，概由违约方承担。</w:t>
      </w:r>
    </w:p>
    <w:p w14:paraId="2BBE9E87">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10"/>
          <w:sz w:val="21"/>
          <w:szCs w:val="21"/>
          <w:highlight w:val="none"/>
          <w:lang w:eastAsia="zh-CN"/>
        </w:rPr>
        <w:t>除非甲乙双方协商终止本合同，违约方承担前述违约责任、损失后仍需严格履行本合同。</w:t>
      </w:r>
    </w:p>
    <w:p w14:paraId="5663D1E6">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乙方对本合同承包范围内的分包作业向甲方负责，全部施工任务必须组织自有力量完成，严禁转包、挂靠和再分包</w:t>
      </w:r>
      <w:r>
        <w:rPr>
          <w:rFonts w:hint="eastAsia" w:ascii="宋体" w:hAnsi="宋体" w:eastAsia="宋体" w:cs="宋体"/>
          <w:color w:val="auto"/>
          <w:kern w:val="10"/>
          <w:sz w:val="21"/>
          <w:szCs w:val="21"/>
          <w:highlight w:val="none"/>
          <w:lang w:eastAsia="zh-CN"/>
        </w:rPr>
        <w:t>。</w:t>
      </w:r>
      <w:r>
        <w:rPr>
          <w:rFonts w:hint="eastAsia" w:ascii="宋体" w:hAnsi="宋体" w:eastAsia="宋体" w:cs="宋体"/>
          <w:color w:val="auto"/>
          <w:sz w:val="21"/>
          <w:szCs w:val="21"/>
          <w:highlight w:val="none"/>
          <w:lang w:eastAsia="zh-CN"/>
        </w:rPr>
        <w:t>否则一经发现</w:t>
      </w:r>
      <w:r>
        <w:rPr>
          <w:rFonts w:hint="eastAsia" w:ascii="宋体" w:hAnsi="宋体" w:eastAsia="宋体" w:cs="宋体"/>
          <w:color w:val="auto"/>
          <w:kern w:val="10"/>
          <w:sz w:val="21"/>
          <w:szCs w:val="21"/>
          <w:highlight w:val="none"/>
          <w:lang w:eastAsia="zh-CN"/>
        </w:rPr>
        <w:t>，乙方无条件退场，并承担由此带来的退场费用及赔偿甲方相应损失，缴纳的履约保证金不予返还，并将乙方列入甲方不合格协力队伍名录，不得参与甲方组织的任何形式的采购项目。</w:t>
      </w:r>
      <w:r>
        <w:rPr>
          <w:rFonts w:hint="eastAsia" w:ascii="宋体" w:hAnsi="宋体" w:eastAsia="宋体" w:cs="宋体"/>
          <w:color w:val="auto"/>
          <w:sz w:val="21"/>
          <w:szCs w:val="21"/>
          <w:highlight w:val="none"/>
          <w:lang w:eastAsia="zh-CN"/>
        </w:rPr>
        <w:t>乙方违反本合同可能产生的后果：如乙方有违反分包合同的行为，乙方应保障甲方免于承担因此违约造成的工期延误、经济损失及甲方将向建设单位负责的任何赔偿费，在此情况下，甲方可从本应支付乙方的任何价款中扣除此笔经济损失及赔偿费，并且不排除采用其它补救方法的可能。</w:t>
      </w:r>
    </w:p>
    <w:p w14:paraId="5CB60B0D">
      <w:pPr>
        <w:numPr>
          <w:ilvl w:val="1"/>
          <w:numId w:val="6"/>
        </w:numPr>
        <w:kinsoku w:val="0"/>
        <w:spacing w:after="0" w:line="360" w:lineRule="auto"/>
        <w:jc w:val="both"/>
        <w:rPr>
          <w:rFonts w:hint="eastAsia" w:ascii="宋体" w:hAnsi="宋体" w:eastAsia="宋体" w:cs="宋体"/>
          <w:b/>
          <w:bCs/>
          <w:color w:val="auto"/>
          <w:kern w:val="10"/>
          <w:sz w:val="21"/>
          <w:szCs w:val="21"/>
          <w:highlight w:val="none"/>
          <w:lang w:eastAsia="zh-CN"/>
        </w:rPr>
      </w:pPr>
      <w:r>
        <w:rPr>
          <w:rFonts w:hint="eastAsia" w:ascii="宋体" w:hAnsi="宋体" w:eastAsia="宋体" w:cs="宋体"/>
          <w:b/>
          <w:bCs/>
          <w:color w:val="auto"/>
          <w:kern w:val="10"/>
          <w:sz w:val="21"/>
          <w:szCs w:val="21"/>
          <w:highlight w:val="none"/>
          <w:lang w:eastAsia="zh-CN"/>
        </w:rPr>
        <w:t xml:space="preserve"> 如乙方出现以下违约行为，甲方可发出书面指令要求其立即纠正并承担违约所造成的损失：</w:t>
      </w:r>
    </w:p>
    <w:p w14:paraId="1601A94A">
      <w:pPr>
        <w:kinsoku w:val="0"/>
        <w:spacing w:after="0" w:line="360" w:lineRule="auto"/>
        <w:jc w:val="both"/>
        <w:rPr>
          <w:rFonts w:hint="eastAsia" w:ascii="宋体" w:hAnsi="宋体" w:eastAsia="宋体" w:cs="宋体"/>
          <w:b/>
          <w:bCs/>
          <w:color w:val="auto"/>
          <w:kern w:val="10"/>
          <w:sz w:val="21"/>
          <w:szCs w:val="21"/>
          <w:highlight w:val="none"/>
          <w:lang w:eastAsia="zh-CN"/>
        </w:rPr>
      </w:pPr>
      <w:r>
        <w:rPr>
          <w:rFonts w:hint="eastAsia" w:ascii="宋体" w:hAnsi="宋体" w:eastAsia="宋体" w:cs="宋体"/>
          <w:b/>
          <w:bCs/>
          <w:color w:val="auto"/>
          <w:kern w:val="10"/>
          <w:sz w:val="21"/>
          <w:szCs w:val="21"/>
          <w:highlight w:val="none"/>
          <w:lang w:eastAsia="zh-CN"/>
        </w:rPr>
        <w:t>（1）在竣工之前，没有合理原因，完全搁置工程停止施工；</w:t>
      </w:r>
    </w:p>
    <w:p w14:paraId="1245D3DA">
      <w:pPr>
        <w:kinsoku w:val="0"/>
        <w:spacing w:after="0" w:line="360" w:lineRule="auto"/>
        <w:jc w:val="both"/>
        <w:rPr>
          <w:rFonts w:hint="eastAsia" w:ascii="宋体" w:hAnsi="宋体" w:eastAsia="宋体" w:cs="宋体"/>
          <w:b/>
          <w:bCs/>
          <w:color w:val="auto"/>
          <w:kern w:val="10"/>
          <w:sz w:val="21"/>
          <w:szCs w:val="21"/>
          <w:highlight w:val="none"/>
          <w:lang w:eastAsia="zh-CN"/>
        </w:rPr>
      </w:pPr>
      <w:r>
        <w:rPr>
          <w:rFonts w:hint="eastAsia" w:ascii="宋体" w:hAnsi="宋体" w:eastAsia="宋体" w:cs="宋体"/>
          <w:b/>
          <w:bCs/>
          <w:color w:val="auto"/>
          <w:kern w:val="10"/>
          <w:sz w:val="21"/>
          <w:szCs w:val="21"/>
          <w:highlight w:val="none"/>
          <w:lang w:eastAsia="zh-CN"/>
        </w:rPr>
        <w:t>（2）拒绝执行甲方要求其修补缺陷或更换不适用的材料和（或）物品等的书面通知；</w:t>
      </w:r>
    </w:p>
    <w:p w14:paraId="4FB0DAB2">
      <w:pPr>
        <w:kinsoku w:val="0"/>
        <w:spacing w:after="0" w:line="360" w:lineRule="auto"/>
        <w:jc w:val="both"/>
        <w:rPr>
          <w:rFonts w:hint="eastAsia" w:ascii="宋体" w:hAnsi="宋体" w:eastAsia="宋体" w:cs="宋体"/>
          <w:b/>
          <w:bCs/>
          <w:color w:val="auto"/>
          <w:kern w:val="10"/>
          <w:sz w:val="21"/>
          <w:szCs w:val="21"/>
          <w:highlight w:val="none"/>
          <w:lang w:eastAsia="zh-CN"/>
        </w:rPr>
      </w:pPr>
      <w:r>
        <w:rPr>
          <w:rFonts w:hint="eastAsia" w:ascii="宋体" w:hAnsi="宋体" w:eastAsia="宋体" w:cs="宋体"/>
          <w:b/>
          <w:bCs/>
          <w:color w:val="auto"/>
          <w:kern w:val="10"/>
          <w:sz w:val="21"/>
          <w:szCs w:val="21"/>
          <w:highlight w:val="none"/>
          <w:lang w:eastAsia="zh-CN"/>
        </w:rPr>
        <w:t>（3）未经甲方许可，乙方擅自将其承包的分包工程转包或再分包；</w:t>
      </w:r>
    </w:p>
    <w:p w14:paraId="199CA24C">
      <w:pPr>
        <w:kinsoku w:val="0"/>
        <w:spacing w:after="0" w:line="360" w:lineRule="auto"/>
        <w:jc w:val="both"/>
        <w:rPr>
          <w:rFonts w:hint="eastAsia" w:ascii="宋体" w:hAnsi="宋体" w:eastAsia="宋体" w:cs="宋体"/>
          <w:b/>
          <w:bCs/>
          <w:color w:val="auto"/>
          <w:kern w:val="10"/>
          <w:sz w:val="21"/>
          <w:szCs w:val="21"/>
          <w:highlight w:val="none"/>
          <w:lang w:eastAsia="zh-CN"/>
        </w:rPr>
      </w:pPr>
      <w:r>
        <w:rPr>
          <w:rFonts w:hint="eastAsia" w:ascii="宋体" w:hAnsi="宋体" w:eastAsia="宋体" w:cs="宋体"/>
          <w:b/>
          <w:bCs/>
          <w:color w:val="auto"/>
          <w:kern w:val="10"/>
          <w:sz w:val="21"/>
          <w:szCs w:val="21"/>
          <w:highlight w:val="none"/>
          <w:lang w:eastAsia="zh-CN"/>
        </w:rPr>
        <w:t>（4）因乙方原因拖延工期，未能在约定的工期内或分段工期内完成分包工程或其中任何区段的工作；</w:t>
      </w:r>
    </w:p>
    <w:p w14:paraId="266D7536">
      <w:pPr>
        <w:kinsoku w:val="0"/>
        <w:spacing w:after="0" w:line="360" w:lineRule="auto"/>
        <w:jc w:val="both"/>
        <w:rPr>
          <w:rFonts w:hint="eastAsia" w:ascii="宋体" w:hAnsi="宋体" w:eastAsia="宋体" w:cs="宋体"/>
          <w:b/>
          <w:bCs/>
          <w:color w:val="auto"/>
          <w:kern w:val="10"/>
          <w:sz w:val="21"/>
          <w:szCs w:val="21"/>
          <w:highlight w:val="none"/>
          <w:lang w:eastAsia="zh-CN"/>
        </w:rPr>
      </w:pPr>
      <w:r>
        <w:rPr>
          <w:rFonts w:hint="eastAsia" w:ascii="宋体" w:hAnsi="宋体" w:eastAsia="宋体" w:cs="宋体"/>
          <w:b/>
          <w:bCs/>
          <w:color w:val="auto"/>
          <w:kern w:val="10"/>
          <w:sz w:val="21"/>
          <w:szCs w:val="21"/>
          <w:highlight w:val="none"/>
          <w:lang w:eastAsia="zh-CN"/>
        </w:rPr>
        <w:t>（5）因乙方原因工程质量达不到本分包合同约定的质量标准和质量目标；</w:t>
      </w:r>
    </w:p>
    <w:p w14:paraId="5CF15FA6">
      <w:pPr>
        <w:kinsoku w:val="0"/>
        <w:spacing w:after="0" w:line="360" w:lineRule="auto"/>
        <w:jc w:val="both"/>
        <w:rPr>
          <w:rFonts w:hint="eastAsia" w:ascii="宋体" w:hAnsi="宋体" w:eastAsia="宋体" w:cs="宋体"/>
          <w:b/>
          <w:bCs/>
          <w:color w:val="auto"/>
          <w:kern w:val="10"/>
          <w:sz w:val="21"/>
          <w:szCs w:val="21"/>
          <w:highlight w:val="none"/>
          <w:lang w:eastAsia="zh-CN"/>
        </w:rPr>
      </w:pPr>
      <w:r>
        <w:rPr>
          <w:rFonts w:hint="eastAsia" w:ascii="宋体" w:hAnsi="宋体" w:eastAsia="宋体" w:cs="宋体"/>
          <w:b/>
          <w:bCs/>
          <w:color w:val="auto"/>
          <w:kern w:val="10"/>
          <w:sz w:val="21"/>
          <w:szCs w:val="21"/>
          <w:highlight w:val="none"/>
          <w:lang w:eastAsia="zh-CN"/>
        </w:rPr>
        <w:t>（6）合同中约定的其他违约行为。</w:t>
      </w:r>
    </w:p>
    <w:p w14:paraId="296EEE88">
      <w:pPr>
        <w:numPr>
          <w:ilvl w:val="1"/>
          <w:numId w:val="6"/>
        </w:numPr>
        <w:kinsoku w:val="0"/>
        <w:spacing w:after="0" w:line="360" w:lineRule="auto"/>
        <w:jc w:val="both"/>
        <w:rPr>
          <w:rFonts w:hint="eastAsia" w:ascii="宋体" w:hAnsi="宋体" w:eastAsia="宋体" w:cs="宋体"/>
          <w:b/>
          <w:bCs/>
          <w:color w:val="auto"/>
          <w:kern w:val="10"/>
          <w:sz w:val="21"/>
          <w:szCs w:val="21"/>
          <w:highlight w:val="none"/>
          <w:lang w:eastAsia="zh-CN"/>
        </w:rPr>
      </w:pPr>
      <w:r>
        <w:rPr>
          <w:rFonts w:hint="eastAsia" w:ascii="宋体" w:hAnsi="宋体" w:eastAsia="宋体" w:cs="宋体"/>
          <w:b/>
          <w:bCs/>
          <w:color w:val="auto"/>
          <w:kern w:val="10"/>
          <w:sz w:val="21"/>
          <w:szCs w:val="21"/>
          <w:highlight w:val="none"/>
          <w:lang w:eastAsia="zh-CN"/>
        </w:rPr>
        <w:t>甲方可将乙方违约金从乙方缴纳的全部履约保证金或履约保函中直接扣除，也可从任何一笔应支付乙方的工程款中直接扣除，甲方应付乙方的工程款不足以覆盖上述款项的，可以向乙方追偿。乙方对此知悉并同意，且甲方可解除合同，解除合同造成的全部损失由乙方承担。</w:t>
      </w:r>
    </w:p>
    <w:p w14:paraId="7B932B5F">
      <w:pPr>
        <w:numPr>
          <w:ilvl w:val="1"/>
          <w:numId w:val="6"/>
        </w:numPr>
        <w:kinsoku w:val="0"/>
        <w:spacing w:after="0" w:line="360" w:lineRule="auto"/>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若因乙方违约引发纠纷或诉讼，导致甲方参与诉讼或承担连带责任的，甲方可按发生费用或产生损失的两倍向乙方要求赔偿，包括但不限于诉讼费、代理费、差旅费等。</w:t>
      </w:r>
    </w:p>
    <w:p w14:paraId="75FE7FD8">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1112" w:name="_Toc29483"/>
      <w:bookmarkStart w:id="1113" w:name="_Toc14437"/>
      <w:bookmarkStart w:id="1114" w:name="_Toc10565"/>
      <w:bookmarkStart w:id="1115" w:name="_Toc5929"/>
      <w:bookmarkStart w:id="1116" w:name="_Toc27878"/>
      <w:bookmarkStart w:id="1117" w:name="_Toc15409"/>
      <w:bookmarkStart w:id="1118" w:name="_Toc24440"/>
      <w:bookmarkStart w:id="1119" w:name="_Toc101963506"/>
      <w:bookmarkStart w:id="1120" w:name="_Toc175764442"/>
      <w:bookmarkStart w:id="1121" w:name="_Toc1784"/>
      <w:bookmarkStart w:id="1122" w:name="_Toc14525"/>
      <w:bookmarkStart w:id="1123" w:name="_Toc7104"/>
      <w:bookmarkStart w:id="1124" w:name="_Toc10915"/>
      <w:bookmarkStart w:id="1125" w:name="_Toc27114"/>
      <w:bookmarkStart w:id="1126" w:name="_Toc1773"/>
      <w:bookmarkStart w:id="1127" w:name="_Toc101357452"/>
      <w:bookmarkStart w:id="1128" w:name="_Toc22303"/>
      <w:r>
        <w:rPr>
          <w:rFonts w:hint="eastAsia" w:ascii="宋体" w:hAnsi="宋体" w:eastAsia="宋体" w:cs="宋体"/>
          <w:b/>
          <w:color w:val="auto"/>
          <w:sz w:val="21"/>
          <w:szCs w:val="21"/>
          <w:highlight w:val="none"/>
        </w:rPr>
        <w:t>争议解决</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14:paraId="78EB2B86">
      <w:pPr>
        <w:kinsoku w:val="0"/>
        <w:spacing w:after="0" w:line="360" w:lineRule="auto"/>
        <w:ind w:left="158" w:leftChars="75"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双方发生争议时，可以通过协商解决。不愿通过协商或者协商不成，按专用合同条款约定的方式解决。</w:t>
      </w:r>
    </w:p>
    <w:p w14:paraId="48AB5157">
      <w:pPr>
        <w:numPr>
          <w:ilvl w:val="0"/>
          <w:numId w:val="6"/>
        </w:numPr>
        <w:kinsoku w:val="0"/>
        <w:spacing w:after="0" w:line="360" w:lineRule="auto"/>
        <w:jc w:val="both"/>
        <w:outlineLvl w:val="1"/>
        <w:rPr>
          <w:rFonts w:hint="eastAsia" w:ascii="宋体" w:hAnsi="宋体" w:eastAsia="宋体" w:cs="宋体"/>
          <w:b/>
          <w:color w:val="auto"/>
          <w:sz w:val="21"/>
          <w:szCs w:val="21"/>
          <w:highlight w:val="none"/>
        </w:rPr>
      </w:pPr>
      <w:bookmarkStart w:id="1129" w:name="_Toc18320"/>
      <w:bookmarkStart w:id="1130" w:name="_Toc175764443"/>
      <w:bookmarkStart w:id="1131" w:name="_Toc6947"/>
      <w:bookmarkStart w:id="1132" w:name="_Toc10296"/>
      <w:bookmarkStart w:id="1133" w:name="_Toc10531"/>
      <w:bookmarkStart w:id="1134" w:name="_Toc16949"/>
      <w:bookmarkStart w:id="1135" w:name="_Toc19144"/>
      <w:bookmarkStart w:id="1136" w:name="_Toc2614"/>
      <w:bookmarkStart w:id="1137" w:name="_Toc3107"/>
      <w:bookmarkStart w:id="1138" w:name="_Toc101963507"/>
      <w:bookmarkStart w:id="1139" w:name="_Toc15940"/>
      <w:bookmarkStart w:id="1140" w:name="_Toc7256"/>
      <w:bookmarkStart w:id="1141" w:name="_Toc5260"/>
      <w:bookmarkStart w:id="1142" w:name="_Toc10150"/>
      <w:bookmarkStart w:id="1143" w:name="_Toc7711"/>
      <w:bookmarkStart w:id="1144" w:name="_Toc101357453"/>
      <w:bookmarkStart w:id="1145" w:name="_Toc21888"/>
      <w:r>
        <w:rPr>
          <w:rFonts w:hint="eastAsia" w:ascii="宋体" w:hAnsi="宋体" w:eastAsia="宋体" w:cs="宋体"/>
          <w:b/>
          <w:color w:val="auto"/>
          <w:sz w:val="21"/>
          <w:szCs w:val="21"/>
          <w:highlight w:val="none"/>
        </w:rPr>
        <w:t>合同终止</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14:paraId="41393582">
      <w:pPr>
        <w:numPr>
          <w:ilvl w:val="1"/>
          <w:numId w:val="6"/>
        </w:numPr>
        <w:kinsoku w:val="0"/>
        <w:spacing w:after="0" w:line="360" w:lineRule="auto"/>
        <w:jc w:val="both"/>
        <w:rPr>
          <w:rFonts w:hint="eastAsia" w:ascii="宋体" w:hAnsi="宋体" w:eastAsia="宋体" w:cs="宋体"/>
          <w:color w:val="auto"/>
          <w:kern w:val="10"/>
          <w:sz w:val="21"/>
          <w:szCs w:val="21"/>
          <w:highlight w:val="none"/>
          <w:lang w:eastAsia="zh-CN"/>
        </w:rPr>
      </w:pPr>
      <w:bookmarkStart w:id="1146" w:name="_Toc22366613"/>
      <w:r>
        <w:rPr>
          <w:rFonts w:hint="eastAsia" w:ascii="宋体" w:hAnsi="宋体" w:eastAsia="宋体" w:cs="宋体"/>
          <w:color w:val="auto"/>
          <w:kern w:val="10"/>
          <w:sz w:val="21"/>
          <w:szCs w:val="21"/>
          <w:highlight w:val="none"/>
          <w:lang w:eastAsia="zh-CN"/>
        </w:rPr>
        <w:t>在乙方交付齐全有效的技术资料，履行完保修职责，保修期结束，本合同即告终止</w:t>
      </w:r>
      <w:bookmarkEnd w:id="1146"/>
      <w:bookmarkStart w:id="1147" w:name="_Toc22366614"/>
      <w:r>
        <w:rPr>
          <w:rFonts w:hint="eastAsia" w:ascii="宋体" w:hAnsi="宋体" w:eastAsia="宋体" w:cs="宋体"/>
          <w:color w:val="auto"/>
          <w:kern w:val="10"/>
          <w:sz w:val="21"/>
          <w:szCs w:val="21"/>
          <w:highlight w:val="none"/>
          <w:lang w:eastAsia="zh-CN"/>
        </w:rPr>
        <w:t>。</w:t>
      </w:r>
    </w:p>
    <w:p w14:paraId="1FF276D9">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如乙方发生了本合同约定的违约行为，在接到甲方发出的书面指令后，违约行为仍未停止或再次发生的，甲方可选择行使如下权利：</w:t>
      </w:r>
    </w:p>
    <w:p w14:paraId="51DEFAC6">
      <w:p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（1）以书面形式通知乙方解除本分包合同；</w:t>
      </w:r>
    </w:p>
    <w:p w14:paraId="758C5662">
      <w:p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（2）将分包工程中的部分内容交由其他单位完成，相关费用由甲方从分包工程价款中扣除，由此给甲方造成的额外成本由乙方承担。</w:t>
      </w:r>
    </w:p>
    <w:p w14:paraId="2BCE9E4C">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如果乙方发生破产、解散、关闭等已不能实际履行分包合同义务的情形，甲方可在通知乙方后，解除本分包合同。</w:t>
      </w:r>
    </w:p>
    <w:p w14:paraId="3359ED91">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因不可抗力发生导致全部分包合同的履行成为不可能时，甲方、乙方均有权解除合同。</w:t>
      </w:r>
    </w:p>
    <w:p w14:paraId="74ECB7F3">
      <w:pPr>
        <w:numPr>
          <w:ilvl w:val="1"/>
          <w:numId w:val="6"/>
        </w:numPr>
        <w:kinsoku w:val="0"/>
        <w:spacing w:after="0" w:line="360" w:lineRule="auto"/>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不论基于何种原因而导致甲方与建设单位之间的合同解除时，甲乙双方间的合同都同时无条件予以解除</w:t>
      </w:r>
      <w:bookmarkEnd w:id="1147"/>
      <w:r>
        <w:rPr>
          <w:rFonts w:hint="eastAsia" w:ascii="宋体" w:hAnsi="宋体" w:eastAsia="宋体" w:cs="宋体"/>
          <w:b/>
          <w:bCs/>
          <w:color w:val="auto"/>
          <w:sz w:val="21"/>
          <w:szCs w:val="21"/>
          <w:highlight w:val="none"/>
          <w:lang w:eastAsia="zh-CN"/>
        </w:rPr>
        <w:t>。如因建设单位的原因致使本合同无法履行，或因建设单位原因造成工程停建或缓建的，此情况下，甲方享有合同单方解除权。甲方向乙方发出的解除通知到达乙方时，合同解除。合同未开始履行的，双方互不承担责任，已经履行的，按实结算。</w:t>
      </w:r>
    </w:p>
    <w:p w14:paraId="497A66E0">
      <w:pPr>
        <w:numPr>
          <w:ilvl w:val="1"/>
          <w:numId w:val="6"/>
        </w:numPr>
        <w:kinsoku w:val="0"/>
        <w:spacing w:after="0" w:line="360" w:lineRule="auto"/>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协商解除：甲方和乙方协商一致，可以解除分包合同。合同解除后，乙方应妥善做好已完劳务作业和剩余材料、设备的保护和移交工作，按甲方要求撤出劳务作业场地。有过错的一方应当赔偿因合同解除给对方造成的损失。合同解除后，不影响双方在合同中约定的结算和清理条款的效力。</w:t>
      </w:r>
    </w:p>
    <w:p w14:paraId="5D37341C">
      <w:pPr>
        <w:pStyle w:val="11"/>
        <w:kinsoku w:val="0"/>
        <w:rPr>
          <w:color w:val="auto"/>
          <w:highlight w:val="none"/>
        </w:rPr>
      </w:pPr>
    </w:p>
    <w:p w14:paraId="7623F64E">
      <w:pPr>
        <w:kinsoku w:val="0"/>
        <w:spacing w:after="0" w:line="360" w:lineRule="auto"/>
        <w:jc w:val="both"/>
        <w:rPr>
          <w:rFonts w:hint="eastAsia" w:ascii="宋体" w:hAnsi="宋体" w:eastAsia="宋体" w:cs="宋体"/>
          <w:color w:val="auto"/>
          <w:sz w:val="21"/>
          <w:szCs w:val="21"/>
          <w:highlight w:val="none"/>
          <w:lang w:eastAsia="zh-CN"/>
        </w:rPr>
        <w:sectPr>
          <w:pgSz w:w="11906" w:h="16838"/>
          <w:pgMar w:top="1134" w:right="1134" w:bottom="1134" w:left="1134" w:header="851" w:footer="567" w:gutter="0"/>
          <w:cols w:space="720" w:num="1"/>
          <w:docGrid w:type="lines" w:linePitch="312" w:charSpace="0"/>
        </w:sectPr>
      </w:pPr>
    </w:p>
    <w:p w14:paraId="2D8B6D77">
      <w:pPr>
        <w:kinsoku w:val="0"/>
        <w:spacing w:line="360" w:lineRule="auto"/>
        <w:ind w:left="158" w:leftChars="75"/>
        <w:jc w:val="center"/>
        <w:outlineLvl w:val="0"/>
        <w:rPr>
          <w:rFonts w:hint="eastAsia" w:ascii="宋体" w:hAnsi="宋体"/>
          <w:b/>
          <w:color w:val="auto"/>
          <w:sz w:val="32"/>
          <w:szCs w:val="32"/>
          <w:highlight w:val="none"/>
          <w:lang w:eastAsia="zh-CN"/>
        </w:rPr>
      </w:pPr>
      <w:bookmarkStart w:id="1148" w:name="_Toc18104"/>
      <w:bookmarkStart w:id="1149" w:name="_Toc175764444"/>
      <w:bookmarkStart w:id="1150" w:name="_Toc101963508"/>
      <w:bookmarkStart w:id="1151" w:name="_Toc15486"/>
      <w:bookmarkStart w:id="1152" w:name="_Toc25841"/>
      <w:bookmarkStart w:id="1153" w:name="_Toc17855"/>
      <w:bookmarkStart w:id="1154" w:name="_Toc32179"/>
      <w:bookmarkStart w:id="1155" w:name="_Toc27110"/>
      <w:bookmarkStart w:id="1156" w:name="_Toc13080"/>
      <w:bookmarkStart w:id="1157" w:name="_Toc101357454"/>
      <w:bookmarkStart w:id="1158" w:name="_Toc17545"/>
      <w:bookmarkStart w:id="1159" w:name="_Toc11775"/>
      <w:bookmarkStart w:id="1160" w:name="_Toc13270"/>
      <w:bookmarkStart w:id="1161" w:name="_Toc19925"/>
      <w:bookmarkStart w:id="1162" w:name="_Toc3113"/>
      <w:bookmarkStart w:id="1163" w:name="_Toc5490"/>
      <w:bookmarkStart w:id="1164" w:name="_Toc29769"/>
      <w:bookmarkStart w:id="1165" w:name="_Toc4053"/>
      <w:bookmarkStart w:id="1166" w:name="_Toc20138"/>
      <w:bookmarkStart w:id="1167" w:name="_Toc5434"/>
      <w:bookmarkStart w:id="1168" w:name="_Toc5528"/>
      <w:r>
        <w:rPr>
          <w:rFonts w:hint="eastAsia" w:ascii="宋体" w:hAnsi="宋体"/>
          <w:b/>
          <w:color w:val="auto"/>
          <w:sz w:val="32"/>
          <w:szCs w:val="32"/>
          <w:highlight w:val="none"/>
          <w:lang w:eastAsia="zh-CN"/>
        </w:rPr>
        <w:t>第三部分 专用合同条款</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13E06B6D">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lang w:eastAsia="zh-CN"/>
        </w:rPr>
      </w:pPr>
      <w:bookmarkStart w:id="1169" w:name="A3"/>
      <w:bookmarkEnd w:id="1169"/>
      <w:bookmarkStart w:id="1170" w:name="_Toc16194"/>
      <w:bookmarkStart w:id="1171" w:name="_Toc101963509"/>
      <w:bookmarkStart w:id="1172" w:name="_Toc31398"/>
      <w:bookmarkStart w:id="1173" w:name="_Toc20370"/>
      <w:bookmarkStart w:id="1174" w:name="_Toc12407"/>
      <w:bookmarkStart w:id="1175" w:name="_Toc4138"/>
      <w:bookmarkStart w:id="1176" w:name="_Toc31761"/>
      <w:bookmarkStart w:id="1177" w:name="_Toc24755"/>
      <w:bookmarkStart w:id="1178" w:name="_Toc7247"/>
      <w:bookmarkStart w:id="1179" w:name="_Toc24232"/>
      <w:bookmarkStart w:id="1180" w:name="_Toc16664"/>
      <w:bookmarkStart w:id="1181" w:name="_Toc10805"/>
      <w:bookmarkStart w:id="1182" w:name="_Toc14356"/>
      <w:bookmarkStart w:id="1183" w:name="_Toc6416"/>
      <w:bookmarkStart w:id="1184" w:name="_Toc1640"/>
      <w:bookmarkStart w:id="1185" w:name="_Toc101357455"/>
      <w:bookmarkStart w:id="1186" w:name="_Toc16663"/>
      <w:bookmarkStart w:id="1187" w:name="_Toc5201"/>
      <w:bookmarkStart w:id="1188" w:name="_Toc22656"/>
      <w:bookmarkStart w:id="1189" w:name="_Toc175764445"/>
      <w:bookmarkStart w:id="1190" w:name="_Toc14288"/>
      <w:r>
        <w:rPr>
          <w:rFonts w:hint="eastAsia" w:ascii="宋体" w:hAnsi="宋体" w:eastAsia="宋体" w:cs="宋体"/>
          <w:b/>
          <w:color w:val="auto"/>
          <w:sz w:val="21"/>
          <w:szCs w:val="21"/>
          <w:highlight w:val="none"/>
          <w:lang w:eastAsia="zh-CN"/>
        </w:rPr>
        <w:t>词语解释</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14:paraId="5887FF57">
      <w:pPr>
        <w:kinsoku w:val="0"/>
        <w:spacing w:after="0" w:line="360" w:lineRule="auto"/>
        <w:ind w:firstLine="420" w:firstLineChars="200"/>
        <w:jc w:val="both"/>
        <w:rPr>
          <w:rFonts w:hint="eastAsia" w:ascii="宋体" w:hAnsi="宋体" w:eastAsia="宋体" w:cs="宋体"/>
          <w:b/>
          <w:color w:val="auto"/>
          <w:sz w:val="21"/>
          <w:szCs w:val="21"/>
          <w:highlight w:val="none"/>
          <w:lang w:eastAsia="zh-CN"/>
        </w:rPr>
      </w:pPr>
      <w:r>
        <w:rPr>
          <w:rFonts w:hint="eastAsia" w:ascii="宋体" w:hAnsi="宋体" w:eastAsia="宋体" w:cs="宋体"/>
          <w:color w:val="auto"/>
          <w:sz w:val="21"/>
          <w:szCs w:val="21"/>
          <w:highlight w:val="none"/>
          <w:lang w:eastAsia="zh-CN"/>
        </w:rPr>
        <w:t>见通用合同条款。</w:t>
      </w:r>
    </w:p>
    <w:p w14:paraId="690F7258">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lang w:eastAsia="zh-CN"/>
        </w:rPr>
      </w:pPr>
      <w:bookmarkStart w:id="1191" w:name="_Toc21059"/>
      <w:bookmarkStart w:id="1192" w:name="_Toc21218"/>
      <w:bookmarkStart w:id="1193" w:name="_Toc7851"/>
      <w:bookmarkStart w:id="1194" w:name="_Toc22681"/>
      <w:bookmarkStart w:id="1195" w:name="_Toc28016"/>
      <w:bookmarkStart w:id="1196" w:name="_Toc101357456"/>
      <w:bookmarkStart w:id="1197" w:name="_Toc29334"/>
      <w:bookmarkStart w:id="1198" w:name="_Toc27250"/>
      <w:bookmarkStart w:id="1199" w:name="_Toc5390"/>
      <w:bookmarkStart w:id="1200" w:name="_Toc18210"/>
      <w:bookmarkStart w:id="1201" w:name="_Toc22270"/>
      <w:bookmarkStart w:id="1202" w:name="_Toc30537"/>
      <w:bookmarkStart w:id="1203" w:name="_Toc4045"/>
      <w:bookmarkStart w:id="1204" w:name="_Toc18963"/>
      <w:bookmarkStart w:id="1205" w:name="_Toc14912"/>
      <w:bookmarkStart w:id="1206" w:name="_Toc30074"/>
      <w:bookmarkStart w:id="1207" w:name="_Toc13233"/>
      <w:bookmarkStart w:id="1208" w:name="_Toc175764446"/>
      <w:bookmarkStart w:id="1209" w:name="_Toc30330"/>
      <w:bookmarkStart w:id="1210" w:name="_Toc24088"/>
      <w:bookmarkStart w:id="1211" w:name="_Toc101963510"/>
      <w:r>
        <w:rPr>
          <w:rFonts w:hint="eastAsia" w:ascii="宋体" w:hAnsi="宋体" w:eastAsia="宋体" w:cs="宋体"/>
          <w:b/>
          <w:color w:val="auto"/>
          <w:sz w:val="21"/>
          <w:szCs w:val="21"/>
          <w:highlight w:val="none"/>
          <w:lang w:eastAsia="zh-CN"/>
        </w:rPr>
        <w:t>适用法律法规</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14:paraId="2C987673">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见通用合同条款。</w:t>
      </w:r>
    </w:p>
    <w:p w14:paraId="1C37B9A8">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lang w:eastAsia="zh-CN"/>
        </w:rPr>
      </w:pPr>
      <w:bookmarkStart w:id="1212" w:name="_Toc101963511"/>
      <w:bookmarkStart w:id="1213" w:name="_Toc101357457"/>
      <w:bookmarkStart w:id="1214" w:name="_Toc175764447"/>
      <w:bookmarkStart w:id="1215" w:name="_Toc4654"/>
      <w:bookmarkStart w:id="1216" w:name="_Toc25376"/>
      <w:bookmarkStart w:id="1217" w:name="_Toc30676"/>
      <w:bookmarkStart w:id="1218" w:name="_Toc8353"/>
      <w:bookmarkStart w:id="1219" w:name="_Toc16344"/>
      <w:bookmarkStart w:id="1220" w:name="_Toc24425"/>
      <w:bookmarkStart w:id="1221" w:name="_Toc22040"/>
      <w:bookmarkStart w:id="1222" w:name="_Toc28440"/>
      <w:bookmarkStart w:id="1223" w:name="_Toc20084"/>
      <w:bookmarkStart w:id="1224" w:name="_Toc7367"/>
      <w:bookmarkStart w:id="1225" w:name="_Toc28737"/>
      <w:bookmarkStart w:id="1226" w:name="_Toc30885"/>
      <w:bookmarkStart w:id="1227" w:name="_Toc32731"/>
      <w:bookmarkStart w:id="1228" w:name="_Toc4409"/>
      <w:bookmarkStart w:id="1229" w:name="_Toc2946"/>
      <w:bookmarkStart w:id="1230" w:name="_Toc19069"/>
      <w:bookmarkStart w:id="1231" w:name="_Toc13013"/>
      <w:bookmarkStart w:id="1232" w:name="_Toc18335"/>
      <w:r>
        <w:rPr>
          <w:rFonts w:hint="eastAsia" w:ascii="宋体" w:hAnsi="宋体" w:eastAsia="宋体" w:cs="宋体"/>
          <w:b/>
          <w:color w:val="auto"/>
          <w:sz w:val="21"/>
          <w:szCs w:val="21"/>
          <w:highlight w:val="none"/>
          <w:lang w:eastAsia="zh-CN"/>
        </w:rPr>
        <w:t>标准和规范</w:t>
      </w:r>
      <w:bookmarkEnd w:id="1212"/>
      <w:bookmarkEnd w:id="1213"/>
      <w:bookmarkEnd w:id="1214"/>
    </w:p>
    <w:p w14:paraId="09408D21">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见通用合同条款。</w:t>
      </w:r>
    </w:p>
    <w:p w14:paraId="0D7FB483">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lang w:eastAsia="zh-CN"/>
        </w:rPr>
      </w:pPr>
      <w:bookmarkStart w:id="1233" w:name="_Toc101357458"/>
      <w:bookmarkStart w:id="1234" w:name="_Toc101963512"/>
      <w:bookmarkStart w:id="1235" w:name="_Toc175764448"/>
      <w:r>
        <w:rPr>
          <w:rFonts w:hint="eastAsia" w:ascii="宋体" w:hAnsi="宋体" w:eastAsia="宋体" w:cs="宋体"/>
          <w:b/>
          <w:color w:val="auto"/>
          <w:sz w:val="21"/>
          <w:szCs w:val="21"/>
          <w:highlight w:val="none"/>
          <w:lang w:eastAsia="zh-CN"/>
        </w:rPr>
        <w:t>合同文件组成及解释顺序</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14:paraId="1D89E0A4">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见通用合同条款。</w:t>
      </w:r>
    </w:p>
    <w:p w14:paraId="6F4BC398">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lang w:eastAsia="zh-CN"/>
        </w:rPr>
      </w:pPr>
      <w:bookmarkStart w:id="1236" w:name="_Toc4207"/>
      <w:bookmarkStart w:id="1237" w:name="_Toc675"/>
      <w:bookmarkStart w:id="1238" w:name="_Toc101963513"/>
      <w:bookmarkStart w:id="1239" w:name="_Toc13464"/>
      <w:bookmarkStart w:id="1240" w:name="_Toc6089"/>
      <w:bookmarkStart w:id="1241" w:name="_Toc9407"/>
      <w:bookmarkStart w:id="1242" w:name="_Toc29034"/>
      <w:bookmarkStart w:id="1243" w:name="_Toc26951"/>
      <w:bookmarkStart w:id="1244" w:name="_Toc30159"/>
      <w:bookmarkStart w:id="1245" w:name="_Toc6303"/>
      <w:bookmarkStart w:id="1246" w:name="_Toc4639"/>
      <w:bookmarkStart w:id="1247" w:name="_Toc101357459"/>
      <w:bookmarkStart w:id="1248" w:name="_Toc2127"/>
      <w:bookmarkStart w:id="1249" w:name="_Toc12550"/>
      <w:bookmarkStart w:id="1250" w:name="_Toc175764449"/>
      <w:bookmarkStart w:id="1251" w:name="_Toc29551"/>
      <w:bookmarkStart w:id="1252" w:name="_Toc14134"/>
      <w:bookmarkStart w:id="1253" w:name="_Toc27367"/>
      <w:bookmarkStart w:id="1254" w:name="_Toc12596"/>
      <w:bookmarkStart w:id="1255" w:name="_Toc12286"/>
      <w:bookmarkStart w:id="1256" w:name="_Toc19399"/>
      <w:r>
        <w:rPr>
          <w:rFonts w:hint="eastAsia" w:ascii="宋体" w:hAnsi="宋体" w:eastAsia="宋体" w:cs="宋体"/>
          <w:b/>
          <w:color w:val="auto"/>
          <w:sz w:val="21"/>
          <w:szCs w:val="21"/>
          <w:highlight w:val="none"/>
          <w:lang w:eastAsia="zh-CN"/>
        </w:rPr>
        <w:t>甲方工作</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14:paraId="45AA4CB5">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5.1负责将电源配送至</w:t>
      </w:r>
      <w:r>
        <w:rPr>
          <w:rFonts w:hint="eastAsia" w:ascii="宋体" w:hAnsi="宋体" w:eastAsia="宋体" w:cs="宋体"/>
          <w:color w:val="auto"/>
          <w:sz w:val="21"/>
          <w:szCs w:val="21"/>
          <w:highlight w:val="none"/>
          <w:lang w:eastAsia="zh-CN"/>
        </w:rPr>
        <w:t>【一】级</w:t>
      </w:r>
      <w:r>
        <w:rPr>
          <w:rFonts w:hint="eastAsia" w:ascii="宋体" w:hAnsi="宋体" w:eastAsia="宋体" w:cs="宋体"/>
          <w:color w:val="auto"/>
          <w:sz w:val="21"/>
          <w:szCs w:val="21"/>
          <w:highlight w:val="none"/>
          <w:lang w:eastAsia="zh-CN"/>
        </w:rPr>
        <w:t>电箱。</w:t>
      </w:r>
    </w:p>
    <w:p w14:paraId="1BFAA5CC">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5.4甲方向乙方提供图纸的期限、数量：本分包合同签订后</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30</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天内，甲方向乙方提供</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1</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套图纸或电子图纸，乙方要求增加的图纸，由甲方提供，费用由乙方承担；乙方不得从设计单位索取或直接接收图纸。甲方根据现场实际情况对施工图纸进行变更、对工艺工序和施工方案以及进度计划进行调整、对乙方施工条件作出改变等。</w:t>
      </w:r>
    </w:p>
    <w:p w14:paraId="1624D536">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5.19甲方应履行的其他义务：</w:t>
      </w:r>
    </w:p>
    <w:p w14:paraId="6DD77A7B">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（1）提供现场临时办公室</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间，办公设备及办公家具由乙方自备；向乙方提供现场人员宿舍</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间，床铺、取暖及空调通风等其他住宿用品由乙方自备。乙方按照每月</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元/间向甲方缴纳临时用房租赁费用（不含水电费）。</w:t>
      </w:r>
    </w:p>
    <w:p w14:paraId="613F0EA2">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（2）水电费：施工和生活用水电费均由乙方承担。其中，施工用水电费按照</w:t>
      </w:r>
      <w:r>
        <w:rPr>
          <w:rFonts w:hint="eastAsia" w:ascii="宋体" w:hAnsi="宋体" w:eastAsia="宋体" w:cs="宋体"/>
          <w:color w:val="auto"/>
          <w:kern w:val="10"/>
          <w:sz w:val="21"/>
          <w:szCs w:val="21"/>
          <w:highlight w:val="none"/>
          <w:lang w:val="en-US" w:eastAsia="zh-CN"/>
        </w:rPr>
        <w:t>/</w:t>
      </w:r>
      <w:r>
        <w:rPr>
          <w:rFonts w:hint="eastAsia" w:ascii="宋体" w:hAnsi="宋体" w:eastAsia="宋体" w:cs="宋体"/>
          <w:color w:val="auto"/>
          <w:sz w:val="21"/>
          <w:szCs w:val="21"/>
          <w:highlight w:val="none"/>
          <w:lang w:eastAsia="zh-CN"/>
        </w:rPr>
        <w:t>单独挂表独立计量，其中水费</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9</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元/吨，电费</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3</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元/度。</w:t>
      </w:r>
      <w:r>
        <w:rPr>
          <w:rFonts w:hint="eastAsia" w:ascii="宋体" w:hAnsi="宋体" w:eastAsia="宋体" w:cs="宋体"/>
          <w:color w:val="auto"/>
          <w:kern w:val="10"/>
          <w:sz w:val="21"/>
          <w:szCs w:val="21"/>
          <w:highlight w:val="none"/>
          <w:lang w:eastAsia="zh-CN"/>
        </w:rPr>
        <w:t>生活用水电费按</w:t>
      </w:r>
      <w:r>
        <w:rPr>
          <w:rFonts w:hint="eastAsia" w:ascii="宋体" w:hAnsi="宋体" w:eastAsia="宋体" w:cs="宋体"/>
          <w:color w:val="auto"/>
          <w:sz w:val="21"/>
          <w:szCs w:val="21"/>
          <w:highlight w:val="none"/>
          <w:lang w:eastAsia="zh-CN"/>
        </w:rPr>
        <w:t>单独挂表独立计量，其中水费</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5</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元/吨，电费</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1.5</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元/度）</w:t>
      </w:r>
      <w:r>
        <w:rPr>
          <w:rFonts w:hint="eastAsia" w:ascii="宋体" w:hAnsi="宋体" w:eastAsia="宋体" w:cs="宋体"/>
          <w:color w:val="auto"/>
          <w:kern w:val="10"/>
          <w:sz w:val="21"/>
          <w:szCs w:val="21"/>
          <w:highlight w:val="none"/>
          <w:lang w:eastAsia="zh-CN"/>
        </w:rPr>
        <w:t>。乙方用水用电必须严格按甲方规定使用，杜绝浪费，否则经甲方查证将双倍扣除。若工人宿舍为外租房，水电设施由乙方自行解决，乙方按时交纳水电费并承担因房屋租赁引起的一切责任。</w:t>
      </w:r>
    </w:p>
    <w:p w14:paraId="3676958D">
      <w:pPr>
        <w:kinsoku w:val="0"/>
        <w:spacing w:after="0" w:line="360" w:lineRule="auto"/>
        <w:ind w:firstLine="420" w:firstLineChars="200"/>
        <w:jc w:val="both"/>
        <w:rPr>
          <w:rFonts w:hint="eastAsia" w:ascii="宋体" w:hAnsi="宋体" w:eastAsia="宋体" w:cs="宋体"/>
          <w:color w:val="auto"/>
          <w:kern w:val="10"/>
          <w:sz w:val="21"/>
          <w:szCs w:val="21"/>
          <w:highlight w:val="none"/>
          <w:lang w:val="en-US" w:eastAsia="zh-CN"/>
        </w:rPr>
      </w:pPr>
      <w:r>
        <w:rPr>
          <w:rFonts w:hint="eastAsia" w:ascii="宋体" w:hAnsi="宋体" w:eastAsia="宋体" w:cs="宋体"/>
          <w:color w:val="auto"/>
          <w:kern w:val="10"/>
          <w:sz w:val="21"/>
          <w:szCs w:val="21"/>
          <w:highlight w:val="none"/>
          <w:lang w:val="en-US" w:eastAsia="zh-CN"/>
        </w:rPr>
        <w:t>5.20总包方负责提供电源配送，电接至工地现场一级箱，在此之后所有实施本工程所需的临电设施（如电缆、电线、配电箱、开关、镝灯）均由分包方负责提供，电费按实际发生数量由分包方承担费用，结算时扣除，该费用分包方应在清单报价中充分考虑。</w:t>
      </w:r>
    </w:p>
    <w:p w14:paraId="549A1522">
      <w:pPr>
        <w:kinsoku w:val="0"/>
        <w:spacing w:after="0" w:line="360" w:lineRule="auto"/>
        <w:ind w:firstLine="420" w:firstLineChars="200"/>
        <w:jc w:val="both"/>
        <w:rPr>
          <w:rFonts w:hint="eastAsia" w:ascii="宋体" w:hAnsi="宋体" w:eastAsia="宋体" w:cs="宋体"/>
          <w:color w:val="auto"/>
          <w:kern w:val="10"/>
          <w:sz w:val="21"/>
          <w:szCs w:val="21"/>
          <w:highlight w:val="none"/>
          <w:lang w:val="en-US" w:eastAsia="zh-CN"/>
        </w:rPr>
      </w:pPr>
      <w:r>
        <w:rPr>
          <w:rFonts w:hint="eastAsia" w:ascii="宋体" w:hAnsi="宋体" w:eastAsia="宋体" w:cs="宋体"/>
          <w:color w:val="auto"/>
          <w:kern w:val="10"/>
          <w:sz w:val="21"/>
          <w:szCs w:val="21"/>
          <w:highlight w:val="none"/>
          <w:lang w:val="en-US" w:eastAsia="zh-CN"/>
        </w:rPr>
        <w:t>5.21总包方负责审核分包方实际完成的工程量，并按合同规定向分包方支付工程进度款。对分包方工程款的使用负有监督权。总包方有对已经审核过的计量、结算及支付帐单中的任何错误进行修改的权利。</w:t>
      </w:r>
    </w:p>
    <w:p w14:paraId="0B55F62B">
      <w:pPr>
        <w:kinsoku w:val="0"/>
        <w:spacing w:after="0" w:line="360" w:lineRule="auto"/>
        <w:ind w:firstLine="420" w:firstLineChars="200"/>
        <w:jc w:val="both"/>
        <w:rPr>
          <w:rFonts w:hint="eastAsia"/>
          <w:color w:val="auto"/>
          <w:highlight w:val="none"/>
          <w:lang w:eastAsia="zh-CN"/>
        </w:rPr>
      </w:pPr>
      <w:r>
        <w:rPr>
          <w:rFonts w:hint="eastAsia" w:ascii="宋体" w:hAnsi="宋体" w:eastAsia="宋体" w:cs="宋体"/>
          <w:color w:val="auto"/>
          <w:kern w:val="10"/>
          <w:sz w:val="21"/>
          <w:szCs w:val="21"/>
          <w:highlight w:val="none"/>
          <w:lang w:val="en-US" w:eastAsia="zh-CN"/>
        </w:rPr>
        <w:t>5.22</w:t>
      </w:r>
      <w:r>
        <w:rPr>
          <w:rFonts w:hint="default" w:ascii="宋体" w:hAnsi="宋体" w:eastAsia="宋体" w:cs="宋体"/>
          <w:color w:val="auto"/>
          <w:kern w:val="10"/>
          <w:sz w:val="21"/>
          <w:szCs w:val="21"/>
          <w:highlight w:val="none"/>
          <w:lang w:val="en-US" w:eastAsia="zh-CN"/>
        </w:rPr>
        <w:t>总包方对分包方执行考勤制度和请销假制度，分包方项目负责人、现场负责人和技术负责人每月在施工现场时间不少于22天，一天不在现场按1000元/日处罚；工地每周协调会必须参加，若发现一次未参加，支付违约金5000元，发现两次未参加支付违约金20000元，且当期进度款不予支付。若发生以上扣款分包方履约保证金不足，则在月度结算款中扣除。</w:t>
      </w:r>
    </w:p>
    <w:p w14:paraId="3D47D7F2">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257" w:name="_Toc101366224"/>
      <w:bookmarkEnd w:id="1257"/>
      <w:bookmarkStart w:id="1258" w:name="_Toc101366226"/>
      <w:bookmarkEnd w:id="1258"/>
      <w:bookmarkStart w:id="1259" w:name="_Toc101366219"/>
      <w:bookmarkEnd w:id="1259"/>
      <w:bookmarkStart w:id="1260" w:name="_Toc101366221"/>
      <w:bookmarkEnd w:id="1260"/>
      <w:bookmarkStart w:id="1261" w:name="_Toc101366222"/>
      <w:bookmarkEnd w:id="1261"/>
      <w:bookmarkStart w:id="1262" w:name="_Toc101366223"/>
      <w:bookmarkEnd w:id="1262"/>
      <w:bookmarkStart w:id="1263" w:name="_Toc101366225"/>
      <w:bookmarkEnd w:id="1263"/>
      <w:bookmarkStart w:id="1264" w:name="_Toc101366220"/>
      <w:bookmarkEnd w:id="1264"/>
      <w:bookmarkStart w:id="1265" w:name="_Toc497"/>
      <w:bookmarkStart w:id="1266" w:name="_Toc12823"/>
      <w:bookmarkStart w:id="1267" w:name="_Toc15681"/>
      <w:bookmarkStart w:id="1268" w:name="_Toc11989"/>
      <w:bookmarkStart w:id="1269" w:name="_Toc118"/>
      <w:bookmarkStart w:id="1270" w:name="_Toc30945"/>
      <w:bookmarkStart w:id="1271" w:name="_Toc20567"/>
      <w:bookmarkStart w:id="1272" w:name="_Toc11612"/>
      <w:bookmarkStart w:id="1273" w:name="_Toc175764450"/>
      <w:bookmarkStart w:id="1274" w:name="_Toc22484"/>
      <w:bookmarkStart w:id="1275" w:name="_Toc3920"/>
      <w:bookmarkStart w:id="1276" w:name="_Toc16841"/>
      <w:bookmarkStart w:id="1277" w:name="_Toc31864"/>
      <w:bookmarkStart w:id="1278" w:name="_Toc101963514"/>
      <w:bookmarkStart w:id="1279" w:name="_Toc19642"/>
      <w:bookmarkStart w:id="1280" w:name="_Toc9845"/>
      <w:bookmarkStart w:id="1281" w:name="_Toc4573"/>
      <w:bookmarkStart w:id="1282" w:name="_Toc21663"/>
      <w:bookmarkStart w:id="1283" w:name="_Toc27703"/>
      <w:bookmarkStart w:id="1284" w:name="_Toc101357460"/>
      <w:bookmarkStart w:id="1285" w:name="_Toc11907"/>
      <w:r>
        <w:rPr>
          <w:rFonts w:hint="eastAsia" w:ascii="宋体" w:hAnsi="宋体" w:eastAsia="宋体" w:cs="宋体"/>
          <w:b/>
          <w:color w:val="auto"/>
          <w:sz w:val="21"/>
          <w:szCs w:val="21"/>
          <w:highlight w:val="none"/>
          <w:lang w:eastAsia="zh-CN"/>
        </w:rPr>
        <w:t>乙方工作</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14:paraId="121609C1">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6.1</w:t>
      </w:r>
      <w:r>
        <w:rPr>
          <w:rFonts w:hint="eastAsia" w:ascii="宋体" w:hAnsi="宋体"/>
          <w:color w:val="auto"/>
          <w:sz w:val="21"/>
          <w:szCs w:val="21"/>
          <w:highlight w:val="none"/>
          <w:lang w:eastAsia="zh-CN"/>
        </w:rPr>
        <w:t>为提高乙方诚信能力，建立黑名单制度，乙方明确本项目负责人：</w:t>
      </w:r>
      <w:r>
        <w:rPr>
          <w:rFonts w:hint="eastAsia" w:ascii="宋体" w:hAnsi="宋体"/>
          <w:color w:val="auto"/>
          <w:sz w:val="21"/>
          <w:szCs w:val="21"/>
          <w:highlight w:val="none"/>
          <w:u w:val="single"/>
          <w:lang w:eastAsia="zh-CN"/>
        </w:rPr>
        <w:t>（人名），身份证号：XXX XXX XXX XXX，施工队长：（人名），身份证号：XXX XXX XXX XXX，施工班组长：（人名），身份证号：XXX XXX XXX XXX。若施工期间乙方存在施工不力、严重违约、恶意讨薪等问题，乙方连同上述人员不得再参与甲方组织的分包采购工作。</w:t>
      </w:r>
      <w:r>
        <w:rPr>
          <w:rFonts w:hint="eastAsia" w:ascii="宋体" w:hAnsi="宋体" w:eastAsia="宋体" w:cs="宋体"/>
          <w:color w:val="auto"/>
          <w:sz w:val="21"/>
          <w:szCs w:val="21"/>
          <w:highlight w:val="none"/>
          <w:lang w:eastAsia="zh-CN"/>
        </w:rPr>
        <w:t>乙方没有得到甲方书面同意更换项目经理或其他主要管理人员的，每发生一次更换项目经理乙方承担人民币</w:t>
      </w:r>
      <w:r>
        <w:rPr>
          <w:rFonts w:hint="eastAsia" w:ascii="宋体" w:hAnsi="宋体" w:eastAsia="宋体" w:cs="宋体"/>
          <w:color w:val="auto"/>
          <w:sz w:val="21"/>
          <w:szCs w:val="21"/>
          <w:highlight w:val="none"/>
          <w:u w:val="single"/>
          <w:lang w:eastAsia="zh-CN"/>
        </w:rPr>
        <w:t>100000</w:t>
      </w:r>
      <w:r>
        <w:rPr>
          <w:rFonts w:hint="eastAsia" w:ascii="宋体" w:hAnsi="宋体" w:eastAsia="宋体" w:cs="宋体"/>
          <w:color w:val="auto"/>
          <w:sz w:val="21"/>
          <w:szCs w:val="21"/>
          <w:highlight w:val="none"/>
          <w:lang w:eastAsia="zh-CN"/>
        </w:rPr>
        <w:t>元整的违约金，每发生一次更换项目其他主要管理人员承担人民币</w:t>
      </w:r>
      <w:r>
        <w:rPr>
          <w:rFonts w:hint="eastAsia" w:ascii="宋体" w:hAnsi="宋体" w:eastAsia="宋体" w:cs="宋体"/>
          <w:color w:val="auto"/>
          <w:sz w:val="21"/>
          <w:szCs w:val="21"/>
          <w:highlight w:val="none"/>
          <w:u w:val="single"/>
          <w:lang w:eastAsia="zh-CN"/>
        </w:rPr>
        <w:t>20000</w:t>
      </w:r>
      <w:r>
        <w:rPr>
          <w:rFonts w:hint="eastAsia" w:ascii="宋体" w:hAnsi="宋体" w:eastAsia="宋体" w:cs="宋体"/>
          <w:color w:val="auto"/>
          <w:sz w:val="21"/>
          <w:szCs w:val="21"/>
          <w:highlight w:val="none"/>
          <w:lang w:eastAsia="zh-CN"/>
        </w:rPr>
        <w:t>元整的违约金，并按照甲方要求限期纠正；甲方要求乙方更换项目经理或其他主要管理人员的，乙方应在</w:t>
      </w:r>
      <w:r>
        <w:rPr>
          <w:rFonts w:hint="eastAsia" w:ascii="宋体" w:hAnsi="宋体" w:eastAsia="宋体" w:cs="宋体"/>
          <w:color w:val="auto"/>
          <w:sz w:val="21"/>
          <w:szCs w:val="21"/>
          <w:highlight w:val="none"/>
          <w:u w:val="single"/>
          <w:lang w:eastAsia="zh-CN"/>
        </w:rPr>
        <w:t xml:space="preserve"> 7 </w:t>
      </w:r>
      <w:r>
        <w:rPr>
          <w:rFonts w:hint="eastAsia" w:ascii="宋体" w:hAnsi="宋体" w:eastAsia="宋体" w:cs="宋体"/>
          <w:color w:val="auto"/>
          <w:sz w:val="21"/>
          <w:szCs w:val="21"/>
          <w:highlight w:val="none"/>
          <w:lang w:eastAsia="zh-CN"/>
        </w:rPr>
        <w:t>日内按照甲方要求予以撤换，当乙方无正当理由拒绝更换时，乙方应承担人民币</w:t>
      </w:r>
      <w:r>
        <w:rPr>
          <w:rFonts w:hint="eastAsia" w:ascii="宋体" w:hAnsi="宋体" w:eastAsia="宋体" w:cs="宋体"/>
          <w:color w:val="auto"/>
          <w:sz w:val="21"/>
          <w:szCs w:val="21"/>
          <w:highlight w:val="none"/>
          <w:u w:val="single"/>
          <w:lang w:eastAsia="zh-CN"/>
        </w:rPr>
        <w:t>100000</w:t>
      </w:r>
      <w:r>
        <w:rPr>
          <w:rFonts w:hint="eastAsia" w:ascii="宋体" w:hAnsi="宋体" w:eastAsia="宋体" w:cs="宋体"/>
          <w:color w:val="auto"/>
          <w:sz w:val="21"/>
          <w:szCs w:val="21"/>
          <w:highlight w:val="none"/>
          <w:lang w:eastAsia="zh-CN"/>
        </w:rPr>
        <w:t>元整的违约金。当乙方项目经理临时离开现场时应指定合适的替代人员，离开现场</w:t>
      </w:r>
      <w:r>
        <w:rPr>
          <w:rFonts w:hint="eastAsia" w:ascii="宋体" w:hAnsi="宋体" w:eastAsia="宋体" w:cs="宋体"/>
          <w:color w:val="auto"/>
          <w:sz w:val="21"/>
          <w:szCs w:val="21"/>
          <w:highlight w:val="none"/>
          <w:u w:val="single"/>
          <w:lang w:eastAsia="zh-CN"/>
        </w:rPr>
        <w:t xml:space="preserve"> 3 </w:t>
      </w:r>
      <w:r>
        <w:rPr>
          <w:rFonts w:hint="eastAsia" w:ascii="宋体" w:hAnsi="宋体" w:eastAsia="宋体" w:cs="宋体"/>
          <w:color w:val="auto"/>
          <w:sz w:val="21"/>
          <w:szCs w:val="21"/>
          <w:highlight w:val="none"/>
          <w:lang w:eastAsia="zh-CN"/>
        </w:rPr>
        <w:t>天及以上时，应书面通知甲方并获得甲方同意，否则每次乙方应承担人民币</w:t>
      </w:r>
      <w:r>
        <w:rPr>
          <w:rFonts w:hint="eastAsia" w:ascii="宋体" w:hAnsi="宋体" w:eastAsia="宋体" w:cs="宋体"/>
          <w:color w:val="auto"/>
          <w:sz w:val="21"/>
          <w:szCs w:val="21"/>
          <w:highlight w:val="none"/>
          <w:u w:val="single"/>
          <w:lang w:eastAsia="zh-CN"/>
        </w:rPr>
        <w:t>50000</w:t>
      </w:r>
      <w:r>
        <w:rPr>
          <w:rFonts w:hint="eastAsia" w:ascii="宋体" w:hAnsi="宋体" w:eastAsia="宋体" w:cs="宋体"/>
          <w:color w:val="auto"/>
          <w:sz w:val="21"/>
          <w:szCs w:val="21"/>
          <w:highlight w:val="none"/>
          <w:lang w:eastAsia="zh-CN"/>
        </w:rPr>
        <w:t>元整的违约金；此类违约超过两次，甲方可要求更换项目经理。</w:t>
      </w:r>
    </w:p>
    <w:p w14:paraId="4926C2CF">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6.2乙方使用电子邮箱处理与甲方的电子函件往来：</w:t>
      </w:r>
      <w:r>
        <w:rPr>
          <w:rFonts w:hint="eastAsia" w:ascii="宋体" w:hAnsi="宋体" w:eastAsia="宋体" w:cs="宋体"/>
          <w:color w:val="auto"/>
          <w:kern w:val="10"/>
          <w:sz w:val="21"/>
          <w:szCs w:val="21"/>
          <w:highlight w:val="none"/>
          <w:u w:val="single"/>
          <w:lang w:eastAsia="zh-CN"/>
        </w:rPr>
        <w:t xml:space="preserve"> </w:t>
      </w:r>
      <w:r>
        <w:rPr>
          <w:rFonts w:hint="eastAsia"/>
          <w:color w:val="auto"/>
          <w:highlight w:val="none"/>
          <w:u w:val="single"/>
        </w:rPr>
        <w:t>281360988@qq.com</w:t>
      </w:r>
      <w:r>
        <w:rPr>
          <w:rFonts w:hint="eastAsia" w:ascii="宋体" w:hAnsi="宋体" w:eastAsia="宋体" w:cs="宋体"/>
          <w:color w:val="auto"/>
          <w:sz w:val="21"/>
          <w:szCs w:val="21"/>
          <w:highlight w:val="none"/>
          <w:lang w:eastAsia="zh-CN"/>
        </w:rPr>
        <w:t>。</w:t>
      </w:r>
    </w:p>
    <w:p w14:paraId="5CB3E8CF">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6.15本合同适用</w:t>
      </w:r>
      <w:r>
        <w:rPr>
          <w:rFonts w:hint="eastAsia" w:ascii="宋体" w:hAnsi="宋体" w:eastAsia="宋体" w:cs="宋体"/>
          <w:color w:val="auto"/>
          <w:sz w:val="21"/>
          <w:szCs w:val="21"/>
          <w:highlight w:val="none"/>
          <w:u w:val="single"/>
          <w:lang w:eastAsia="zh-CN"/>
        </w:rPr>
        <w:t>【②】</w:t>
      </w:r>
      <w:r>
        <w:rPr>
          <w:rFonts w:hint="eastAsia" w:ascii="宋体" w:hAnsi="宋体" w:eastAsia="宋体" w:cs="宋体"/>
          <w:color w:val="auto"/>
          <w:sz w:val="21"/>
          <w:szCs w:val="21"/>
          <w:highlight w:val="none"/>
          <w:lang w:eastAsia="zh-CN"/>
        </w:rPr>
        <w:t>条约定。</w:t>
      </w:r>
    </w:p>
    <w:p w14:paraId="20DA2648">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6.23本分包工程需要乙方提供的资料和档案形式、提供的份数、期限、标准以及其它相关要求：</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符合甲方相关资料要求</w:t>
      </w:r>
      <w:r>
        <w:rPr>
          <w:rFonts w:hint="eastAsia" w:ascii="宋体" w:hAnsi="宋体" w:eastAsia="宋体" w:cs="宋体"/>
          <w:color w:val="auto"/>
          <w:sz w:val="21"/>
          <w:szCs w:val="21"/>
          <w:highlight w:val="none"/>
          <w:u w:val="single"/>
          <w:lang w:eastAsia="zh-CN"/>
        </w:rPr>
        <w:t xml:space="preserve"> </w:t>
      </w:r>
    </w:p>
    <w:p w14:paraId="7CC277CC">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关于竣工文件的其他约定：</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符合甲方相关资料要求</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2A84D700">
      <w:pPr>
        <w:pStyle w:val="11"/>
        <w:ind w:firstLine="420"/>
        <w:rPr>
          <w:color w:val="auto"/>
          <w:highlight w:val="none"/>
        </w:rPr>
      </w:pPr>
      <w:r>
        <w:rPr>
          <w:rFonts w:hint="eastAsia" w:ascii="宋体" w:hAnsi="宋体" w:eastAsia="宋体" w:cs="宋体"/>
          <w:color w:val="auto"/>
          <w:sz w:val="21"/>
          <w:szCs w:val="21"/>
          <w:highlight w:val="none"/>
        </w:rPr>
        <w:t>6.36本条款</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rPr>
        <w:t>不适用】</w:t>
      </w:r>
      <w:r>
        <w:rPr>
          <w:rFonts w:hint="eastAsia" w:ascii="宋体" w:hAnsi="宋体" w:eastAsia="宋体" w:cs="宋体"/>
          <w:color w:val="auto"/>
          <w:sz w:val="21"/>
          <w:szCs w:val="21"/>
          <w:highlight w:val="none"/>
        </w:rPr>
        <w:t>。</w:t>
      </w:r>
    </w:p>
    <w:p w14:paraId="56B91097">
      <w:pPr>
        <w:kinsoku w:val="0"/>
        <w:spacing w:after="0" w:line="360" w:lineRule="auto"/>
        <w:ind w:firstLine="420" w:firstLineChars="200"/>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6.38 乙方配置</w:t>
      </w:r>
      <w:r>
        <w:rPr>
          <w:rFonts w:hint="eastAsia" w:ascii="宋体" w:hAnsi="宋体" w:eastAsia="宋体" w:cs="宋体"/>
          <w:color w:val="auto"/>
          <w:kern w:val="10"/>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名劳资专员。</w:t>
      </w:r>
    </w:p>
    <w:p w14:paraId="233CE9DD">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（1）姓名：</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，身份证号：</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，联系电话：</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，联系地址：</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154129F2">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（2）姓名：</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，身份证号：</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，联系电话：</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，联系地址：</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6928C750">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6.39若发现乙方未与劳务作业人员签订劳动用工合同或者签订劳动合同不真实，乙方承担</w:t>
      </w:r>
      <w:r>
        <w:rPr>
          <w:rFonts w:hint="eastAsia" w:ascii="宋体" w:hAnsi="宋体" w:eastAsia="宋体" w:cs="宋体"/>
          <w:color w:val="auto"/>
          <w:sz w:val="21"/>
          <w:szCs w:val="21"/>
          <w:highlight w:val="none"/>
          <w:u w:val="single"/>
          <w:lang w:eastAsia="zh-CN"/>
        </w:rPr>
        <w:t xml:space="preserve">   3    </w:t>
      </w:r>
      <w:r>
        <w:rPr>
          <w:rFonts w:hint="eastAsia" w:ascii="宋体" w:hAnsi="宋体" w:eastAsia="宋体" w:cs="宋体"/>
          <w:color w:val="auto"/>
          <w:sz w:val="21"/>
          <w:szCs w:val="21"/>
          <w:highlight w:val="none"/>
          <w:lang w:eastAsia="zh-CN"/>
        </w:rPr>
        <w:t>万元/人次违约金并赔偿给因此给甲方造成的一切损失（包括但不限于诉讼费、律师费、行政处罚等），乙方同意甲方在工程进度款中扣除，甲方有权单方解除合同，乙方需按照签约合同价</w:t>
      </w:r>
      <w:r>
        <w:rPr>
          <w:rFonts w:hint="eastAsia" w:ascii="宋体" w:hAnsi="宋体" w:eastAsia="宋体" w:cs="宋体"/>
          <w:color w:val="auto"/>
          <w:sz w:val="21"/>
          <w:szCs w:val="21"/>
          <w:highlight w:val="none"/>
          <w:u w:val="single"/>
          <w:lang w:eastAsia="zh-CN"/>
        </w:rPr>
        <w:t xml:space="preserve">   1    </w:t>
      </w:r>
      <w:r>
        <w:rPr>
          <w:rFonts w:hint="eastAsia" w:ascii="宋体" w:hAnsi="宋体" w:eastAsia="宋体" w:cs="宋体"/>
          <w:color w:val="auto"/>
          <w:sz w:val="21"/>
          <w:szCs w:val="21"/>
          <w:highlight w:val="none"/>
          <w:lang w:eastAsia="zh-CN"/>
        </w:rPr>
        <w:t>%支付违约金。</w:t>
      </w:r>
    </w:p>
    <w:p w14:paraId="26FA4BE7">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6.49乙方应履行的其他义务：</w:t>
      </w:r>
    </w:p>
    <w:p w14:paraId="2B9F8E54">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）乙方须精心组织施工，并配合甲方与周边社会关系的处理与协调，积极创造施工条件；</w:t>
      </w:r>
    </w:p>
    <w:p w14:paraId="4A68675C">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）乙方负责现场内钢筋加工场地</w:t>
      </w:r>
      <w:r>
        <w:rPr>
          <w:rFonts w:hint="eastAsia" w:ascii="宋体" w:hAnsi="宋体" w:eastAsia="宋体" w:cs="宋体"/>
          <w:color w:val="auto"/>
          <w:sz w:val="21"/>
          <w:szCs w:val="21"/>
          <w:highlight w:val="none"/>
          <w:lang w:val="en-US" w:eastAsia="zh-CN"/>
        </w:rPr>
        <w:t>维护和</w:t>
      </w:r>
      <w:r>
        <w:rPr>
          <w:rFonts w:hint="eastAsia" w:ascii="宋体" w:hAnsi="宋体" w:eastAsia="宋体" w:cs="宋体"/>
          <w:color w:val="auto"/>
          <w:sz w:val="21"/>
          <w:szCs w:val="21"/>
          <w:highlight w:val="none"/>
          <w:lang w:eastAsia="zh-CN"/>
        </w:rPr>
        <w:t>清理，并符合文明施工要</w:t>
      </w:r>
      <w:r>
        <w:rPr>
          <w:rFonts w:hint="eastAsia" w:ascii="宋体" w:hAnsi="宋体" w:eastAsia="宋体" w:cs="宋体"/>
          <w:color w:val="auto"/>
          <w:sz w:val="21"/>
          <w:szCs w:val="21"/>
          <w:highlight w:val="none"/>
          <w:lang w:val="en-US" w:eastAsia="zh-CN"/>
        </w:rPr>
        <w:t>求</w:t>
      </w:r>
      <w:r>
        <w:rPr>
          <w:rFonts w:hint="eastAsia" w:ascii="宋体" w:hAnsi="宋体" w:eastAsia="宋体" w:cs="宋体"/>
          <w:color w:val="auto"/>
          <w:sz w:val="21"/>
          <w:szCs w:val="21"/>
          <w:highlight w:val="none"/>
          <w:lang w:eastAsia="zh-CN"/>
        </w:rPr>
        <w:t>；</w:t>
      </w:r>
    </w:p>
    <w:p w14:paraId="0195A69C">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）乙方负责现场自身施工操作面及自设仓储区、生活区的消防保卫工作；</w:t>
      </w:r>
    </w:p>
    <w:p w14:paraId="3A9F0690">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）乙方负责进行一切本工程所须的试验检测工作，进行和完成承包范围内所有甲方、有关政府部门/单位要求的各种试验，包括钢筋实验的取样、制作、运送等；</w:t>
      </w:r>
    </w:p>
    <w:p w14:paraId="49B8D771">
      <w:pPr>
        <w:kinsoku w:val="0"/>
        <w:spacing w:after="0" w:line="360" w:lineRule="auto"/>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）乙方必须配备满足要求</w:t>
      </w:r>
      <w:r>
        <w:rPr>
          <w:rFonts w:hint="eastAsia" w:ascii="宋体" w:hAnsi="宋体" w:eastAsia="宋体" w:cs="宋体"/>
          <w:color w:val="auto"/>
          <w:sz w:val="21"/>
          <w:szCs w:val="21"/>
          <w:highlight w:val="none"/>
          <w:lang w:val="en-US" w:eastAsia="zh-CN"/>
        </w:rPr>
        <w:t>施工机械设备，且相关费用已包含至综合单价中。</w:t>
      </w:r>
    </w:p>
    <w:p w14:paraId="44370775">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乙方必须配备满足要求的备用发电机，避免因</w:t>
      </w:r>
      <w:r>
        <w:rPr>
          <w:rFonts w:hint="eastAsia" w:ascii="宋体" w:hAnsi="宋体" w:eastAsia="宋体" w:cs="宋体"/>
          <w:color w:val="auto"/>
          <w:sz w:val="21"/>
          <w:szCs w:val="21"/>
          <w:highlight w:val="none"/>
          <w:lang w:val="en-US" w:eastAsia="zh-CN"/>
        </w:rPr>
        <w:t>停电影响施工生产</w:t>
      </w:r>
      <w:r>
        <w:rPr>
          <w:rFonts w:hint="eastAsia" w:ascii="宋体" w:hAnsi="宋体" w:eastAsia="宋体" w:cs="宋体"/>
          <w:color w:val="auto"/>
          <w:sz w:val="21"/>
          <w:szCs w:val="21"/>
          <w:highlight w:val="none"/>
          <w:lang w:eastAsia="zh-CN"/>
        </w:rPr>
        <w:t>；</w:t>
      </w:r>
    </w:p>
    <w:p w14:paraId="71DED804">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lang w:eastAsia="zh-CN"/>
        </w:rPr>
        <w:t>）乙方应无条件配合本施工区域内的甲方迎检工作，满足现场文明施工要求。如不配合，甲方将自行安排人员进行迎检工作，费用将从乙方工程款中双倍扣除。</w:t>
      </w:r>
    </w:p>
    <w:p w14:paraId="30010013">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乙方需</w:t>
      </w:r>
      <w:r>
        <w:rPr>
          <w:rFonts w:hint="eastAsia" w:ascii="宋体" w:hAnsi="宋体" w:eastAsia="宋体" w:cs="宋体"/>
          <w:color w:val="auto"/>
          <w:sz w:val="21"/>
          <w:szCs w:val="21"/>
          <w:highlight w:val="none"/>
          <w:lang w:eastAsia="zh-CN"/>
        </w:rPr>
        <w:t>负责清理为完成本合同内容的一切运输车辆机身、轮胎的污渍，保证车辆外观清洁；</w:t>
      </w:r>
    </w:p>
    <w:p w14:paraId="658AA36F">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乙方需</w:t>
      </w:r>
      <w:r>
        <w:rPr>
          <w:rFonts w:hint="eastAsia" w:ascii="宋体" w:hAnsi="宋体" w:eastAsia="宋体" w:cs="宋体"/>
          <w:color w:val="auto"/>
          <w:sz w:val="21"/>
          <w:szCs w:val="21"/>
          <w:highlight w:val="none"/>
          <w:lang w:eastAsia="zh-CN"/>
        </w:rPr>
        <w:t>配合钢筋、</w:t>
      </w:r>
      <w:r>
        <w:rPr>
          <w:rFonts w:hint="eastAsia" w:ascii="宋体" w:hAnsi="宋体" w:eastAsia="宋体" w:cs="宋体"/>
          <w:color w:val="auto"/>
          <w:sz w:val="21"/>
          <w:szCs w:val="21"/>
          <w:highlight w:val="none"/>
          <w:lang w:val="en-US" w:eastAsia="zh-CN"/>
        </w:rPr>
        <w:t>声测管、套筒</w:t>
      </w:r>
      <w:r>
        <w:rPr>
          <w:rFonts w:hint="eastAsia" w:ascii="宋体" w:hAnsi="宋体" w:eastAsia="宋体" w:cs="宋体"/>
          <w:color w:val="auto"/>
          <w:sz w:val="21"/>
          <w:szCs w:val="21"/>
          <w:highlight w:val="none"/>
          <w:lang w:eastAsia="zh-CN"/>
        </w:rPr>
        <w:t>等甲供材料装卸工作；</w:t>
      </w:r>
    </w:p>
    <w:p w14:paraId="4F8FC7C1">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lang w:val="en-US" w:eastAsia="zh-CN"/>
        </w:rPr>
        <w:t>所报价格</w:t>
      </w:r>
      <w:r>
        <w:rPr>
          <w:rFonts w:hint="eastAsia" w:ascii="宋体" w:hAnsi="宋体" w:eastAsia="宋体" w:cs="宋体"/>
          <w:color w:val="auto"/>
          <w:sz w:val="21"/>
          <w:szCs w:val="21"/>
          <w:highlight w:val="none"/>
          <w:lang w:eastAsia="zh-CN"/>
        </w:rPr>
        <w:t>包括但不限于人员机械进出场、钢筋加工、成品保护、钢筋</w:t>
      </w:r>
      <w:r>
        <w:rPr>
          <w:rFonts w:hint="eastAsia" w:ascii="宋体" w:hAnsi="宋体" w:eastAsia="宋体" w:cs="宋体"/>
          <w:color w:val="auto"/>
          <w:sz w:val="21"/>
          <w:szCs w:val="21"/>
          <w:highlight w:val="none"/>
          <w:lang w:val="en-US" w:eastAsia="zh-CN"/>
        </w:rPr>
        <w:t>半成品运输</w:t>
      </w:r>
      <w:r>
        <w:rPr>
          <w:rFonts w:hint="eastAsia" w:ascii="宋体" w:hAnsi="宋体" w:eastAsia="宋体" w:cs="宋体"/>
          <w:color w:val="auto"/>
          <w:sz w:val="21"/>
          <w:szCs w:val="21"/>
          <w:highlight w:val="none"/>
          <w:lang w:eastAsia="zh-CN"/>
        </w:rPr>
        <w:t>等为完成合同约定的内容所包含的全部工作；</w:t>
      </w:r>
    </w:p>
    <w:p w14:paraId="297154A9">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lang w:eastAsia="zh-CN"/>
        </w:rPr>
        <w:t>）乙方在施工时均应指定专人负责当班指挥、协调，并负责与</w:t>
      </w:r>
      <w:r>
        <w:rPr>
          <w:rFonts w:hint="eastAsia" w:ascii="宋体" w:hAnsi="宋体" w:eastAsia="宋体" w:cs="宋体"/>
          <w:color w:val="auto"/>
          <w:sz w:val="21"/>
          <w:szCs w:val="21"/>
          <w:highlight w:val="none"/>
          <w:lang w:val="en-US" w:eastAsia="zh-CN"/>
        </w:rPr>
        <w:t>甲</w:t>
      </w:r>
      <w:r>
        <w:rPr>
          <w:rFonts w:hint="eastAsia" w:ascii="宋体" w:hAnsi="宋体" w:eastAsia="宋体" w:cs="宋体"/>
          <w:color w:val="auto"/>
          <w:sz w:val="21"/>
          <w:szCs w:val="21"/>
          <w:highlight w:val="none"/>
          <w:lang w:eastAsia="zh-CN"/>
        </w:rPr>
        <w:t>方保持联络，确保</w:t>
      </w:r>
      <w:r>
        <w:rPr>
          <w:rFonts w:hint="eastAsia" w:ascii="宋体" w:hAnsi="宋体" w:eastAsia="宋体" w:cs="宋体"/>
          <w:color w:val="auto"/>
          <w:sz w:val="21"/>
          <w:szCs w:val="21"/>
          <w:highlight w:val="none"/>
          <w:lang w:val="en-US" w:eastAsia="zh-CN"/>
        </w:rPr>
        <w:t>甲</w:t>
      </w:r>
      <w:r>
        <w:rPr>
          <w:rFonts w:hint="eastAsia" w:ascii="宋体" w:hAnsi="宋体" w:eastAsia="宋体" w:cs="宋体"/>
          <w:color w:val="auto"/>
          <w:sz w:val="21"/>
          <w:szCs w:val="21"/>
          <w:highlight w:val="none"/>
          <w:lang w:eastAsia="zh-CN"/>
        </w:rPr>
        <w:t>方的生产指令、意见得到迅速有效执行。同时，乙方指定的当班现场指挥人员应在每班次前到</w:t>
      </w:r>
      <w:r>
        <w:rPr>
          <w:rFonts w:hint="eastAsia" w:ascii="宋体" w:hAnsi="宋体" w:eastAsia="宋体" w:cs="宋体"/>
          <w:color w:val="auto"/>
          <w:sz w:val="21"/>
          <w:szCs w:val="21"/>
          <w:highlight w:val="none"/>
          <w:lang w:val="en-US" w:eastAsia="zh-CN"/>
        </w:rPr>
        <w:t>甲</w:t>
      </w:r>
      <w:r>
        <w:rPr>
          <w:rFonts w:hint="eastAsia" w:ascii="宋体" w:hAnsi="宋体" w:eastAsia="宋体" w:cs="宋体"/>
          <w:color w:val="auto"/>
          <w:sz w:val="21"/>
          <w:szCs w:val="21"/>
          <w:highlight w:val="none"/>
          <w:lang w:eastAsia="zh-CN"/>
        </w:rPr>
        <w:t>方现场生产副经理室参加现场碰头会，并在生产中予以贯彻。</w:t>
      </w:r>
    </w:p>
    <w:p w14:paraId="6B4EBABB">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lang w:eastAsia="zh-CN"/>
        </w:rPr>
        <w:t>）乙方承诺：当乙方进度无法满足总包方要求，且改进措施不力时，乙方愿意无条件接受</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就进度滞后而处以的罚款，无条件接受</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对其施工任务的调整，并承担由此造成的一切损失。</w:t>
      </w:r>
    </w:p>
    <w:p w14:paraId="0856CB75">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lang w:val="en-US" w:eastAsia="zh-CN"/>
        </w:rPr>
        <w:t>必须</w:t>
      </w:r>
      <w:r>
        <w:rPr>
          <w:rFonts w:hint="eastAsia" w:ascii="宋体" w:hAnsi="宋体" w:eastAsia="宋体" w:cs="宋体"/>
          <w:color w:val="auto"/>
          <w:sz w:val="21"/>
          <w:szCs w:val="21"/>
          <w:highlight w:val="none"/>
          <w:lang w:eastAsia="zh-CN"/>
        </w:rPr>
        <w:t>严格服从现场管理，遵守总包方一切规章制度，维护</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的企业形象，严禁赌博及打架斗殴。</w:t>
      </w:r>
    </w:p>
    <w:p w14:paraId="2B61163B">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14</w:t>
      </w:r>
      <w:r>
        <w:rPr>
          <w:rFonts w:hint="eastAsia" w:ascii="宋体" w:hAnsi="宋体" w:eastAsia="宋体" w:cs="宋体"/>
          <w:color w:val="auto"/>
          <w:sz w:val="21"/>
          <w:szCs w:val="21"/>
          <w:highlight w:val="none"/>
          <w:lang w:eastAsia="zh-CN"/>
        </w:rPr>
        <w:t>）乙方必须保留工资簿及每日工作卡。这些资料上应如实标明职工人数、姓名、已付工资、当日工作任务、工作工时。</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指定专职劳务管理员有权对分包方进行不定期检查，如发现乙方提供资料与现场不符时，</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有权对乙方处以2000元的罚款，由此引起的一切不利后果均由乙方承担。</w:t>
      </w:r>
    </w:p>
    <w:p w14:paraId="285DA001">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lang w:eastAsia="zh-CN"/>
        </w:rPr>
        <w:t>）乙方负责己方人员、材料、机械设备进退场费，以及人员住宿、材料设备存放、施工作业场地及其他费用、施工过程中的倒运等所有费用。</w:t>
      </w:r>
    </w:p>
    <w:p w14:paraId="67E0F849">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lang w:val="en-US" w:eastAsia="zh-CN"/>
        </w:rPr>
        <w:t>需</w:t>
      </w:r>
      <w:r>
        <w:rPr>
          <w:rFonts w:hint="eastAsia" w:ascii="宋体" w:hAnsi="宋体" w:eastAsia="宋体" w:cs="宋体"/>
          <w:color w:val="auto"/>
          <w:sz w:val="21"/>
          <w:szCs w:val="21"/>
          <w:highlight w:val="none"/>
          <w:lang w:eastAsia="zh-CN"/>
        </w:rPr>
        <w:t>负责解决本</w:t>
      </w:r>
      <w:r>
        <w:rPr>
          <w:rFonts w:hint="eastAsia" w:ascii="宋体" w:hAnsi="宋体" w:eastAsia="宋体" w:cs="宋体"/>
          <w:color w:val="auto"/>
          <w:sz w:val="21"/>
          <w:szCs w:val="21"/>
          <w:highlight w:val="none"/>
          <w:lang w:val="en-US" w:eastAsia="zh-CN"/>
        </w:rPr>
        <w:t>施工段</w:t>
      </w:r>
      <w:r>
        <w:rPr>
          <w:rFonts w:hint="eastAsia" w:ascii="宋体" w:hAnsi="宋体" w:eastAsia="宋体" w:cs="宋体"/>
          <w:color w:val="auto"/>
          <w:sz w:val="21"/>
          <w:szCs w:val="21"/>
          <w:highlight w:val="none"/>
          <w:lang w:eastAsia="zh-CN"/>
        </w:rPr>
        <w:t>内的地方事务，费用均含在综合单价中，不再另行计量。乙方需确保</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的车辆无阻挠的通行，若有阻拦，</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协调所需的费用，从</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lang w:eastAsia="zh-CN"/>
        </w:rPr>
        <w:t>工程款扣除。</w:t>
      </w:r>
    </w:p>
    <w:p w14:paraId="76A817BF">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17</w:t>
      </w:r>
      <w:r>
        <w:rPr>
          <w:rFonts w:hint="eastAsia" w:ascii="宋体" w:hAnsi="宋体" w:eastAsia="宋体" w:cs="宋体"/>
          <w:color w:val="auto"/>
          <w:sz w:val="21"/>
          <w:szCs w:val="21"/>
          <w:highlight w:val="none"/>
          <w:lang w:eastAsia="zh-CN"/>
        </w:rPr>
        <w:t>）乙方应安排专人及时了解天气变化和河道水位情况，如因此带来的一切损失，由分包方负责。</w:t>
      </w:r>
    </w:p>
    <w:p w14:paraId="22515973">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18</w:t>
      </w:r>
      <w:r>
        <w:rPr>
          <w:rFonts w:hint="eastAsia" w:ascii="宋体" w:hAnsi="宋体" w:eastAsia="宋体" w:cs="宋体"/>
          <w:color w:val="auto"/>
          <w:sz w:val="21"/>
          <w:szCs w:val="21"/>
          <w:highlight w:val="none"/>
          <w:lang w:eastAsia="zh-CN"/>
        </w:rPr>
        <w:t>）乙方所有人员的人身安全、伤亡事故责任及处理由乙方</w:t>
      </w:r>
      <w:r>
        <w:rPr>
          <w:rFonts w:hint="eastAsia" w:ascii="宋体" w:hAnsi="宋体" w:eastAsia="宋体" w:cs="宋体"/>
          <w:color w:val="auto"/>
          <w:sz w:val="21"/>
          <w:szCs w:val="21"/>
          <w:highlight w:val="none"/>
          <w:lang w:val="en-US" w:eastAsia="zh-CN"/>
        </w:rPr>
        <w:t>自行</w:t>
      </w:r>
      <w:r>
        <w:rPr>
          <w:rFonts w:hint="eastAsia" w:ascii="宋体" w:hAnsi="宋体" w:eastAsia="宋体" w:cs="宋体"/>
          <w:color w:val="auto"/>
          <w:sz w:val="21"/>
          <w:szCs w:val="21"/>
          <w:highlight w:val="none"/>
          <w:lang w:eastAsia="zh-CN"/>
        </w:rPr>
        <w:t>负责，</w:t>
      </w:r>
      <w:r>
        <w:rPr>
          <w:rFonts w:hint="eastAsia" w:ascii="宋体" w:hAnsi="宋体" w:eastAsia="宋体" w:cs="宋体"/>
          <w:color w:val="auto"/>
          <w:sz w:val="21"/>
          <w:szCs w:val="21"/>
          <w:highlight w:val="none"/>
          <w:lang w:val="en-US" w:eastAsia="zh-CN"/>
        </w:rPr>
        <w:t>保险全部由乙方承担，若由甲方购买，则费用从乙方结算中扣除</w:t>
      </w:r>
      <w:r>
        <w:rPr>
          <w:rFonts w:hint="eastAsia" w:ascii="宋体" w:hAnsi="宋体" w:eastAsia="宋体" w:cs="宋体"/>
          <w:color w:val="auto"/>
          <w:sz w:val="21"/>
          <w:szCs w:val="21"/>
          <w:highlight w:val="none"/>
          <w:lang w:eastAsia="zh-CN"/>
        </w:rPr>
        <w:t>。</w:t>
      </w:r>
    </w:p>
    <w:p w14:paraId="4AAEAA43">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19</w:t>
      </w:r>
      <w:r>
        <w:rPr>
          <w:rFonts w:hint="eastAsia" w:ascii="宋体" w:hAnsi="宋体" w:eastAsia="宋体" w:cs="宋体"/>
          <w:color w:val="auto"/>
          <w:sz w:val="21"/>
          <w:szCs w:val="21"/>
          <w:highlight w:val="none"/>
          <w:lang w:eastAsia="zh-CN"/>
        </w:rPr>
        <w:t>）乙方应遵守工程建设安全生产有关管理规定，严格按安全标准组织施工，并随时接受</w:t>
      </w:r>
      <w:r>
        <w:rPr>
          <w:rFonts w:hint="eastAsia" w:ascii="宋体" w:hAnsi="宋体" w:eastAsia="宋体" w:cs="宋体"/>
          <w:color w:val="auto"/>
          <w:sz w:val="21"/>
          <w:szCs w:val="21"/>
          <w:highlight w:val="none"/>
          <w:lang w:val="en-US" w:eastAsia="zh-CN"/>
        </w:rPr>
        <w:t>甲</w:t>
      </w:r>
      <w:r>
        <w:rPr>
          <w:rFonts w:hint="eastAsia" w:ascii="宋体" w:hAnsi="宋体" w:eastAsia="宋体" w:cs="宋体"/>
          <w:color w:val="auto"/>
          <w:sz w:val="21"/>
          <w:szCs w:val="21"/>
          <w:highlight w:val="none"/>
          <w:lang w:eastAsia="zh-CN"/>
        </w:rPr>
        <w:t>方及有关单位安全检查人员依法实施的监督检查，在施工范围内采取必要的安全防护措施（包括提供和维修夜间施工使用的照明、警示等），消除事故隐患。由于乙方安全措施不力造成的责任和因此发生的费用，由分包方承担，且因此而对</w:t>
      </w:r>
      <w:r>
        <w:rPr>
          <w:rFonts w:hint="eastAsia" w:ascii="宋体" w:hAnsi="宋体" w:eastAsia="宋体" w:cs="宋体"/>
          <w:color w:val="auto"/>
          <w:sz w:val="21"/>
          <w:szCs w:val="21"/>
          <w:highlight w:val="none"/>
          <w:lang w:val="en-US" w:eastAsia="zh-CN"/>
        </w:rPr>
        <w:t>甲</w:t>
      </w:r>
      <w:r>
        <w:rPr>
          <w:rFonts w:hint="eastAsia" w:ascii="宋体" w:hAnsi="宋体" w:eastAsia="宋体" w:cs="宋体"/>
          <w:color w:val="auto"/>
          <w:sz w:val="21"/>
          <w:szCs w:val="21"/>
          <w:highlight w:val="none"/>
          <w:lang w:eastAsia="zh-CN"/>
        </w:rPr>
        <w:t>方造成的连带损失由乙方承担。乙方除接受</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的安全教育外，还应负责对其在施工场地的所有工作人员进行安全教育。</w:t>
      </w:r>
    </w:p>
    <w:p w14:paraId="230E97D2">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乙</w:t>
      </w:r>
      <w:r>
        <w:rPr>
          <w:rFonts w:hint="eastAsia" w:ascii="宋体" w:hAnsi="宋体" w:eastAsia="宋体" w:cs="宋体"/>
          <w:color w:val="auto"/>
          <w:sz w:val="21"/>
          <w:szCs w:val="21"/>
          <w:highlight w:val="none"/>
          <w:lang w:eastAsia="zh-CN"/>
        </w:rPr>
        <w:t>方必须本着节约的观念，不得任意乱拆，乱接电源及水管，不得留宿非施工人员进住工地。</w:t>
      </w:r>
    </w:p>
    <w:p w14:paraId="7F4588E9">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21</w:t>
      </w:r>
      <w:r>
        <w:rPr>
          <w:rFonts w:hint="eastAsia" w:ascii="宋体" w:hAnsi="宋体" w:eastAsia="宋体" w:cs="宋体"/>
          <w:color w:val="auto"/>
          <w:sz w:val="21"/>
          <w:szCs w:val="21"/>
          <w:highlight w:val="none"/>
          <w:lang w:eastAsia="zh-CN"/>
        </w:rPr>
        <w:t>）《拟进场机械设备一览表》为满足施工需要的最低要求，如</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要求</w:t>
      </w:r>
      <w:r>
        <w:rPr>
          <w:rFonts w:hint="eastAsia" w:ascii="宋体" w:hAnsi="宋体" w:eastAsia="宋体" w:cs="宋体"/>
          <w:color w:val="auto"/>
          <w:sz w:val="21"/>
          <w:szCs w:val="21"/>
          <w:highlight w:val="none"/>
          <w:lang w:val="en-US" w:eastAsia="zh-CN"/>
        </w:rPr>
        <w:t>乙</w:t>
      </w:r>
      <w:r>
        <w:rPr>
          <w:rFonts w:hint="eastAsia" w:ascii="宋体" w:hAnsi="宋体" w:eastAsia="宋体" w:cs="宋体"/>
          <w:color w:val="auto"/>
          <w:sz w:val="21"/>
          <w:szCs w:val="21"/>
          <w:highlight w:val="none"/>
          <w:lang w:eastAsia="zh-CN"/>
        </w:rPr>
        <w:t>方增加进场机械设备及人员，以加快施工进度，</w:t>
      </w:r>
      <w:r>
        <w:rPr>
          <w:rFonts w:hint="eastAsia" w:ascii="宋体" w:hAnsi="宋体" w:eastAsia="宋体" w:cs="宋体"/>
          <w:color w:val="auto"/>
          <w:sz w:val="21"/>
          <w:szCs w:val="21"/>
          <w:highlight w:val="none"/>
          <w:lang w:val="en-US" w:eastAsia="zh-CN"/>
        </w:rPr>
        <w:t>乙</w:t>
      </w:r>
      <w:r>
        <w:rPr>
          <w:rFonts w:hint="eastAsia" w:ascii="宋体" w:hAnsi="宋体" w:eastAsia="宋体" w:cs="宋体"/>
          <w:color w:val="auto"/>
          <w:sz w:val="21"/>
          <w:szCs w:val="21"/>
          <w:highlight w:val="none"/>
          <w:lang w:eastAsia="zh-CN"/>
        </w:rPr>
        <w:t>方应无条件服从，并不增加相关费用。</w:t>
      </w:r>
    </w:p>
    <w:p w14:paraId="56C2E003">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乙</w:t>
      </w:r>
      <w:r>
        <w:rPr>
          <w:rFonts w:hint="eastAsia" w:ascii="宋体" w:hAnsi="宋体" w:eastAsia="宋体" w:cs="宋体"/>
          <w:color w:val="auto"/>
          <w:sz w:val="21"/>
          <w:szCs w:val="21"/>
          <w:highlight w:val="none"/>
          <w:lang w:eastAsia="zh-CN"/>
        </w:rPr>
        <w:t>方应做好消防防火及安全用电工作，不得私拉乱接电线用于大功率电器。做好易燃易爆物品的管理，由此发生的一切事故由</w:t>
      </w:r>
      <w:r>
        <w:rPr>
          <w:rFonts w:hint="eastAsia" w:ascii="宋体" w:hAnsi="宋体" w:eastAsia="宋体" w:cs="宋体"/>
          <w:color w:val="auto"/>
          <w:sz w:val="21"/>
          <w:szCs w:val="21"/>
          <w:highlight w:val="none"/>
          <w:lang w:val="en-US" w:eastAsia="zh-CN"/>
        </w:rPr>
        <w:t>乙</w:t>
      </w:r>
      <w:r>
        <w:rPr>
          <w:rFonts w:hint="eastAsia" w:ascii="宋体" w:hAnsi="宋体" w:eastAsia="宋体" w:cs="宋体"/>
          <w:color w:val="auto"/>
          <w:sz w:val="21"/>
          <w:szCs w:val="21"/>
          <w:highlight w:val="none"/>
          <w:lang w:eastAsia="zh-CN"/>
        </w:rPr>
        <w:t>方负责。</w:t>
      </w:r>
    </w:p>
    <w:p w14:paraId="202EF300">
      <w:pPr>
        <w:pStyle w:val="11"/>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23）乙方进入施工现场的各种机械设备均要求自有机械。</w:t>
      </w:r>
    </w:p>
    <w:p w14:paraId="381104C2">
      <w:pPr>
        <w:pStyle w:val="11"/>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（24）投标履约人员不得更换，如更换项目经理甲方有权罚款20万元，其他人员每人次10万元。</w:t>
      </w:r>
    </w:p>
    <w:p w14:paraId="66290643">
      <w:pPr>
        <w:pStyle w:val="11"/>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分包方未经总包方许可，禁止擅自使用、拆改总包方现场的临时设施，由此发生的一切事故及损失均由分包方负责。</w:t>
      </w:r>
    </w:p>
    <w:p w14:paraId="7BD27FAF">
      <w:pPr>
        <w:pStyle w:val="11"/>
        <w:ind w:firstLine="420"/>
        <w:rPr>
          <w:color w:val="auto"/>
          <w:sz w:val="21"/>
          <w:szCs w:val="21"/>
          <w:highlight w:val="none"/>
        </w:rPr>
      </w:pPr>
      <w:r>
        <w:rPr>
          <w:rFonts w:hint="eastAsia"/>
          <w:color w:val="auto"/>
          <w:sz w:val="21"/>
          <w:szCs w:val="21"/>
          <w:highlight w:val="none"/>
        </w:rPr>
        <w:t>如未在文中以文字形式明确列出、提及或约定的工作内容，但合理推断应属于分包方的工作，则此类工作应理解为分包方的潜在责任和义务，分包方应负责完成并自行承担相应的费用。</w:t>
      </w:r>
    </w:p>
    <w:p w14:paraId="06FFE893">
      <w:pPr>
        <w:pStyle w:val="11"/>
        <w:ind w:firstLine="420"/>
        <w:rPr>
          <w:rFonts w:hint="eastAsia"/>
          <w:color w:val="auto"/>
          <w:sz w:val="21"/>
          <w:szCs w:val="21"/>
          <w:highlight w:val="none"/>
        </w:rPr>
      </w:pPr>
      <w:r>
        <w:rPr>
          <w:rFonts w:hint="eastAsia"/>
          <w:color w:val="auto"/>
          <w:sz w:val="21"/>
          <w:szCs w:val="21"/>
          <w:highlight w:val="none"/>
        </w:rPr>
        <w:t>在施工过程中若因分包自身原因破坏已完成的工程项目时，分包方需负责修复并承担所有费</w:t>
      </w:r>
      <w:r>
        <w:rPr>
          <w:rFonts w:hint="eastAsia"/>
          <w:color w:val="auto"/>
          <w:sz w:val="21"/>
          <w:szCs w:val="21"/>
          <w:highlight w:val="none"/>
        </w:rPr>
        <w:t>用及可能引起的一切经济损失。</w:t>
      </w:r>
    </w:p>
    <w:p w14:paraId="1524C614">
      <w:pPr>
        <w:pStyle w:val="11"/>
        <w:ind w:firstLine="42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6.50公司性质：本公司性质符合以下第</w:t>
      </w:r>
      <w:r>
        <w:rPr>
          <w:rFonts w:hint="eastAsia" w:ascii="Times New Roman" w:hAnsi="Times New Roman" w:eastAsia="宋体" w:cs="Times New Roman"/>
          <w:color w:val="auto"/>
          <w:sz w:val="21"/>
          <w:szCs w:val="21"/>
          <w:highlight w:val="none"/>
          <w:u w:val="single"/>
          <w:lang w:val="en-US" w:eastAsia="zh-CN"/>
        </w:rPr>
        <w:t xml:space="preserve">      </w:t>
      </w:r>
      <w:r>
        <w:rPr>
          <w:rFonts w:hint="eastAsia" w:ascii="Times New Roman" w:hAnsi="Times New Roman" w:eastAsia="宋体" w:cs="Times New Roman"/>
          <w:color w:val="auto"/>
          <w:sz w:val="21"/>
          <w:szCs w:val="21"/>
          <w:highlight w:val="none"/>
          <w:lang w:val="en-US" w:eastAsia="zh-CN"/>
        </w:rPr>
        <w:t>条之规定。</w:t>
      </w:r>
    </w:p>
    <w:p w14:paraId="5EB7CC67">
      <w:pPr>
        <w:pStyle w:val="11"/>
        <w:ind w:firstLine="420"/>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（1）本公司符合《中小企业划型标准规定》（工信部联企业〔2011〕300号）的划型标准中的</w:t>
      </w:r>
      <w:r>
        <w:rPr>
          <w:rFonts w:hint="eastAsia" w:ascii="Times New Roman" w:hAnsi="Times New Roman" w:eastAsia="宋体" w:cs="Times New Roman"/>
          <w:color w:val="auto"/>
          <w:sz w:val="21"/>
          <w:szCs w:val="21"/>
          <w:highlight w:val="none"/>
          <w:lang w:val="en-US" w:eastAsia="zh-CN"/>
        </w:rPr>
        <w:sym w:font="Wingdings 2" w:char="00A3"/>
      </w:r>
      <w:r>
        <w:rPr>
          <w:rFonts w:hint="eastAsia" w:ascii="Times New Roman" w:hAnsi="Times New Roman" w:eastAsia="宋体" w:cs="Times New Roman"/>
          <w:color w:val="auto"/>
          <w:sz w:val="21"/>
          <w:szCs w:val="21"/>
          <w:highlight w:val="none"/>
          <w:lang w:val="en-US" w:eastAsia="zh-CN"/>
        </w:rPr>
        <w:t>微型、</w:t>
      </w:r>
      <w:r>
        <w:rPr>
          <w:rFonts w:hint="eastAsia" w:ascii="Times New Roman" w:hAnsi="Times New Roman" w:eastAsia="宋体" w:cs="Times New Roman"/>
          <w:color w:val="auto"/>
          <w:sz w:val="21"/>
          <w:szCs w:val="21"/>
          <w:highlight w:val="none"/>
          <w:lang w:val="en-US" w:eastAsia="zh-CN"/>
        </w:rPr>
        <w:sym w:font="Wingdings 2" w:char="00A3"/>
      </w:r>
      <w:r>
        <w:rPr>
          <w:rFonts w:hint="eastAsia" w:ascii="Times New Roman" w:hAnsi="Times New Roman" w:eastAsia="宋体" w:cs="Times New Roman"/>
          <w:color w:val="auto"/>
          <w:sz w:val="21"/>
          <w:szCs w:val="21"/>
          <w:highlight w:val="none"/>
          <w:lang w:val="en-US" w:eastAsia="zh-CN"/>
        </w:rPr>
        <w:t>小型、</w:t>
      </w:r>
      <w:r>
        <w:rPr>
          <w:rFonts w:hint="eastAsia" w:ascii="Times New Roman" w:hAnsi="Times New Roman" w:eastAsia="宋体" w:cs="Times New Roman"/>
          <w:color w:val="auto"/>
          <w:sz w:val="21"/>
          <w:szCs w:val="21"/>
          <w:highlight w:val="none"/>
          <w:lang w:val="en-US" w:eastAsia="zh-CN"/>
        </w:rPr>
        <w:sym w:font="Wingdings 2" w:char="00A3"/>
      </w:r>
      <w:r>
        <w:rPr>
          <w:rFonts w:hint="eastAsia" w:ascii="Times New Roman" w:hAnsi="Times New Roman" w:eastAsia="宋体" w:cs="Times New Roman"/>
          <w:color w:val="auto"/>
          <w:sz w:val="21"/>
          <w:szCs w:val="21"/>
          <w:highlight w:val="none"/>
          <w:lang w:val="en-US" w:eastAsia="zh-CN"/>
        </w:rPr>
        <w:t>中型企业。[需提供：企业注册地政府主管部门（如工业和信息化局、中小企业服务中心、市场监督管理局等）出具的“中小企业证明性材料”并加盖公章，非政府机构或企业自行提供的声明文件不予认可。材料内容应明确体现该企业符合国务院批准的中小企业划分标准，常见证明材料包括：《中小企业声明函》（须由政府主管部门盖章确认）、政府官网公示的中小企业名录截图（需带有官方标识）等。]</w:t>
      </w:r>
    </w:p>
    <w:p w14:paraId="4A578692">
      <w:pPr>
        <w:pStyle w:val="11"/>
        <w:ind w:firstLine="420"/>
        <w:rPr>
          <w:color w:val="auto"/>
          <w:highlight w:val="none"/>
        </w:rPr>
      </w:pPr>
      <w:r>
        <w:rPr>
          <w:rFonts w:hint="eastAsia" w:ascii="Times New Roman" w:hAnsi="Times New Roman" w:eastAsia="宋体" w:cs="Times New Roman"/>
          <w:color w:val="auto"/>
          <w:sz w:val="21"/>
          <w:szCs w:val="21"/>
          <w:highlight w:val="none"/>
          <w:lang w:val="en-US" w:eastAsia="zh-CN"/>
        </w:rPr>
        <w:t>（2）本公司为非中小微型企业。</w:t>
      </w:r>
    </w:p>
    <w:p w14:paraId="175FCF77">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286" w:name="_Toc101366231"/>
      <w:bookmarkEnd w:id="1286"/>
      <w:bookmarkStart w:id="1287" w:name="_Toc101366229"/>
      <w:bookmarkEnd w:id="1287"/>
      <w:bookmarkStart w:id="1288" w:name="_Toc101366228"/>
      <w:bookmarkEnd w:id="1288"/>
      <w:bookmarkStart w:id="1289" w:name="_Toc101366230"/>
      <w:bookmarkEnd w:id="1289"/>
      <w:bookmarkStart w:id="1290" w:name="_Toc544"/>
      <w:bookmarkStart w:id="1291" w:name="_Toc23064"/>
      <w:bookmarkStart w:id="1292" w:name="_Toc3041"/>
      <w:bookmarkStart w:id="1293" w:name="_Toc25021"/>
      <w:bookmarkStart w:id="1294" w:name="_Toc556"/>
      <w:bookmarkStart w:id="1295" w:name="_Toc14452"/>
      <w:bookmarkStart w:id="1296" w:name="_Toc15695"/>
      <w:bookmarkStart w:id="1297" w:name="_Toc3210"/>
      <w:bookmarkStart w:id="1298" w:name="_Toc101357461"/>
      <w:bookmarkStart w:id="1299" w:name="_Toc9000"/>
      <w:bookmarkStart w:id="1300" w:name="_Toc175764451"/>
      <w:bookmarkStart w:id="1301" w:name="_Toc29276"/>
      <w:bookmarkStart w:id="1302" w:name="_Toc10615"/>
      <w:bookmarkStart w:id="1303" w:name="_Toc10220"/>
      <w:bookmarkStart w:id="1304" w:name="_Toc32452"/>
      <w:bookmarkStart w:id="1305" w:name="_Toc4482"/>
      <w:bookmarkStart w:id="1306" w:name="_Toc752"/>
      <w:bookmarkStart w:id="1307" w:name="_Toc26129"/>
      <w:bookmarkStart w:id="1308" w:name="_Toc101963515"/>
      <w:bookmarkStart w:id="1309" w:name="_Toc26576"/>
      <w:bookmarkStart w:id="1310" w:name="_Toc1623"/>
      <w:r>
        <w:rPr>
          <w:rFonts w:hint="eastAsia" w:ascii="宋体" w:hAnsi="宋体" w:eastAsia="宋体" w:cs="宋体"/>
          <w:b/>
          <w:color w:val="auto"/>
          <w:sz w:val="21"/>
          <w:szCs w:val="21"/>
          <w:highlight w:val="none"/>
          <w:lang w:eastAsia="zh-CN"/>
        </w:rPr>
        <w:t>技术质量要求</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14:paraId="37FBB15F">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7.2</w:t>
      </w:r>
      <w:r>
        <w:rPr>
          <w:rFonts w:hint="eastAsia" w:ascii="宋体" w:hAnsi="宋体" w:eastAsia="宋体" w:cs="宋体"/>
          <w:color w:val="auto"/>
          <w:sz w:val="21"/>
          <w:szCs w:val="21"/>
          <w:highlight w:val="none"/>
          <w:lang w:eastAsia="zh-CN"/>
        </w:rPr>
        <w:t>补充：</w:t>
      </w:r>
      <w:r>
        <w:rPr>
          <w:rFonts w:hint="eastAsia" w:ascii="宋体" w:hAnsi="宋体" w:eastAsia="宋体" w:cs="宋体"/>
          <w:color w:val="auto"/>
          <w:kern w:val="10"/>
          <w:sz w:val="21"/>
          <w:szCs w:val="21"/>
          <w:highlight w:val="none"/>
          <w:lang w:eastAsia="zh-CN"/>
        </w:rPr>
        <w:t>质量违约金为分包结算总价中相应金额的</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2</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lang w:eastAsia="zh-CN"/>
        </w:rPr>
        <w:t>%。</w:t>
      </w:r>
    </w:p>
    <w:p w14:paraId="4CF1740E">
      <w:pPr>
        <w:kinsoku w:val="0"/>
        <w:spacing w:after="0" w:line="480" w:lineRule="exact"/>
        <w:ind w:firstLine="420" w:firstLineChars="2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7.8乙方在施工过程中必须充分考虑环境污染问题，如发生污染遭到相关部门处罚（如：现金处罚、停工等）由乙方承担责任，如需项目部协调，产生的费用全部由乙方承担，因此问题造成工程节点未完成，甲方可对乙方进行现金处罚，在计量支付中扣除。</w:t>
      </w:r>
    </w:p>
    <w:p w14:paraId="32E31EE8">
      <w:pPr>
        <w:kinsoku w:val="0"/>
        <w:spacing w:after="0" w:line="480" w:lineRule="exact"/>
        <w:ind w:firstLine="420" w:firstLineChars="2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7.10因施工质量或施工组织不力导致的施工工期延误所产生的一切损失均由乙方承担。</w:t>
      </w:r>
    </w:p>
    <w:p w14:paraId="5EAB440F">
      <w:pPr>
        <w:kinsoku w:val="0"/>
        <w:spacing w:after="0" w:line="480" w:lineRule="exact"/>
        <w:ind w:firstLine="420" w:firstLineChars="2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7.11乙方应严格按照设计规范要求进行施工，严格控制好各施工环节。非甲方及外界原因造成的钢筋等的损耗及相关质量事故，全部由乙方承担，由此造成的相关损失也由乙方承担。</w:t>
      </w:r>
    </w:p>
    <w:p w14:paraId="77777D01">
      <w:pPr>
        <w:kinsoku w:val="0"/>
        <w:spacing w:after="0" w:line="480" w:lineRule="exact"/>
        <w:ind w:firstLine="420" w:firstLineChars="200"/>
        <w:jc w:val="both"/>
        <w:rPr>
          <w:rFonts w:hint="eastAsia"/>
          <w:color w:val="auto"/>
          <w:highlight w:val="none"/>
          <w:lang w:eastAsia="zh-CN"/>
        </w:rPr>
      </w:pPr>
      <w:r>
        <w:rPr>
          <w:rFonts w:hint="eastAsia" w:ascii="宋体" w:hAnsi="宋体" w:eastAsia="宋体" w:cs="宋体"/>
          <w:color w:val="auto"/>
          <w:sz w:val="21"/>
          <w:szCs w:val="21"/>
          <w:highlight w:val="none"/>
          <w:lang w:val="en-US" w:eastAsia="zh-CN"/>
        </w:rPr>
        <w:t>7.12乙方对所属施工人员进行施工技术交底，设专人负责工程质量自检，配合并服从就甲方现场管理人员的质量管理，负责对乙方提供的施工图纸数据进行复核，发现问题应及时上报甲方核实，无权擅自改变图纸设计，对因此产生的损失甲方不承担任何责任。</w:t>
      </w:r>
    </w:p>
    <w:p w14:paraId="0571EC90">
      <w:pPr>
        <w:widowControl w:val="0"/>
        <w:numPr>
          <w:ilvl w:val="0"/>
          <w:numId w:val="10"/>
        </w:numPr>
        <w:kinsoku w:val="0"/>
        <w:spacing w:after="0" w:line="360" w:lineRule="auto"/>
        <w:ind w:left="158" w:leftChars="75"/>
        <w:jc w:val="both"/>
        <w:outlineLvl w:val="1"/>
        <w:rPr>
          <w:rFonts w:hint="eastAsia" w:ascii="宋体" w:hAnsi="宋体" w:eastAsia="宋体" w:cs="宋体"/>
          <w:color w:val="auto"/>
          <w:kern w:val="10"/>
          <w:sz w:val="21"/>
          <w:szCs w:val="21"/>
          <w:highlight w:val="none"/>
          <w:lang w:eastAsia="zh-CN"/>
        </w:rPr>
      </w:pPr>
      <w:bookmarkStart w:id="1311" w:name="_Toc13402"/>
      <w:bookmarkStart w:id="1312" w:name="_Toc31809"/>
      <w:bookmarkStart w:id="1313" w:name="_Toc19888"/>
      <w:bookmarkStart w:id="1314" w:name="_Toc175764452"/>
      <w:bookmarkStart w:id="1315" w:name="_Toc2819"/>
      <w:bookmarkStart w:id="1316" w:name="_Toc30440"/>
      <w:bookmarkStart w:id="1317" w:name="_Toc19673"/>
      <w:bookmarkStart w:id="1318" w:name="_Toc101963516"/>
      <w:bookmarkStart w:id="1319" w:name="_Toc22750"/>
      <w:bookmarkStart w:id="1320" w:name="_Toc26939"/>
      <w:bookmarkStart w:id="1321" w:name="_Toc7540"/>
      <w:bookmarkStart w:id="1322" w:name="_Toc7739"/>
      <w:bookmarkStart w:id="1323" w:name="_Toc28201"/>
      <w:bookmarkStart w:id="1324" w:name="_Toc29298"/>
      <w:bookmarkStart w:id="1325" w:name="_Toc15624"/>
      <w:bookmarkStart w:id="1326" w:name="_Toc13749"/>
      <w:bookmarkStart w:id="1327" w:name="_Toc101357462"/>
      <w:bookmarkStart w:id="1328" w:name="_Toc5405"/>
      <w:bookmarkStart w:id="1329" w:name="_Toc20514"/>
      <w:bookmarkStart w:id="1330" w:name="_Toc22673"/>
      <w:bookmarkStart w:id="1331" w:name="_Toc14225"/>
      <w:r>
        <w:rPr>
          <w:rFonts w:hint="eastAsia" w:ascii="宋体" w:hAnsi="宋体" w:eastAsia="宋体" w:cs="宋体"/>
          <w:b/>
          <w:color w:val="auto"/>
          <w:sz w:val="21"/>
          <w:szCs w:val="21"/>
          <w:highlight w:val="none"/>
          <w:lang w:eastAsia="zh-CN"/>
        </w:rPr>
        <w:t>材料设备管理</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14:paraId="081D0932">
      <w:pPr>
        <w:kinsoku w:val="0"/>
        <w:spacing w:after="0" w:line="48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8.2半成品库存率不超过</w:t>
      </w:r>
      <w:r>
        <w:rPr>
          <w:rFonts w:hint="eastAsia" w:ascii="宋体" w:hAnsi="宋体" w:eastAsia="宋体" w:cs="宋体"/>
          <w:color w:val="auto"/>
          <w:sz w:val="21"/>
          <w:szCs w:val="21"/>
          <w:highlight w:val="none"/>
          <w:u w:val="single"/>
          <w:lang w:val="en-US" w:eastAsia="zh-CN"/>
        </w:rPr>
        <w:t>5</w:t>
      </w:r>
      <w:r>
        <w:rPr>
          <w:rFonts w:hint="eastAsia" w:ascii="宋体" w:hAnsi="宋体" w:eastAsia="宋体" w:cs="宋体"/>
          <w:color w:val="auto"/>
          <w:sz w:val="21"/>
          <w:szCs w:val="21"/>
          <w:highlight w:val="none"/>
          <w:lang w:eastAsia="zh-CN"/>
        </w:rPr>
        <w:t>%。</w:t>
      </w:r>
    </w:p>
    <w:p w14:paraId="0FEC99B0">
      <w:pPr>
        <w:kinsoku w:val="0"/>
        <w:spacing w:after="0" w:line="480" w:lineRule="exact"/>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8.7对于由甲方供应的材料，乙方应限额领料，超出限额或损耗率控制目标的部分，甲方将按甲供材料价格表中材料单价加包装、运输费等乘以超出上述核定量之部分</w:t>
      </w:r>
      <w:r>
        <w:rPr>
          <w:rFonts w:hint="eastAsia" w:ascii="宋体" w:hAnsi="宋体" w:eastAsia="宋体" w:cs="宋体"/>
          <w:b/>
          <w:bCs/>
          <w:color w:val="auto"/>
          <w:sz w:val="21"/>
          <w:szCs w:val="21"/>
          <w:highlight w:val="none"/>
          <w:u w:val="single"/>
          <w:lang w:eastAsia="zh-CN"/>
        </w:rPr>
        <w:t>1.3倍</w:t>
      </w:r>
      <w:r>
        <w:rPr>
          <w:rFonts w:hint="eastAsia" w:ascii="宋体" w:hAnsi="宋体" w:eastAsia="宋体" w:cs="宋体"/>
          <w:color w:val="auto"/>
          <w:sz w:val="21"/>
          <w:szCs w:val="21"/>
          <w:highlight w:val="none"/>
          <w:lang w:eastAsia="zh-CN"/>
        </w:rPr>
        <w:t>在对乙方的进度款或结算款中扣除。</w:t>
      </w:r>
    </w:p>
    <w:p w14:paraId="2499DA72">
      <w:pPr>
        <w:kinsoku w:val="0"/>
        <w:spacing w:after="0" w:line="480" w:lineRule="exact"/>
        <w:ind w:firstLine="420" w:firstLineChars="20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8.20钢筋</w:t>
      </w:r>
      <w:r>
        <w:rPr>
          <w:rFonts w:hint="default" w:ascii="宋体" w:hAnsi="宋体" w:eastAsia="宋体" w:cs="宋体"/>
          <w:color w:val="auto"/>
          <w:sz w:val="21"/>
          <w:szCs w:val="21"/>
          <w:highlight w:val="none"/>
          <w:lang w:val="en-US" w:eastAsia="zh-CN"/>
        </w:rPr>
        <w:t>等甲供材料的废料应由甲方过磅处理，所得收入归甲方；乙方不得私自将其处理，一经发现每次将给予</w:t>
      </w:r>
      <w:r>
        <w:rPr>
          <w:rFonts w:hint="default"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5000</w:t>
      </w:r>
      <w:r>
        <w:rPr>
          <w:rFonts w:hint="default" w:ascii="宋体" w:hAnsi="宋体" w:eastAsia="宋体" w:cs="宋体"/>
          <w:color w:val="auto"/>
          <w:sz w:val="21"/>
          <w:szCs w:val="21"/>
          <w:highlight w:val="none"/>
          <w:u w:val="single"/>
          <w:lang w:val="en-US" w:eastAsia="zh-CN"/>
        </w:rPr>
        <w:t xml:space="preserve"> </w:t>
      </w:r>
      <w:r>
        <w:rPr>
          <w:rFonts w:hint="default" w:ascii="宋体" w:hAnsi="宋体" w:eastAsia="宋体" w:cs="宋体"/>
          <w:color w:val="auto"/>
          <w:sz w:val="21"/>
          <w:szCs w:val="21"/>
          <w:highlight w:val="none"/>
          <w:lang w:val="en-US" w:eastAsia="zh-CN"/>
        </w:rPr>
        <w:t>元至</w:t>
      </w:r>
      <w:r>
        <w:rPr>
          <w:rFonts w:hint="default"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val="en-US" w:eastAsia="zh-CN"/>
        </w:rPr>
        <w:t>30000</w:t>
      </w:r>
      <w:r>
        <w:rPr>
          <w:rFonts w:hint="default" w:ascii="宋体" w:hAnsi="宋体" w:eastAsia="宋体" w:cs="宋体"/>
          <w:color w:val="auto"/>
          <w:sz w:val="21"/>
          <w:szCs w:val="21"/>
          <w:highlight w:val="none"/>
          <w:u w:val="single"/>
          <w:lang w:val="en-US" w:eastAsia="zh-CN"/>
        </w:rPr>
        <w:t xml:space="preserve"> </w:t>
      </w:r>
      <w:r>
        <w:rPr>
          <w:rFonts w:hint="default" w:ascii="宋体" w:hAnsi="宋体" w:eastAsia="宋体" w:cs="宋体"/>
          <w:color w:val="auto"/>
          <w:sz w:val="21"/>
          <w:szCs w:val="21"/>
          <w:highlight w:val="none"/>
          <w:lang w:val="en-US" w:eastAsia="zh-CN"/>
        </w:rPr>
        <w:t>元的罚款，该罚款在乙方应得工程款或履约保证金中扣除。由甲方处理的废料过磅单上须甲乙双方工地负责人签字认可以便核算</w:t>
      </w:r>
      <w:r>
        <w:rPr>
          <w:rFonts w:hint="eastAsia" w:ascii="宋体" w:hAnsi="宋体" w:eastAsia="宋体" w:cs="宋体"/>
          <w:color w:val="auto"/>
          <w:sz w:val="21"/>
          <w:szCs w:val="21"/>
          <w:highlight w:val="none"/>
          <w:lang w:val="en-US" w:eastAsia="zh-CN"/>
        </w:rPr>
        <w:t>钢筋</w:t>
      </w:r>
      <w:r>
        <w:rPr>
          <w:rFonts w:hint="default" w:ascii="宋体" w:hAnsi="宋体" w:eastAsia="宋体" w:cs="宋体"/>
          <w:color w:val="auto"/>
          <w:sz w:val="21"/>
          <w:szCs w:val="21"/>
          <w:highlight w:val="none"/>
          <w:lang w:val="en-US" w:eastAsia="zh-CN"/>
        </w:rPr>
        <w:t>总用量，并作为甲乙双方结算资料的一部分。</w:t>
      </w:r>
    </w:p>
    <w:p w14:paraId="30CE8275">
      <w:pPr>
        <w:kinsoku w:val="0"/>
        <w:spacing w:after="0" w:line="480" w:lineRule="exact"/>
        <w:ind w:firstLine="420" w:firstLineChars="2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8.21除本合同规定的应由甲方供应的材料外的其它材料均由乙方自行采购，所采购的材料须选择甲方认可的合格供应商，本工程严禁使用未经甲方批准验收的材料，乙方所购材料均包括在合同价款内。</w:t>
      </w:r>
    </w:p>
    <w:p w14:paraId="0C4B1FA7">
      <w:pPr>
        <w:kinsoku w:val="0"/>
        <w:spacing w:after="0" w:line="480" w:lineRule="exact"/>
        <w:ind w:firstLine="420" w:firstLineChars="20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8.22本工程所使用原材料（甲方供应的除外）、设备均由乙方自行组织进场，其质量必须符合技术规范及业主、监理、总包方要求，不合格材料和设备不得用于本工程，由此造成的一切损失由乙方承担。</w:t>
      </w:r>
    </w:p>
    <w:p w14:paraId="2A8073D9">
      <w:pPr>
        <w:kinsoku w:val="0"/>
        <w:spacing w:after="0" w:line="480" w:lineRule="exact"/>
        <w:ind w:firstLine="420" w:firstLineChars="200"/>
        <w:jc w:val="both"/>
        <w:rPr>
          <w:rFonts w:hint="eastAsia"/>
          <w:color w:val="auto"/>
          <w:highlight w:val="none"/>
          <w:lang w:eastAsia="zh-CN"/>
        </w:rPr>
      </w:pPr>
      <w:r>
        <w:rPr>
          <w:rFonts w:hint="eastAsia" w:ascii="宋体" w:hAnsi="宋体" w:eastAsia="宋体" w:cs="宋体"/>
          <w:color w:val="auto"/>
          <w:sz w:val="21"/>
          <w:szCs w:val="21"/>
          <w:highlight w:val="none"/>
          <w:lang w:val="en-US" w:eastAsia="zh-CN"/>
        </w:rPr>
        <w:t>8.21乙</w:t>
      </w:r>
      <w:r>
        <w:rPr>
          <w:rFonts w:hint="default" w:ascii="宋体" w:hAnsi="宋体" w:eastAsia="宋体" w:cs="宋体"/>
          <w:color w:val="auto"/>
          <w:sz w:val="21"/>
          <w:szCs w:val="21"/>
          <w:highlight w:val="none"/>
          <w:lang w:val="en-US" w:eastAsia="zh-CN"/>
        </w:rPr>
        <w:t>方按设计图纸、规范要求施工，不得有偷工减料行为，如有发现，</w:t>
      </w:r>
      <w:r>
        <w:rPr>
          <w:rFonts w:hint="eastAsia" w:ascii="宋体" w:hAnsi="宋体" w:eastAsia="宋体" w:cs="宋体"/>
          <w:color w:val="auto"/>
          <w:sz w:val="21"/>
          <w:szCs w:val="21"/>
          <w:highlight w:val="none"/>
          <w:lang w:val="en-US" w:eastAsia="zh-CN"/>
        </w:rPr>
        <w:t>甲</w:t>
      </w:r>
      <w:r>
        <w:rPr>
          <w:rFonts w:hint="default" w:ascii="宋体" w:hAnsi="宋体" w:eastAsia="宋体" w:cs="宋体"/>
          <w:color w:val="auto"/>
          <w:sz w:val="21"/>
          <w:szCs w:val="21"/>
          <w:highlight w:val="none"/>
          <w:lang w:val="en-US" w:eastAsia="zh-CN"/>
        </w:rPr>
        <w:t>方按相关规定进行质量罚款，并要求</w:t>
      </w:r>
      <w:r>
        <w:rPr>
          <w:rFonts w:hint="eastAsia" w:ascii="宋体" w:hAnsi="宋体" w:eastAsia="宋体" w:cs="宋体"/>
          <w:color w:val="auto"/>
          <w:sz w:val="21"/>
          <w:szCs w:val="21"/>
          <w:highlight w:val="none"/>
          <w:lang w:val="en-US" w:eastAsia="zh-CN"/>
        </w:rPr>
        <w:t>乙</w:t>
      </w:r>
      <w:r>
        <w:rPr>
          <w:rFonts w:hint="default" w:ascii="宋体" w:hAnsi="宋体" w:eastAsia="宋体" w:cs="宋体"/>
          <w:color w:val="auto"/>
          <w:sz w:val="21"/>
          <w:szCs w:val="21"/>
          <w:highlight w:val="none"/>
          <w:lang w:val="en-US" w:eastAsia="zh-CN"/>
        </w:rPr>
        <w:t>方进行返工处理，分包方承担一切责任后果。</w:t>
      </w:r>
    </w:p>
    <w:p w14:paraId="682558C6">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332" w:name="_Toc4835"/>
      <w:bookmarkStart w:id="1333" w:name="_Toc6224"/>
      <w:bookmarkStart w:id="1334" w:name="_Toc31479"/>
      <w:bookmarkStart w:id="1335" w:name="_Toc10045"/>
      <w:bookmarkStart w:id="1336" w:name="_Toc10377"/>
      <w:bookmarkStart w:id="1337" w:name="_Toc7144"/>
      <w:bookmarkStart w:id="1338" w:name="_Toc5704"/>
      <w:bookmarkStart w:id="1339" w:name="_Toc175764453"/>
      <w:bookmarkStart w:id="1340" w:name="_Toc26565"/>
      <w:bookmarkStart w:id="1341" w:name="_Toc13688"/>
      <w:bookmarkStart w:id="1342" w:name="_Toc10950"/>
      <w:bookmarkStart w:id="1343" w:name="_Toc2732"/>
      <w:bookmarkStart w:id="1344" w:name="_Toc11460"/>
      <w:bookmarkStart w:id="1345" w:name="_Toc12658"/>
      <w:bookmarkStart w:id="1346" w:name="_Toc19791"/>
      <w:bookmarkStart w:id="1347" w:name="_Toc19535"/>
      <w:bookmarkStart w:id="1348" w:name="_Toc101357463"/>
      <w:bookmarkStart w:id="1349" w:name="_Toc20670"/>
      <w:bookmarkStart w:id="1350" w:name="_Toc5223"/>
      <w:bookmarkStart w:id="1351" w:name="_Toc101963517"/>
      <w:bookmarkStart w:id="1352" w:name="_Toc20197"/>
      <w:r>
        <w:rPr>
          <w:rFonts w:hint="eastAsia" w:ascii="宋体" w:hAnsi="宋体" w:eastAsia="宋体" w:cs="宋体"/>
          <w:b/>
          <w:color w:val="auto"/>
          <w:sz w:val="21"/>
          <w:szCs w:val="21"/>
          <w:highlight w:val="none"/>
          <w:lang w:eastAsia="zh-CN"/>
        </w:rPr>
        <w:t>安全文明施工管理</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14:paraId="13A404DE">
      <w:pPr>
        <w:kinsoku w:val="0"/>
        <w:spacing w:after="0" w:line="360" w:lineRule="auto"/>
        <w:ind w:firstLine="422" w:firstLineChars="200"/>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9.4补充：乙方必须缴纳安全风险抵押金</w:t>
      </w:r>
      <w:r>
        <w:rPr>
          <w:rFonts w:hint="eastAsia" w:ascii="宋体" w:hAnsi="宋体" w:eastAsia="宋体" w:cs="宋体"/>
          <w:b/>
          <w:bCs/>
          <w:color w:val="auto"/>
          <w:sz w:val="21"/>
          <w:szCs w:val="21"/>
          <w:highlight w:val="none"/>
          <w:u w:val="single"/>
          <w:lang w:eastAsia="zh-CN"/>
        </w:rPr>
        <w:t xml:space="preserve"> </w:t>
      </w:r>
      <w:r>
        <w:rPr>
          <w:rFonts w:hint="eastAsia" w:ascii="宋体" w:hAnsi="宋体" w:eastAsia="宋体" w:cs="宋体"/>
          <w:b/>
          <w:bCs/>
          <w:color w:val="auto"/>
          <w:sz w:val="21"/>
          <w:szCs w:val="21"/>
          <w:highlight w:val="none"/>
          <w:u w:val="single"/>
          <w:lang w:val="en-US" w:eastAsia="zh-CN"/>
        </w:rPr>
        <w:t>2</w:t>
      </w:r>
      <w:r>
        <w:rPr>
          <w:rFonts w:hint="eastAsia" w:ascii="宋体" w:hAnsi="宋体" w:eastAsia="宋体" w:cs="宋体"/>
          <w:b/>
          <w:bCs/>
          <w:color w:val="auto"/>
          <w:sz w:val="21"/>
          <w:szCs w:val="21"/>
          <w:highlight w:val="none"/>
          <w:u w:val="single"/>
          <w:lang w:eastAsia="zh-CN"/>
        </w:rPr>
        <w:t xml:space="preserve"> </w:t>
      </w:r>
      <w:r>
        <w:rPr>
          <w:rFonts w:hint="eastAsia" w:ascii="宋体" w:hAnsi="宋体" w:eastAsia="宋体" w:cs="宋体"/>
          <w:b/>
          <w:bCs/>
          <w:color w:val="auto"/>
          <w:sz w:val="21"/>
          <w:szCs w:val="21"/>
          <w:highlight w:val="none"/>
          <w:lang w:eastAsia="zh-CN"/>
        </w:rPr>
        <w:t>万元。</w:t>
      </w:r>
    </w:p>
    <w:p w14:paraId="4B1B50B1">
      <w:pPr>
        <w:kinsoku w:val="0"/>
        <w:spacing w:after="0" w:line="360" w:lineRule="auto"/>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9.12</w:t>
      </w:r>
      <w:r>
        <w:rPr>
          <w:rFonts w:hint="eastAsia" w:ascii="宋体" w:hAnsi="宋体" w:eastAsia="宋体" w:cs="宋体"/>
          <w:color w:val="auto"/>
          <w:sz w:val="21"/>
          <w:szCs w:val="21"/>
          <w:highlight w:val="none"/>
          <w:lang w:eastAsia="zh-CN"/>
        </w:rPr>
        <w:t>劳动防护用品（</w:t>
      </w:r>
      <w:r>
        <w:rPr>
          <w:rFonts w:hint="eastAsia" w:ascii="宋体" w:hAnsi="宋体" w:eastAsia="宋体" w:cs="宋体"/>
          <w:color w:val="auto"/>
          <w:sz w:val="21"/>
          <w:szCs w:val="21"/>
          <w:highlight w:val="none"/>
          <w:lang w:val="en-US" w:eastAsia="zh-CN"/>
        </w:rPr>
        <w:t>包括“三宝一器”：安全帽、安全带、安全网、漏电保护器</w:t>
      </w:r>
      <w:r>
        <w:rPr>
          <w:rFonts w:hint="eastAsia" w:ascii="宋体" w:hAnsi="宋体" w:eastAsia="宋体" w:cs="宋体"/>
          <w:color w:val="auto"/>
          <w:sz w:val="21"/>
          <w:szCs w:val="21"/>
          <w:highlight w:val="none"/>
          <w:lang w:eastAsia="zh-CN"/>
        </w:rPr>
        <w:t>）的购买、验收、发放、使用、更换和报废统一由</w:t>
      </w:r>
      <w:r>
        <w:rPr>
          <w:rFonts w:hint="eastAsia" w:ascii="宋体" w:hAnsi="宋体" w:eastAsia="宋体" w:cs="宋体"/>
          <w:color w:val="auto"/>
          <w:sz w:val="21"/>
          <w:szCs w:val="21"/>
          <w:highlight w:val="none"/>
          <w:u w:val="single"/>
          <w:lang w:eastAsia="zh-CN"/>
        </w:rPr>
        <w:t>乙方</w:t>
      </w:r>
      <w:r>
        <w:rPr>
          <w:rFonts w:hint="eastAsia" w:ascii="宋体" w:hAnsi="宋体" w:eastAsia="宋体" w:cs="宋体"/>
          <w:color w:val="auto"/>
          <w:sz w:val="21"/>
          <w:szCs w:val="21"/>
          <w:highlight w:val="none"/>
          <w:lang w:eastAsia="zh-CN"/>
        </w:rPr>
        <w:t>负责，费用由乙方承担，</w:t>
      </w:r>
      <w:r>
        <w:rPr>
          <w:rFonts w:hint="eastAsia" w:ascii="宋体" w:hAnsi="宋体" w:eastAsia="宋体" w:cs="宋体"/>
          <w:color w:val="auto"/>
          <w:sz w:val="21"/>
          <w:szCs w:val="21"/>
          <w:highlight w:val="none"/>
          <w:lang w:val="en-US" w:eastAsia="zh-CN"/>
        </w:rPr>
        <w:t>若甲方购买的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则</w:t>
      </w:r>
      <w:r>
        <w:rPr>
          <w:rFonts w:hint="eastAsia" w:ascii="宋体" w:hAnsi="宋体" w:eastAsia="宋体" w:cs="宋体"/>
          <w:color w:val="auto"/>
          <w:sz w:val="21"/>
          <w:szCs w:val="21"/>
          <w:highlight w:val="none"/>
          <w:lang w:eastAsia="zh-CN"/>
        </w:rPr>
        <w:t>从本分包工程的结算中扣除。</w:t>
      </w:r>
    </w:p>
    <w:p w14:paraId="3311A9B2">
      <w:pPr>
        <w:keepNext w:val="0"/>
        <w:keepLines w:val="0"/>
        <w:pageBreakBefore w:val="0"/>
        <w:widowControl w:val="0"/>
        <w:kinsoku w:val="0"/>
        <w:wordWrap/>
        <w:overflowPunct/>
        <w:topLinePunct w:val="0"/>
        <w:autoSpaceDE/>
        <w:autoSpaceDN/>
        <w:bidi w:val="0"/>
        <w:adjustRightInd/>
        <w:snapToGrid/>
        <w:spacing w:after="0" w:line="480" w:lineRule="atLeast"/>
        <w:ind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9.13 乙方安全生产费用投入必须达到项目所在地、业主及甲方要求，并提供相应的发票、</w:t>
      </w:r>
      <w:r>
        <w:rPr>
          <w:rFonts w:hint="eastAsia" w:ascii="宋体" w:hAnsi="宋体" w:eastAsia="宋体" w:cs="宋体"/>
          <w:color w:val="auto"/>
          <w:sz w:val="21"/>
          <w:szCs w:val="21"/>
          <w:highlight w:val="none"/>
          <w:lang w:val="en-US" w:eastAsia="zh-CN"/>
        </w:rPr>
        <w:t>影响资料、签认单等支撑性资料</w:t>
      </w:r>
      <w:r>
        <w:rPr>
          <w:rFonts w:hint="eastAsia" w:ascii="宋体" w:hAnsi="宋体" w:eastAsia="宋体" w:cs="宋体"/>
          <w:color w:val="auto"/>
          <w:sz w:val="21"/>
          <w:szCs w:val="21"/>
          <w:highlight w:val="none"/>
          <w:lang w:eastAsia="zh-CN"/>
        </w:rPr>
        <w:t>，若安全生产费用投入未达到要求的投入金额，甲方有权在工程款支付时扣除不足部分的安全生产费用；</w:t>
      </w:r>
    </w:p>
    <w:p w14:paraId="362E5BF8">
      <w:pPr>
        <w:keepNext w:val="0"/>
        <w:keepLines w:val="0"/>
        <w:pageBreakBefore w:val="0"/>
        <w:widowControl w:val="0"/>
        <w:kinsoku w:val="0"/>
        <w:wordWrap/>
        <w:overflowPunct/>
        <w:topLinePunct w:val="0"/>
        <w:autoSpaceDE/>
        <w:autoSpaceDN/>
        <w:bidi w:val="0"/>
        <w:adjustRightInd/>
        <w:snapToGrid/>
        <w:spacing w:after="0" w:line="480" w:lineRule="atLeast"/>
        <w:ind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9.14乙方须采取有效措施，防止机械噪声超标或机械漏油污染环境，对于不符合要求的机械应及时采取必要的措施；</w:t>
      </w:r>
    </w:p>
    <w:p w14:paraId="27BB9B9E">
      <w:pPr>
        <w:keepNext w:val="0"/>
        <w:keepLines w:val="0"/>
        <w:pageBreakBefore w:val="0"/>
        <w:widowControl w:val="0"/>
        <w:kinsoku w:val="0"/>
        <w:wordWrap/>
        <w:overflowPunct/>
        <w:topLinePunct w:val="0"/>
        <w:autoSpaceDE/>
        <w:autoSpaceDN/>
        <w:bidi w:val="0"/>
        <w:adjustRightInd/>
        <w:snapToGrid/>
        <w:spacing w:after="0" w:line="480" w:lineRule="atLeast"/>
        <w:ind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9.1</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包方负责人按实际情况上报人员数量及身份证复印件（身份证复印件必须与本人相符）在我项目部登记备案，人员数量增减必须如实上报。若不如实上报和人员信息不相符，将对其进行1000元罚款。若没有登记和人员信息不符的人员出现安全事故由分包方承担一切责任。</w:t>
      </w:r>
    </w:p>
    <w:p w14:paraId="3188B490">
      <w:pPr>
        <w:keepNext w:val="0"/>
        <w:keepLines w:val="0"/>
        <w:pageBreakBefore w:val="0"/>
        <w:widowControl w:val="0"/>
        <w:kinsoku w:val="0"/>
        <w:wordWrap/>
        <w:overflowPunct/>
        <w:topLinePunct w:val="0"/>
        <w:autoSpaceDE/>
        <w:autoSpaceDN/>
        <w:bidi w:val="0"/>
        <w:adjustRightInd/>
        <w:snapToGrid/>
        <w:spacing w:after="0" w:line="480" w:lineRule="atLeast"/>
        <w:ind w:firstLine="420" w:firstLineChars="20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9.</w:t>
      </w:r>
      <w:r>
        <w:rPr>
          <w:rFonts w:hint="eastAsia" w:ascii="宋体" w:hAnsi="宋体" w:eastAsia="宋体" w:cs="宋体"/>
          <w:color w:val="auto"/>
          <w:sz w:val="21"/>
          <w:szCs w:val="21"/>
          <w:highlight w:val="none"/>
          <w:lang w:val="en-US" w:eastAsia="zh-CN"/>
        </w:rPr>
        <w:t>16</w:t>
      </w:r>
      <w:r>
        <w:rPr>
          <w:rFonts w:hint="eastAsia" w:ascii="宋体" w:hAnsi="宋体" w:eastAsia="宋体" w:cs="宋体"/>
          <w:color w:val="auto"/>
          <w:sz w:val="21"/>
          <w:szCs w:val="21"/>
          <w:highlight w:val="none"/>
          <w:lang w:eastAsia="zh-CN"/>
        </w:rPr>
        <w:t>在施工场地涉及危险地区或需要安全防护措施施工时，</w:t>
      </w:r>
      <w:r>
        <w:rPr>
          <w:rFonts w:hint="eastAsia" w:ascii="宋体" w:hAnsi="宋体" w:eastAsia="宋体" w:cs="宋体"/>
          <w:color w:val="auto"/>
          <w:sz w:val="21"/>
          <w:szCs w:val="21"/>
          <w:highlight w:val="none"/>
          <w:lang w:val="en-US" w:eastAsia="zh-CN"/>
        </w:rPr>
        <w:t>乙</w:t>
      </w:r>
      <w:r>
        <w:rPr>
          <w:rFonts w:hint="eastAsia" w:ascii="宋体" w:hAnsi="宋体" w:eastAsia="宋体" w:cs="宋体"/>
          <w:color w:val="auto"/>
          <w:sz w:val="21"/>
          <w:szCs w:val="21"/>
          <w:highlight w:val="none"/>
          <w:lang w:eastAsia="zh-CN"/>
        </w:rPr>
        <w:t>方应提出安全防护措施，经</w:t>
      </w:r>
      <w:r>
        <w:rPr>
          <w:rFonts w:hint="eastAsia" w:ascii="宋体" w:hAnsi="宋体" w:eastAsia="宋体" w:cs="宋体"/>
          <w:color w:val="auto"/>
          <w:sz w:val="21"/>
          <w:szCs w:val="21"/>
          <w:highlight w:val="none"/>
          <w:lang w:val="en-US" w:eastAsia="zh-CN"/>
        </w:rPr>
        <w:t>甲</w:t>
      </w:r>
      <w:r>
        <w:rPr>
          <w:rFonts w:hint="eastAsia" w:ascii="宋体" w:hAnsi="宋体" w:eastAsia="宋体" w:cs="宋体"/>
          <w:color w:val="auto"/>
          <w:sz w:val="21"/>
          <w:szCs w:val="21"/>
          <w:highlight w:val="none"/>
          <w:lang w:eastAsia="zh-CN"/>
        </w:rPr>
        <w:t>方批准后实施，发生的相应费用由</w:t>
      </w:r>
      <w:r>
        <w:rPr>
          <w:rFonts w:hint="eastAsia" w:ascii="宋体" w:hAnsi="宋体" w:eastAsia="宋体" w:cs="宋体"/>
          <w:color w:val="auto"/>
          <w:sz w:val="21"/>
          <w:szCs w:val="21"/>
          <w:highlight w:val="none"/>
          <w:lang w:val="en-US" w:eastAsia="zh-CN"/>
        </w:rPr>
        <w:t>乙</w:t>
      </w:r>
      <w:r>
        <w:rPr>
          <w:rFonts w:hint="eastAsia" w:ascii="宋体" w:hAnsi="宋体" w:eastAsia="宋体" w:cs="宋体"/>
          <w:color w:val="auto"/>
          <w:sz w:val="21"/>
          <w:szCs w:val="21"/>
          <w:highlight w:val="none"/>
          <w:lang w:eastAsia="zh-CN"/>
        </w:rPr>
        <w:t>方承担。</w:t>
      </w:r>
    </w:p>
    <w:p w14:paraId="376E0C17">
      <w:pPr>
        <w:keepNext w:val="0"/>
        <w:keepLines w:val="0"/>
        <w:pageBreakBefore w:val="0"/>
        <w:widowControl w:val="0"/>
        <w:kinsoku w:val="0"/>
        <w:wordWrap/>
        <w:overflowPunct/>
        <w:topLinePunct w:val="0"/>
        <w:autoSpaceDE/>
        <w:autoSpaceDN/>
        <w:bidi w:val="0"/>
        <w:adjustRightInd/>
        <w:snapToGrid/>
        <w:spacing w:after="0" w:line="480" w:lineRule="atLeast"/>
        <w:ind w:firstLine="420" w:firstLineChars="200"/>
        <w:jc w:val="both"/>
        <w:textAlignment w:val="auto"/>
        <w:rPr>
          <w:rFonts w:hint="eastAsia"/>
          <w:color w:val="auto"/>
          <w:highlight w:val="none"/>
          <w:lang w:eastAsia="zh-CN"/>
        </w:rPr>
      </w:pPr>
      <w:r>
        <w:rPr>
          <w:rFonts w:hint="eastAsia" w:ascii="宋体" w:hAnsi="宋体" w:eastAsia="宋体" w:cs="宋体"/>
          <w:color w:val="auto"/>
          <w:sz w:val="21"/>
          <w:szCs w:val="21"/>
          <w:highlight w:val="none"/>
          <w:lang w:val="en-US" w:eastAsia="zh-CN"/>
        </w:rPr>
        <w:t>9.17乙方必须对其施工范围和相关场所以及所有施工人员、管理辅助人员、设备、财产及第三人的安全负一切责任，在施工及材料的采购、运输等过程中发生的一切人身伤残、死亡、财产损失、损害及意外事故均由乙方承担，如发生安全事故，甲方有权在乙方进度款或安全履约保证金内扣除相应资金用于安全事故处理。</w:t>
      </w:r>
    </w:p>
    <w:p w14:paraId="36C8F4E7">
      <w:pPr>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lang w:eastAsia="zh-CN"/>
        </w:rPr>
      </w:pPr>
      <w:bookmarkStart w:id="1353" w:name="_Toc175764454"/>
      <w:bookmarkStart w:id="1354" w:name="_Toc101963518"/>
      <w:bookmarkStart w:id="1355" w:name="_Toc101357464"/>
      <w:bookmarkStart w:id="1356" w:name="_Toc24192"/>
      <w:bookmarkStart w:id="1357" w:name="_Toc28699"/>
      <w:bookmarkStart w:id="1358" w:name="_Toc21644"/>
      <w:bookmarkStart w:id="1359" w:name="_Toc14336"/>
      <w:bookmarkStart w:id="1360" w:name="_Toc3250"/>
      <w:bookmarkStart w:id="1361" w:name="_Toc17137"/>
      <w:bookmarkStart w:id="1362" w:name="_Toc25432"/>
      <w:bookmarkStart w:id="1363" w:name="_Toc4937"/>
      <w:bookmarkStart w:id="1364" w:name="_Toc29188"/>
      <w:bookmarkStart w:id="1365" w:name="_Toc26103"/>
      <w:bookmarkStart w:id="1366" w:name="_Toc21567"/>
      <w:bookmarkStart w:id="1367" w:name="_Toc496"/>
      <w:bookmarkStart w:id="1368" w:name="_Toc783"/>
      <w:bookmarkStart w:id="1369" w:name="_Toc28958"/>
      <w:bookmarkStart w:id="1370" w:name="_Toc22179"/>
      <w:bookmarkStart w:id="1371" w:name="_Toc370"/>
      <w:bookmarkStart w:id="1372" w:name="_Toc10348"/>
      <w:bookmarkStart w:id="1373" w:name="_Toc2531"/>
      <w:r>
        <w:rPr>
          <w:rFonts w:hint="eastAsia" w:ascii="宋体" w:hAnsi="宋体" w:eastAsia="宋体" w:cs="宋体"/>
          <w:b/>
          <w:color w:val="auto"/>
          <w:sz w:val="21"/>
          <w:szCs w:val="21"/>
          <w:highlight w:val="none"/>
          <w:lang w:eastAsia="zh-CN"/>
        </w:rPr>
        <w:t>绿色施工、环境保护与职业健康管理</w:t>
      </w:r>
      <w:bookmarkEnd w:id="1353"/>
      <w:bookmarkEnd w:id="1354"/>
      <w:bookmarkEnd w:id="1355"/>
      <w:bookmarkStart w:id="1374" w:name="_Toc101357465"/>
    </w:p>
    <w:p w14:paraId="4449457F">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见通用合同条款。</w:t>
      </w:r>
      <w:bookmarkEnd w:id="1374"/>
    </w:p>
    <w:p w14:paraId="02726382">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lang w:eastAsia="zh-CN"/>
        </w:rPr>
      </w:pPr>
      <w:bookmarkStart w:id="1375" w:name="_Toc101357466"/>
      <w:bookmarkStart w:id="1376" w:name="_Toc175764455"/>
      <w:bookmarkStart w:id="1377" w:name="_Toc101963519"/>
      <w:r>
        <w:rPr>
          <w:rFonts w:hint="eastAsia" w:ascii="宋体" w:hAnsi="宋体" w:eastAsia="宋体" w:cs="宋体"/>
          <w:b/>
          <w:color w:val="auto"/>
          <w:sz w:val="21"/>
          <w:szCs w:val="21"/>
          <w:highlight w:val="none"/>
          <w:lang w:eastAsia="zh-CN"/>
        </w:rPr>
        <w:t>工期</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5"/>
      <w:bookmarkEnd w:id="1376"/>
      <w:bookmarkEnd w:id="1377"/>
    </w:p>
    <w:p w14:paraId="6E9961B6">
      <w:pPr>
        <w:kinsoku w:val="0"/>
        <w:spacing w:after="0" w:line="360" w:lineRule="auto"/>
        <w:ind w:firstLine="420" w:firstLineChars="200"/>
        <w:jc w:val="both"/>
        <w:rPr>
          <w:rFonts w:hint="default" w:ascii="宋体" w:hAnsi="宋体" w:eastAsia="宋体" w:cs="宋体"/>
          <w:color w:val="auto"/>
          <w:kern w:val="10"/>
          <w:sz w:val="21"/>
          <w:szCs w:val="21"/>
          <w:highlight w:val="none"/>
          <w:lang w:val="en-US" w:eastAsia="zh-CN"/>
        </w:rPr>
      </w:pPr>
      <w:bookmarkStart w:id="1378" w:name="_Toc2649"/>
      <w:r>
        <w:rPr>
          <w:rFonts w:hint="eastAsia" w:ascii="宋体" w:hAnsi="宋体" w:eastAsia="宋体" w:cs="宋体"/>
          <w:color w:val="auto"/>
          <w:sz w:val="21"/>
          <w:szCs w:val="21"/>
          <w:highlight w:val="none"/>
          <w:lang w:eastAsia="zh-CN"/>
        </w:rPr>
        <w:t>11.6主要节点工期目标：</w:t>
      </w:r>
      <w:bookmarkEnd w:id="1378"/>
      <w:r>
        <w:rPr>
          <w:rFonts w:hint="eastAsia" w:ascii="宋体" w:hAnsi="宋体" w:eastAsia="宋体" w:cs="宋体"/>
          <w:color w:val="auto"/>
          <w:sz w:val="21"/>
          <w:szCs w:val="21"/>
          <w:highlight w:val="none"/>
          <w:lang w:val="en-US" w:eastAsia="zh-CN"/>
        </w:rPr>
        <w:t>乙方进场后，按照现场实际施工进度计划制定施工节点并确定奖罚措施。</w:t>
      </w:r>
    </w:p>
    <w:p w14:paraId="33F37399">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379" w:name="_Toc101357467"/>
      <w:bookmarkStart w:id="1380" w:name="_Toc101963520"/>
      <w:bookmarkStart w:id="1381" w:name="_Toc175764456"/>
      <w:bookmarkStart w:id="1382" w:name="_Toc416"/>
      <w:bookmarkStart w:id="1383" w:name="_Toc2116"/>
      <w:bookmarkStart w:id="1384" w:name="_Toc16161"/>
      <w:bookmarkStart w:id="1385" w:name="_Toc14156"/>
      <w:bookmarkStart w:id="1386" w:name="_Toc13529"/>
      <w:bookmarkStart w:id="1387" w:name="_Toc19739"/>
      <w:bookmarkStart w:id="1388" w:name="_Toc23709"/>
      <w:bookmarkStart w:id="1389" w:name="_Toc9892"/>
      <w:bookmarkStart w:id="1390" w:name="_Toc12264"/>
      <w:bookmarkStart w:id="1391" w:name="_Toc4510"/>
      <w:bookmarkStart w:id="1392" w:name="_Toc20371"/>
      <w:bookmarkStart w:id="1393" w:name="_Toc9732"/>
      <w:bookmarkStart w:id="1394" w:name="_Toc31747"/>
      <w:bookmarkStart w:id="1395" w:name="_Toc6778"/>
      <w:bookmarkStart w:id="1396" w:name="_Toc17691"/>
      <w:bookmarkStart w:id="1397" w:name="_Toc15033"/>
      <w:bookmarkStart w:id="1398" w:name="_Toc15643"/>
      <w:bookmarkStart w:id="1399" w:name="_Toc15784"/>
      <w:r>
        <w:rPr>
          <w:rFonts w:hint="eastAsia" w:ascii="宋体" w:hAnsi="宋体" w:eastAsia="宋体" w:cs="宋体"/>
          <w:b/>
          <w:color w:val="auto"/>
          <w:sz w:val="21"/>
          <w:szCs w:val="21"/>
          <w:highlight w:val="none"/>
          <w:lang w:eastAsia="zh-CN"/>
        </w:rPr>
        <w:t>试验和检验</w:t>
      </w:r>
      <w:bookmarkEnd w:id="1379"/>
      <w:bookmarkEnd w:id="1380"/>
      <w:bookmarkEnd w:id="1381"/>
    </w:p>
    <w:p w14:paraId="0CCB9735">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bookmarkStart w:id="1400" w:name="_Toc101357468"/>
      <w:r>
        <w:rPr>
          <w:rFonts w:hint="eastAsia" w:ascii="宋体" w:hAnsi="宋体" w:eastAsia="宋体" w:cs="宋体"/>
          <w:color w:val="auto"/>
          <w:sz w:val="21"/>
          <w:szCs w:val="21"/>
          <w:highlight w:val="none"/>
          <w:lang w:eastAsia="zh-CN"/>
        </w:rPr>
        <w:t>见通用合同条款。</w:t>
      </w:r>
      <w:bookmarkEnd w:id="1400"/>
    </w:p>
    <w:p w14:paraId="0BF05152">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401" w:name="_Toc175764457"/>
      <w:bookmarkStart w:id="1402" w:name="_Toc101357469"/>
      <w:bookmarkStart w:id="1403" w:name="_Toc101963521"/>
      <w:r>
        <w:rPr>
          <w:rFonts w:hint="eastAsia" w:ascii="宋体" w:hAnsi="宋体" w:eastAsia="宋体" w:cs="宋体"/>
          <w:b/>
          <w:color w:val="auto"/>
          <w:sz w:val="21"/>
          <w:szCs w:val="21"/>
          <w:highlight w:val="none"/>
        </w:rPr>
        <w:t>合同价款与计量方式</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1"/>
      <w:bookmarkEnd w:id="1402"/>
      <w:bookmarkEnd w:id="1403"/>
    </w:p>
    <w:p w14:paraId="24D761A8">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bookmarkStart w:id="1404" w:name="_Toc3339"/>
      <w:bookmarkStart w:id="1405" w:name="_Toc10465"/>
      <w:bookmarkStart w:id="1406" w:name="_Toc15999"/>
      <w:bookmarkStart w:id="1407" w:name="_Toc18090"/>
      <w:bookmarkStart w:id="1408" w:name="_Toc21889"/>
      <w:bookmarkStart w:id="1409" w:name="_Toc29038"/>
      <w:r>
        <w:rPr>
          <w:rFonts w:hint="eastAsia" w:ascii="宋体" w:hAnsi="宋体" w:eastAsia="宋体" w:cs="宋体"/>
          <w:color w:val="auto"/>
          <w:sz w:val="21"/>
          <w:szCs w:val="21"/>
          <w:highlight w:val="none"/>
          <w:lang w:eastAsia="zh-CN"/>
        </w:rPr>
        <w:t>13.2本分包合同价格采用</w:t>
      </w:r>
      <w:r>
        <w:rPr>
          <w:rFonts w:hint="eastAsia" w:ascii="宋体" w:hAnsi="宋体" w:eastAsia="宋体" w:cs="宋体"/>
          <w:color w:val="auto"/>
          <w:sz w:val="21"/>
          <w:szCs w:val="21"/>
          <w:highlight w:val="none"/>
          <w:u w:val="single"/>
          <w:lang w:eastAsia="zh-CN"/>
        </w:rPr>
        <w:t xml:space="preserve"> 固定综合单价 </w:t>
      </w:r>
      <w:r>
        <w:rPr>
          <w:rFonts w:hint="eastAsia" w:ascii="宋体" w:hAnsi="宋体" w:eastAsia="宋体" w:cs="宋体"/>
          <w:color w:val="auto"/>
          <w:kern w:val="2"/>
          <w:sz w:val="21"/>
          <w:szCs w:val="21"/>
          <w:highlight w:val="none"/>
          <w:u w:val="single"/>
          <w:lang w:eastAsia="zh-CN" w:bidi="ar-SA"/>
        </w:rPr>
        <w:t>形式</w:t>
      </w:r>
      <w:r>
        <w:rPr>
          <w:rFonts w:hint="eastAsia" w:ascii="宋体" w:hAnsi="宋体" w:eastAsia="宋体" w:cs="宋体"/>
          <w:color w:val="auto"/>
          <w:sz w:val="21"/>
          <w:szCs w:val="21"/>
          <w:highlight w:val="none"/>
          <w:lang w:eastAsia="zh-CN"/>
        </w:rPr>
        <w:t>。</w:t>
      </w:r>
    </w:p>
    <w:p w14:paraId="051823FC">
      <w:pPr>
        <w:kinsoku w:val="0"/>
        <w:spacing w:after="0" w:line="360" w:lineRule="auto"/>
        <w:ind w:firstLine="420" w:firstLineChars="200"/>
        <w:jc w:val="both"/>
        <w:rPr>
          <w:rFonts w:hint="eastAsia" w:ascii="宋体" w:hAnsi="宋体" w:eastAsia="宋体" w:cs="宋体"/>
          <w:color w:val="auto"/>
          <w:kern w:val="10"/>
          <w:sz w:val="21"/>
          <w:szCs w:val="21"/>
          <w:highlight w:val="none"/>
          <w:u w:val="single"/>
          <w:lang w:eastAsia="zh-CN"/>
        </w:rPr>
      </w:pPr>
      <w:r>
        <w:rPr>
          <w:rFonts w:hint="eastAsia" w:ascii="宋体" w:hAnsi="宋体" w:eastAsia="宋体" w:cs="宋体"/>
          <w:color w:val="auto"/>
          <w:sz w:val="21"/>
          <w:szCs w:val="21"/>
          <w:highlight w:val="none"/>
          <w:lang w:eastAsia="zh-CN"/>
        </w:rPr>
        <w:t>13.5</w:t>
      </w:r>
      <w:r>
        <w:rPr>
          <w:rFonts w:hint="eastAsia" w:ascii="宋体" w:hAnsi="宋体" w:eastAsia="宋体" w:cs="宋体"/>
          <w:color w:val="auto"/>
          <w:kern w:val="10"/>
          <w:sz w:val="21"/>
          <w:szCs w:val="21"/>
          <w:highlight w:val="none"/>
          <w:lang w:eastAsia="zh-CN"/>
        </w:rPr>
        <w:t>合同价款综合考虑的其他因素：合同价款中应包括但不限于施工设备、人工、材料和设备（按本合同要求由分包方自行采购的部分材料和设备）、安装、维护、管理、保险（按</w:t>
      </w:r>
      <w:r>
        <w:rPr>
          <w:rFonts w:hint="eastAsia" w:ascii="宋体" w:hAnsi="宋体" w:eastAsia="宋体" w:cs="宋体"/>
          <w:color w:val="auto"/>
          <w:kern w:val="10"/>
          <w:sz w:val="21"/>
          <w:szCs w:val="21"/>
          <w:highlight w:val="none"/>
          <w:lang w:val="en-US" w:eastAsia="zh-CN"/>
        </w:rPr>
        <w:t>河北</w:t>
      </w:r>
      <w:r>
        <w:rPr>
          <w:rFonts w:hint="eastAsia" w:ascii="宋体" w:hAnsi="宋体" w:eastAsia="宋体" w:cs="宋体"/>
          <w:color w:val="auto"/>
          <w:kern w:val="10"/>
          <w:sz w:val="21"/>
          <w:szCs w:val="21"/>
          <w:highlight w:val="none"/>
          <w:lang w:eastAsia="zh-CN"/>
        </w:rPr>
        <w:t>省的有关规定由分包方办理的保险）、利润、税金、风险、责任，与搬运、发运、装卸、仓储、包装等有关的所有费用、与各类材料和工程设备施工就位和安装固定相关的卸车、装车、水平运输、现场倒运、垂直运输等的费用、以及分包方应在其合同价格中考虑但不仅限于下列与雇佣工人相关的所有费用（如：法定假日和公共休息日；上下班交通时间和发生费用；政府收费；非生产用工；因工人自身原因导致的加班；工人的奖金；劳动保护费用；各种社会保险费用；与雇佣工人相关的其它费用）、与指定分包方、其他分包方以及指定供应相关的管理、服务、配合、协调以及承担本合同规定的其他所有相应责任和义务相关的所有费用等以及涉及和国家及</w:t>
      </w:r>
      <w:r>
        <w:rPr>
          <w:rFonts w:hint="eastAsia" w:ascii="宋体" w:hAnsi="宋体" w:eastAsia="宋体" w:cs="宋体"/>
          <w:color w:val="auto"/>
          <w:kern w:val="10"/>
          <w:sz w:val="21"/>
          <w:szCs w:val="21"/>
          <w:highlight w:val="none"/>
          <w:lang w:val="en-US" w:eastAsia="zh-CN"/>
        </w:rPr>
        <w:t>河北</w:t>
      </w:r>
      <w:r>
        <w:rPr>
          <w:rFonts w:hint="eastAsia" w:ascii="宋体" w:hAnsi="宋体" w:eastAsia="宋体" w:cs="宋体"/>
          <w:color w:val="auto"/>
          <w:kern w:val="10"/>
          <w:sz w:val="21"/>
          <w:szCs w:val="21"/>
          <w:highlight w:val="none"/>
          <w:lang w:eastAsia="zh-CN"/>
        </w:rPr>
        <w:t>政策性文件规定的所有费用。</w:t>
      </w:r>
    </w:p>
    <w:p w14:paraId="59E73767">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13.9计量方式</w:t>
      </w:r>
    </w:p>
    <w:p w14:paraId="48E6481F">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13.9.1本工程工程量以</w:t>
      </w:r>
      <w:r>
        <w:rPr>
          <w:rFonts w:hint="eastAsia" w:ascii="宋体" w:hAnsi="宋体" w:eastAsia="宋体" w:cs="宋体"/>
          <w:color w:val="auto"/>
          <w:sz w:val="21"/>
          <w:szCs w:val="21"/>
          <w:highlight w:val="none"/>
          <w:u w:val="single"/>
          <w:lang w:eastAsia="zh-CN"/>
        </w:rPr>
        <w:t>设计院出具的施工蓝图</w:t>
      </w:r>
      <w:r>
        <w:rPr>
          <w:rFonts w:hint="eastAsia" w:ascii="宋体" w:hAnsi="宋体" w:eastAsia="宋体" w:cs="宋体"/>
          <w:color w:val="auto"/>
          <w:sz w:val="21"/>
          <w:szCs w:val="21"/>
          <w:highlight w:val="none"/>
          <w:lang w:eastAsia="zh-CN"/>
        </w:rPr>
        <w:t>作为计算依据，计量原则按照以下第</w:t>
      </w:r>
      <w:r>
        <w:rPr>
          <w:rFonts w:hint="eastAsia" w:ascii="宋体" w:hAnsi="宋体" w:eastAsia="宋体" w:cs="宋体"/>
          <w:color w:val="auto"/>
          <w:kern w:val="10"/>
          <w:sz w:val="21"/>
          <w:szCs w:val="21"/>
          <w:highlight w:val="none"/>
          <w:u w:val="single"/>
          <w:lang w:val="en-US" w:eastAsia="zh-CN"/>
        </w:rPr>
        <w:t>2</w:t>
      </w:r>
      <w:r>
        <w:rPr>
          <w:rFonts w:hint="eastAsia" w:ascii="宋体" w:hAnsi="宋体" w:eastAsia="宋体" w:cs="宋体"/>
          <w:color w:val="auto"/>
          <w:sz w:val="21"/>
          <w:szCs w:val="21"/>
          <w:highlight w:val="none"/>
          <w:lang w:eastAsia="zh-CN"/>
        </w:rPr>
        <w:t>种方式执行，按照计算工程量与现场实际施工完成的合格工程量的较小值计算，并以经甲方最终确认的工程数量为准，但不得高于建设单位批复数量。</w:t>
      </w:r>
      <w:bookmarkEnd w:id="1404"/>
      <w:bookmarkEnd w:id="1405"/>
      <w:bookmarkEnd w:id="1406"/>
      <w:bookmarkEnd w:id="1407"/>
      <w:bookmarkEnd w:id="1408"/>
      <w:bookmarkEnd w:id="1409"/>
    </w:p>
    <w:p w14:paraId="3E2465ED">
      <w:pPr>
        <w:tabs>
          <w:tab w:val="left" w:pos="900"/>
        </w:tabs>
        <w:kinsoku w:val="0"/>
        <w:spacing w:after="0" w:line="360" w:lineRule="auto"/>
        <w:ind w:firstLine="630" w:firstLineChars="300"/>
        <w:contextualSpacing/>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10"/>
          <w:sz w:val="21"/>
          <w:szCs w:val="21"/>
          <w:highlight w:val="none"/>
          <w:lang w:eastAsia="zh-CN"/>
        </w:rPr>
        <w:t>（1）</w:t>
      </w:r>
      <w:r>
        <w:rPr>
          <w:rFonts w:hint="eastAsia" w:ascii="宋体" w:hAnsi="宋体" w:eastAsia="宋体" w:cs="宋体"/>
          <w:color w:val="auto"/>
          <w:sz w:val="21"/>
          <w:szCs w:val="21"/>
          <w:highlight w:val="none"/>
          <w:lang w:eastAsia="zh-CN"/>
        </w:rPr>
        <w:t>工程预算定额</w:t>
      </w:r>
    </w:p>
    <w:p w14:paraId="3943FD4A">
      <w:pPr>
        <w:kinsoku w:val="0"/>
        <w:spacing w:after="0" w:line="360" w:lineRule="auto"/>
        <w:ind w:firstLine="630" w:firstLineChars="3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《公路工程预算定额》（JTG/T 3832-2018）</w:t>
      </w:r>
    </w:p>
    <w:p w14:paraId="785B8398">
      <w:pPr>
        <w:kinsoku w:val="0"/>
        <w:spacing w:after="0" w:line="360" w:lineRule="auto"/>
        <w:ind w:firstLine="630" w:firstLineChars="3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（2）工程量清单规范</w:t>
      </w:r>
    </w:p>
    <w:p w14:paraId="36B1291D">
      <w:pPr>
        <w:kinsoku w:val="0"/>
        <w:spacing w:after="0" w:line="360" w:lineRule="auto"/>
        <w:ind w:firstLine="630" w:firstLineChars="300"/>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《公路工程</w:t>
      </w:r>
      <w:r>
        <w:rPr>
          <w:rFonts w:hint="eastAsia" w:ascii="宋体" w:hAnsi="宋体" w:eastAsia="宋体" w:cs="宋体"/>
          <w:color w:val="auto"/>
          <w:sz w:val="21"/>
          <w:szCs w:val="21"/>
          <w:highlight w:val="none"/>
          <w:lang w:val="en-US" w:eastAsia="zh-CN"/>
        </w:rPr>
        <w:t>标准施工采购文件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2018版</w:t>
      </w:r>
    </w:p>
    <w:p w14:paraId="1B5A9B55">
      <w:pPr>
        <w:numPr>
          <w:ilvl w:val="0"/>
          <w:numId w:val="11"/>
        </w:numPr>
        <w:kinsoku w:val="0"/>
        <w:adjustRightInd w:val="0"/>
        <w:snapToGrid w:val="0"/>
        <w:spacing w:after="0" w:line="360" w:lineRule="auto"/>
        <w:ind w:firstLine="420" w:firstLineChars="200"/>
        <w:contextualSpacing/>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u w:val="single"/>
          <w:lang w:eastAsia="zh-CN"/>
        </w:rPr>
        <w:t xml:space="preserve">    </w:t>
      </w:r>
    </w:p>
    <w:p w14:paraId="46717847">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410" w:name="_Toc6228"/>
      <w:bookmarkStart w:id="1411" w:name="_Toc21879"/>
      <w:bookmarkStart w:id="1412" w:name="_Toc2913"/>
      <w:bookmarkStart w:id="1413" w:name="_Toc19921"/>
      <w:bookmarkStart w:id="1414" w:name="_Toc31545"/>
      <w:bookmarkStart w:id="1415" w:name="_Toc101357470"/>
      <w:bookmarkStart w:id="1416" w:name="_Toc2347"/>
      <w:bookmarkStart w:id="1417" w:name="_Toc15608"/>
      <w:bookmarkStart w:id="1418" w:name="_Toc3437"/>
      <w:bookmarkStart w:id="1419" w:name="_Toc21360"/>
      <w:bookmarkStart w:id="1420" w:name="_Toc7533"/>
      <w:bookmarkStart w:id="1421" w:name="_Toc6377"/>
      <w:bookmarkStart w:id="1422" w:name="_Toc6199"/>
      <w:bookmarkStart w:id="1423" w:name="_Toc8900"/>
      <w:bookmarkStart w:id="1424" w:name="_Toc28009"/>
      <w:bookmarkStart w:id="1425" w:name="_Toc9193"/>
      <w:bookmarkStart w:id="1426" w:name="_Toc101963522"/>
      <w:bookmarkStart w:id="1427" w:name="_Toc11994"/>
      <w:bookmarkStart w:id="1428" w:name="_Toc438"/>
      <w:bookmarkStart w:id="1429" w:name="_Toc26062"/>
      <w:bookmarkStart w:id="1430" w:name="_Toc175764458"/>
      <w:r>
        <w:rPr>
          <w:rFonts w:hint="eastAsia" w:ascii="宋体" w:hAnsi="宋体" w:eastAsia="宋体" w:cs="宋体"/>
          <w:b/>
          <w:color w:val="auto"/>
          <w:sz w:val="21"/>
          <w:szCs w:val="21"/>
          <w:highlight w:val="none"/>
        </w:rPr>
        <w:t>变更</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rPr>
          <w:rFonts w:hint="eastAsia" w:ascii="宋体" w:hAnsi="宋体" w:eastAsia="宋体" w:cs="宋体"/>
          <w:b/>
          <w:color w:val="auto"/>
          <w:sz w:val="21"/>
          <w:szCs w:val="21"/>
          <w:highlight w:val="none"/>
          <w:lang w:eastAsia="zh-CN"/>
        </w:rPr>
        <w:t>签证</w:t>
      </w:r>
      <w:bookmarkEnd w:id="1430"/>
    </w:p>
    <w:p w14:paraId="78169FF4">
      <w:pPr>
        <w:kinsoku w:val="0"/>
        <w:spacing w:after="0" w:line="360" w:lineRule="auto"/>
        <w:ind w:firstLine="420" w:firstLineChars="200"/>
        <w:jc w:val="both"/>
        <w:rPr>
          <w:rFonts w:hint="eastAsia" w:ascii="宋体" w:hAnsi="宋体" w:cs="宋体"/>
          <w:color w:val="auto"/>
          <w:sz w:val="21"/>
          <w:szCs w:val="21"/>
          <w:highlight w:val="none"/>
          <w:lang w:eastAsia="zh-CN"/>
        </w:rPr>
      </w:pPr>
      <w:bookmarkStart w:id="1431" w:name="_Toc10335"/>
      <w:bookmarkStart w:id="1432" w:name="_Toc1218"/>
      <w:bookmarkStart w:id="1433" w:name="_Toc5241"/>
      <w:bookmarkStart w:id="1434" w:name="_Toc9374"/>
      <w:bookmarkStart w:id="1435" w:name="_Toc228"/>
      <w:bookmarkStart w:id="1436" w:name="_Toc10576"/>
      <w:r>
        <w:rPr>
          <w:rFonts w:hint="eastAsia" w:ascii="宋体" w:hAnsi="宋体" w:cs="宋体"/>
          <w:color w:val="auto"/>
          <w:sz w:val="21"/>
          <w:szCs w:val="21"/>
          <w:highlight w:val="none"/>
          <w:lang w:eastAsia="zh-CN"/>
        </w:rPr>
        <w:t>14.7.5增加：甲方授权本合同现场签证事项签署人员为：项目经理</w:t>
      </w:r>
      <w:r>
        <w:rPr>
          <w:rFonts w:hint="eastAsia" w:ascii="宋体" w:hAnsi="宋体" w:cs="宋体"/>
          <w:color w:val="auto"/>
          <w:sz w:val="21"/>
          <w:szCs w:val="21"/>
          <w:highlight w:val="none"/>
          <w:u w:val="single"/>
          <w:lang w:eastAsia="zh-CN"/>
        </w:rPr>
        <w:t>XXX</w:t>
      </w:r>
      <w:r>
        <w:rPr>
          <w:rFonts w:hint="eastAsia" w:ascii="宋体" w:hAnsi="宋体" w:cs="宋体"/>
          <w:color w:val="auto"/>
          <w:sz w:val="21"/>
          <w:szCs w:val="21"/>
          <w:highlight w:val="none"/>
          <w:lang w:eastAsia="zh-CN"/>
        </w:rPr>
        <w:t>及分管项目签证负责人</w:t>
      </w:r>
      <w:r>
        <w:rPr>
          <w:rFonts w:hint="eastAsia" w:ascii="宋体" w:hAnsi="宋体" w:cs="宋体"/>
          <w:color w:val="auto"/>
          <w:sz w:val="21"/>
          <w:szCs w:val="21"/>
          <w:highlight w:val="none"/>
          <w:u w:val="single"/>
          <w:lang w:eastAsia="zh-CN"/>
        </w:rPr>
        <w:t>XXX</w:t>
      </w:r>
      <w:r>
        <w:rPr>
          <w:rFonts w:hint="eastAsia" w:ascii="宋体" w:hAnsi="宋体" w:cs="宋体"/>
          <w:color w:val="auto"/>
          <w:sz w:val="21"/>
          <w:szCs w:val="21"/>
          <w:highlight w:val="none"/>
          <w:lang w:eastAsia="zh-CN"/>
        </w:rPr>
        <w:t>。单份单项额度2万元以下的现场签证签署至项目经理，单份单项额度2万元及以上的现场签证签署至分管项目签证负责人，非甲方授权人员签字确认的签证事项一律无效，不作为结算依据。在分包合同和工程量清单描述中已经明确约定由乙方负责的工作内容以及属分包合同价格包干工作内容，不能签证，即使签署了签证也为无效签证。</w:t>
      </w:r>
    </w:p>
    <w:p w14:paraId="48D9363B">
      <w:pPr>
        <w:pStyle w:val="11"/>
        <w:spacing w:after="0" w:line="360" w:lineRule="auto"/>
        <w:ind w:firstLine="420"/>
        <w:jc w:val="both"/>
        <w:rPr>
          <w:rFonts w:hint="eastAsia" w:ascii="宋体" w:hAnsi="宋体"/>
          <w:color w:val="auto"/>
          <w:sz w:val="21"/>
          <w:szCs w:val="21"/>
          <w:highlight w:val="none"/>
        </w:rPr>
      </w:pPr>
      <w:r>
        <w:rPr>
          <w:rFonts w:hint="eastAsia" w:ascii="宋体" w:hAnsi="宋体"/>
          <w:color w:val="auto"/>
          <w:sz w:val="21"/>
          <w:szCs w:val="21"/>
          <w:highlight w:val="none"/>
        </w:rPr>
        <w:t>14.7.6增加：甲方对乙方结算及付款的依据仅限于甲方与乙方双方签订的分包合同、分包补充合同（协议）及甲方授权人在权限范围内签署的现场签证。除甲方评审通过并经甲乙双方签字盖章的变更、签证单外（格式见附件16），由甲方发出的、超出分包合同工程量清单承包范围外的指令，无论何种形式（包括但不仅限于往来函件、会议纪要、洽商变更、承诺书、备忘录等</w:t>
      </w:r>
      <w:r>
        <w:rPr>
          <w:rFonts w:ascii="宋体" w:hAnsi="宋体"/>
          <w:color w:val="auto"/>
          <w:sz w:val="21"/>
          <w:szCs w:val="21"/>
          <w:highlight w:val="none"/>
        </w:rPr>
        <w:t>）</w:t>
      </w:r>
      <w:r>
        <w:rPr>
          <w:rFonts w:hint="eastAsia" w:ascii="宋体" w:hAnsi="宋体"/>
          <w:color w:val="auto"/>
          <w:sz w:val="21"/>
          <w:szCs w:val="21"/>
          <w:highlight w:val="none"/>
        </w:rPr>
        <w:t>，仅作为签订分包合同、补充合同（协议）或现场签证的辅助性支撑资料，不能单独作为甲方对乙方结算及付款的依据。甲方项目部其他任何人员的任何形式的签字均不作为甲方结算及付款的依据。</w:t>
      </w:r>
    </w:p>
    <w:bookmarkEnd w:id="1431"/>
    <w:bookmarkEnd w:id="1432"/>
    <w:bookmarkEnd w:id="1433"/>
    <w:bookmarkEnd w:id="1434"/>
    <w:bookmarkEnd w:id="1435"/>
    <w:bookmarkEnd w:id="1436"/>
    <w:p w14:paraId="5A79CCEE">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437" w:name="_Toc14584"/>
      <w:bookmarkStart w:id="1438" w:name="_Toc8618"/>
      <w:bookmarkStart w:id="1439" w:name="_Toc11817"/>
      <w:bookmarkStart w:id="1440" w:name="_Toc20022"/>
      <w:bookmarkStart w:id="1441" w:name="_Toc2547"/>
      <w:bookmarkStart w:id="1442" w:name="_Toc175764459"/>
      <w:bookmarkStart w:id="1443" w:name="_Toc101357473"/>
      <w:bookmarkStart w:id="1444" w:name="_Toc4604"/>
      <w:bookmarkStart w:id="1445" w:name="_Toc8508"/>
      <w:bookmarkStart w:id="1446" w:name="_Toc3916"/>
      <w:bookmarkStart w:id="1447" w:name="_Toc22366"/>
      <w:bookmarkStart w:id="1448" w:name="_Toc20034"/>
      <w:bookmarkStart w:id="1449" w:name="_Toc11499"/>
      <w:bookmarkStart w:id="1450" w:name="_Toc31952"/>
      <w:bookmarkStart w:id="1451" w:name="_Toc28309"/>
      <w:bookmarkStart w:id="1452" w:name="_Toc10569"/>
      <w:bookmarkStart w:id="1453" w:name="_Toc28357"/>
      <w:bookmarkStart w:id="1454" w:name="_Toc15410"/>
      <w:bookmarkStart w:id="1455" w:name="_Toc9211"/>
      <w:bookmarkStart w:id="1456" w:name="_Toc6875"/>
      <w:bookmarkStart w:id="1457" w:name="_Toc101963523"/>
      <w:bookmarkStart w:id="1458" w:name="_Toc8585"/>
      <w:bookmarkStart w:id="1459" w:name="_Toc18734"/>
      <w:bookmarkStart w:id="1460" w:name="_Toc13268"/>
      <w:bookmarkStart w:id="1461" w:name="_Toc27680"/>
      <w:bookmarkStart w:id="1462" w:name="_Toc24145"/>
      <w:bookmarkStart w:id="1463" w:name="_Toc101357471"/>
      <w:bookmarkStart w:id="1464" w:name="_Toc21651"/>
      <w:bookmarkStart w:id="1465" w:name="_Toc1067"/>
      <w:bookmarkStart w:id="1466" w:name="_Toc12415"/>
      <w:bookmarkStart w:id="1467" w:name="_Toc11858"/>
      <w:bookmarkStart w:id="1468" w:name="_Toc1084"/>
      <w:bookmarkStart w:id="1469" w:name="_Toc27504"/>
      <w:bookmarkStart w:id="1470" w:name="_Toc7740"/>
      <w:bookmarkStart w:id="1471" w:name="_Toc31997"/>
      <w:bookmarkStart w:id="1472" w:name="_Toc21029"/>
      <w:bookmarkStart w:id="1473" w:name="_Toc17252"/>
      <w:bookmarkStart w:id="1474" w:name="_Toc5433"/>
      <w:bookmarkStart w:id="1475" w:name="_Toc5210"/>
      <w:bookmarkStart w:id="1476" w:name="_Toc27949"/>
      <w:r>
        <w:rPr>
          <w:rFonts w:hint="eastAsia" w:ascii="宋体" w:hAnsi="宋体" w:eastAsia="宋体" w:cs="宋体"/>
          <w:b/>
          <w:color w:val="auto"/>
          <w:sz w:val="21"/>
          <w:szCs w:val="21"/>
          <w:highlight w:val="none"/>
        </w:rPr>
        <w:t>工程款支付</w:t>
      </w:r>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14:paraId="6FB71862">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15.1本工程</w:t>
      </w:r>
      <w:r>
        <w:rPr>
          <w:rFonts w:ascii="宋体" w:hAnsi="宋体" w:eastAsia="宋体" w:cs="宋体"/>
          <w:color w:val="auto"/>
          <w:sz w:val="21"/>
          <w:szCs w:val="21"/>
          <w:highlight w:val="none"/>
        </w:rPr>
        <w:sym w:font="Wingdings 2" w:char="F052"/>
      </w:r>
      <w:r>
        <w:rPr>
          <w:rFonts w:hint="eastAsia" w:ascii="宋体" w:hAnsi="宋体" w:eastAsia="宋体" w:cs="宋体"/>
          <w:color w:val="auto"/>
          <w:sz w:val="21"/>
          <w:szCs w:val="21"/>
          <w:highlight w:val="none"/>
          <w:lang w:eastAsia="zh-CN"/>
        </w:rPr>
        <w:t>无工程预付款，</w:t>
      </w:r>
      <w:r>
        <w:rPr>
          <w:rFonts w:ascii="宋体" w:hAnsi="宋体" w:eastAsia="宋体" w:cs="宋体"/>
          <w:color w:val="auto"/>
          <w:sz w:val="21"/>
          <w:szCs w:val="21"/>
          <w:highlight w:val="none"/>
        </w:rPr>
        <w:sym w:font="Wingdings 2" w:char="F0A3"/>
      </w:r>
      <w:r>
        <w:rPr>
          <w:rFonts w:hint="eastAsia" w:ascii="宋体" w:hAnsi="宋体" w:eastAsia="宋体" w:cs="宋体"/>
          <w:color w:val="auto"/>
          <w:sz w:val="21"/>
          <w:szCs w:val="21"/>
          <w:highlight w:val="none"/>
          <w:lang w:eastAsia="zh-CN"/>
        </w:rPr>
        <w:t>有工程预付款，工程预付款的支付时间、预付额度、工程预付款的抵扣起始时间和方式：</w:t>
      </w:r>
    </w:p>
    <w:p w14:paraId="62E1AB3F">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（1）工程预付款的支付时间：</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445957E8">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（2）工程预付款的额度：</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0FA60166">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（3）工程预付款的抵扣起始时间：</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6254989A">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（4）工程预付款的抵扣方式：</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45F77806">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（5）预付款保函：</w:t>
      </w:r>
      <w:r>
        <w:rPr>
          <w:rFonts w:hint="eastAsia" w:ascii="宋体" w:hAnsi="宋体" w:eastAsia="宋体" w:cs="宋体"/>
          <w:color w:val="auto"/>
          <w:sz w:val="21"/>
          <w:szCs w:val="21"/>
          <w:highlight w:val="none"/>
          <w:u w:val="single"/>
          <w:lang w:eastAsia="zh-CN"/>
        </w:rPr>
        <w:t>预付款支付前3日内，乙方将预付款保函按甲方的要求提供。</w:t>
      </w:r>
    </w:p>
    <w:p w14:paraId="5F625354">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15.2工程进度款的付款周期、程序、支付比例：</w:t>
      </w:r>
    </w:p>
    <w:p w14:paraId="6B8E5329">
      <w:pPr>
        <w:tabs>
          <w:tab w:val="left" w:pos="992"/>
        </w:tabs>
        <w:kinsoku w:val="0"/>
        <w:spacing w:after="0" w:line="360" w:lineRule="auto"/>
        <w:ind w:left="158" w:leftChars="75"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以下约定的支付情况，是在乙方已向甲方提供了按结算金额开具的建筑业增值税专用发票并经甲方完成发票认证和相应金额的财务收据前提下执行。</w:t>
      </w:r>
    </w:p>
    <w:p w14:paraId="609E68AD">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15.1本工程</w:t>
      </w:r>
      <w:r>
        <w:rPr>
          <w:rFonts w:ascii="宋体" w:hAnsi="宋体" w:eastAsia="宋体" w:cs="宋体"/>
          <w:color w:val="auto"/>
          <w:sz w:val="21"/>
          <w:szCs w:val="21"/>
          <w:highlight w:val="none"/>
        </w:rPr>
        <w:sym w:font="Wingdings 2" w:char="F052"/>
      </w:r>
      <w:r>
        <w:rPr>
          <w:rFonts w:hint="eastAsia" w:ascii="宋体" w:hAnsi="宋体" w:eastAsia="宋体" w:cs="宋体"/>
          <w:color w:val="auto"/>
          <w:sz w:val="21"/>
          <w:szCs w:val="21"/>
          <w:highlight w:val="none"/>
          <w:lang w:eastAsia="zh-CN"/>
        </w:rPr>
        <w:t>无工程预付款，</w:t>
      </w:r>
      <w:r>
        <w:rPr>
          <w:rFonts w:ascii="宋体" w:hAnsi="宋体" w:eastAsia="宋体" w:cs="宋体"/>
          <w:color w:val="auto"/>
          <w:sz w:val="21"/>
          <w:szCs w:val="21"/>
          <w:highlight w:val="none"/>
        </w:rPr>
        <w:sym w:font="Wingdings 2" w:char="F0A3"/>
      </w:r>
      <w:r>
        <w:rPr>
          <w:rFonts w:hint="eastAsia" w:ascii="宋体" w:hAnsi="宋体" w:eastAsia="宋体" w:cs="宋体"/>
          <w:color w:val="auto"/>
          <w:sz w:val="21"/>
          <w:szCs w:val="21"/>
          <w:highlight w:val="none"/>
          <w:lang w:eastAsia="zh-CN"/>
        </w:rPr>
        <w:t>有工程预付款，工程预付款的支付时间、预付额度、工程预付款的抵扣起始时间和方式：</w:t>
      </w:r>
    </w:p>
    <w:p w14:paraId="1075F83A">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（1）工程预付款的支付时间：</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07DDB67C">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（2）工程预付款的额度：</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5A627805">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（3）工程预付款的抵扣起始时间：</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060EAD7C">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（4）工程预付款的抵扣方式：</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39C4758A">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（5）预付款保函：</w:t>
      </w:r>
      <w:r>
        <w:rPr>
          <w:rFonts w:hint="eastAsia" w:ascii="宋体" w:hAnsi="宋体" w:eastAsia="宋体" w:cs="宋体"/>
          <w:color w:val="auto"/>
          <w:sz w:val="21"/>
          <w:szCs w:val="21"/>
          <w:highlight w:val="none"/>
          <w:u w:val="single"/>
          <w:lang w:eastAsia="zh-CN"/>
        </w:rPr>
        <w:t>预付款支付前3日内，乙方将预付款保函按甲方的要求提供。</w:t>
      </w:r>
    </w:p>
    <w:p w14:paraId="21A4771C">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15.2工程进度款的付款周期、程序、支付比例：</w:t>
      </w:r>
    </w:p>
    <w:p w14:paraId="48977E17">
      <w:pPr>
        <w:tabs>
          <w:tab w:val="left" w:pos="992"/>
        </w:tabs>
        <w:kinsoku w:val="0"/>
        <w:spacing w:after="0" w:line="360" w:lineRule="auto"/>
        <w:ind w:left="158" w:leftChars="75"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以下约定的支付情况，是在乙方已向甲方提供了按结算金额开具的建筑业增值税专用发票并经甲方完成发票认证和相应金额的财务收据前提下执行。</w:t>
      </w:r>
    </w:p>
    <w:p w14:paraId="7F00CCEA">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15.1本工程</w:t>
      </w:r>
      <w:r>
        <w:rPr>
          <w:rFonts w:ascii="宋体" w:hAnsi="宋体" w:eastAsia="宋体" w:cs="宋体"/>
          <w:color w:val="auto"/>
          <w:sz w:val="21"/>
          <w:szCs w:val="21"/>
          <w:highlight w:val="none"/>
        </w:rPr>
        <w:sym w:font="Wingdings 2" w:char="F052"/>
      </w:r>
      <w:r>
        <w:rPr>
          <w:rFonts w:hint="eastAsia" w:ascii="宋体" w:hAnsi="宋体" w:eastAsia="宋体" w:cs="宋体"/>
          <w:color w:val="auto"/>
          <w:sz w:val="21"/>
          <w:szCs w:val="21"/>
          <w:highlight w:val="none"/>
          <w:lang w:eastAsia="zh-CN"/>
        </w:rPr>
        <w:t>无工程预付款，</w:t>
      </w:r>
      <w:r>
        <w:rPr>
          <w:rFonts w:ascii="宋体" w:hAnsi="宋体" w:eastAsia="宋体" w:cs="宋体"/>
          <w:color w:val="auto"/>
          <w:sz w:val="21"/>
          <w:szCs w:val="21"/>
          <w:highlight w:val="none"/>
        </w:rPr>
        <w:sym w:font="Wingdings 2" w:char="F0A3"/>
      </w:r>
      <w:r>
        <w:rPr>
          <w:rFonts w:hint="eastAsia" w:ascii="宋体" w:hAnsi="宋体" w:eastAsia="宋体" w:cs="宋体"/>
          <w:color w:val="auto"/>
          <w:sz w:val="21"/>
          <w:szCs w:val="21"/>
          <w:highlight w:val="none"/>
          <w:lang w:eastAsia="zh-CN"/>
        </w:rPr>
        <w:t>有工程预付款，工程预付款的支付时间、预付额度、工程预付款的抵扣起始时间和方式：</w:t>
      </w:r>
    </w:p>
    <w:p w14:paraId="29CE12DC">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（1）工程预付款的支付时间：</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7CA20A46">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（2）工程预付款的额度：</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266B319C">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（3）工程预付款的抵扣起始时间：</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5256ED70">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（4）工程预付款的抵扣方式：</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6AD6AF9D">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（5）预付款保函：</w:t>
      </w:r>
      <w:r>
        <w:rPr>
          <w:rFonts w:hint="eastAsia" w:ascii="宋体" w:hAnsi="宋体" w:eastAsia="宋体" w:cs="宋体"/>
          <w:color w:val="auto"/>
          <w:sz w:val="21"/>
          <w:szCs w:val="21"/>
          <w:highlight w:val="none"/>
          <w:u w:val="single"/>
          <w:lang w:eastAsia="zh-CN"/>
        </w:rPr>
        <w:t>预付款支付前3日内，乙方将预付款保函按甲方的要求提供。</w:t>
      </w:r>
    </w:p>
    <w:p w14:paraId="442E227C">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15.2工程进度款的付款周期、程序、支付比例：</w:t>
      </w:r>
    </w:p>
    <w:p w14:paraId="6EAA3774">
      <w:pPr>
        <w:tabs>
          <w:tab w:val="left" w:pos="992"/>
        </w:tabs>
        <w:kinsoku w:val="0"/>
        <w:spacing w:after="0" w:line="360" w:lineRule="auto"/>
        <w:ind w:left="158" w:leftChars="75"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以下约定的支付情况，是在乙方已向甲方提供了按结算金额开具的建筑业增值税专用发票并经甲方完成发票认证和相应金额的财务收据前提下执行。</w:t>
      </w:r>
    </w:p>
    <w:p w14:paraId="3BF0B91A">
      <w:pPr>
        <w:numPr>
          <w:ilvl w:val="0"/>
          <w:numId w:val="12"/>
        </w:num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sz w:val="21"/>
          <w:szCs w:val="21"/>
          <w:highlight w:val="none"/>
          <w:lang w:eastAsia="zh-CN"/>
        </w:rPr>
        <w:t>本工程按</w:t>
      </w:r>
      <w:r>
        <w:rPr>
          <w:rFonts w:hint="eastAsia" w:ascii="宋体" w:hAnsi="宋体" w:eastAsia="宋体" w:cs="宋体"/>
          <w:color w:val="auto"/>
          <w:sz w:val="21"/>
          <w:szCs w:val="21"/>
          <w:highlight w:val="none"/>
          <w:u w:val="single"/>
          <w:lang w:eastAsia="zh-CN"/>
        </w:rPr>
        <w:t xml:space="preserve"> 月 </w:t>
      </w:r>
      <w:r>
        <w:rPr>
          <w:rFonts w:hint="eastAsia" w:ascii="宋体" w:hAnsi="宋体" w:eastAsia="宋体" w:cs="宋体"/>
          <w:color w:val="auto"/>
          <w:sz w:val="21"/>
          <w:szCs w:val="21"/>
          <w:highlight w:val="none"/>
          <w:lang w:eastAsia="zh-CN"/>
        </w:rPr>
        <w:t>支付进度工程款，经甲方审核完成乙方报送过程结算书后1个月内，支付甲方审定的当期进度完成量的</w:t>
      </w:r>
      <w:r>
        <w:rPr>
          <w:rFonts w:hint="eastAsia" w:ascii="宋体" w:hAnsi="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lang w:eastAsia="zh-CN"/>
        </w:rPr>
        <w:t xml:space="preserve">0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10"/>
          <w:sz w:val="21"/>
          <w:szCs w:val="21"/>
          <w:highlight w:val="none"/>
          <w:lang w:eastAsia="zh-CN"/>
        </w:rPr>
        <w:t>乙方应及时提交农民工工资支付各项手续，并对真实性、完整性负责，确保农民工工资支付比例</w:t>
      </w:r>
      <w:r>
        <w:rPr>
          <w:rFonts w:hint="eastAsia" w:ascii="宋体" w:hAnsi="宋体" w:eastAsia="宋体" w:cs="宋体"/>
          <w:color w:val="auto"/>
          <w:kern w:val="10"/>
          <w:sz w:val="21"/>
          <w:szCs w:val="21"/>
          <w:highlight w:val="none"/>
          <w:u w:val="single"/>
          <w:lang w:eastAsia="zh-CN"/>
        </w:rPr>
        <w:t>100</w:t>
      </w:r>
      <w:r>
        <w:rPr>
          <w:rFonts w:hint="eastAsia" w:ascii="宋体" w:hAnsi="宋体" w:eastAsia="宋体" w:cs="宋体"/>
          <w:color w:val="auto"/>
          <w:kern w:val="10"/>
          <w:sz w:val="21"/>
          <w:szCs w:val="21"/>
          <w:highlight w:val="none"/>
          <w:lang w:eastAsia="zh-CN"/>
        </w:rPr>
        <w:t>%。</w:t>
      </w:r>
    </w:p>
    <w:p w14:paraId="7E9C1DC8">
      <w:pPr>
        <w:numPr>
          <w:ilvl w:val="0"/>
          <w:numId w:val="12"/>
        </w:numPr>
        <w:kinsoku w:val="0"/>
        <w:spacing w:after="0" w:line="360" w:lineRule="auto"/>
        <w:ind w:firstLine="420" w:firstLineChars="200"/>
        <w:jc w:val="both"/>
        <w:rPr>
          <w:rFonts w:hint="eastAsia" w:ascii="宋体" w:hAnsi="宋体" w:eastAsia="宋体" w:cs="宋体"/>
          <w:color w:val="auto"/>
          <w:sz w:val="21"/>
          <w:szCs w:val="21"/>
          <w:highlight w:val="none"/>
          <w:u w:val="none"/>
          <w:lang w:eastAsia="zh-CN"/>
        </w:rPr>
      </w:pPr>
      <w:r>
        <w:rPr>
          <w:rFonts w:hint="eastAsia" w:ascii="宋体" w:hAnsi="宋体" w:cs="宋体"/>
          <w:color w:val="auto"/>
          <w:sz w:val="21"/>
          <w:szCs w:val="21"/>
          <w:highlight w:val="none"/>
          <w:u w:val="none"/>
          <w:lang w:val="en-US" w:eastAsia="zh-CN"/>
        </w:rPr>
        <w:t>乙方</w:t>
      </w:r>
      <w:r>
        <w:rPr>
          <w:rFonts w:hint="eastAsia" w:ascii="宋体" w:hAnsi="宋体" w:cs="宋体"/>
          <w:color w:val="auto"/>
          <w:sz w:val="21"/>
          <w:szCs w:val="21"/>
          <w:highlight w:val="none"/>
          <w:u w:val="none"/>
        </w:rPr>
        <w:t>所承包工程完工并经</w:t>
      </w:r>
      <w:r>
        <w:rPr>
          <w:rFonts w:hint="eastAsia" w:ascii="宋体" w:hAnsi="宋体" w:cs="宋体"/>
          <w:color w:val="auto"/>
          <w:sz w:val="21"/>
          <w:szCs w:val="21"/>
          <w:highlight w:val="none"/>
          <w:u w:val="none"/>
          <w:lang w:val="en-US" w:eastAsia="zh-CN"/>
        </w:rPr>
        <w:t>甲方</w:t>
      </w:r>
      <w:r>
        <w:rPr>
          <w:rFonts w:hint="eastAsia" w:ascii="宋体" w:hAnsi="宋体" w:cs="宋体"/>
          <w:color w:val="auto"/>
          <w:sz w:val="21"/>
          <w:szCs w:val="21"/>
          <w:highlight w:val="none"/>
          <w:u w:val="none"/>
        </w:rPr>
        <w:t>验收合格并办理完成最终结算后，</w:t>
      </w:r>
      <w:r>
        <w:rPr>
          <w:rFonts w:hint="eastAsia" w:ascii="宋体" w:hAnsi="宋体" w:cs="宋体"/>
          <w:color w:val="auto"/>
          <w:sz w:val="21"/>
          <w:szCs w:val="21"/>
          <w:highlight w:val="none"/>
          <w:u w:val="none"/>
          <w:lang w:val="en-US" w:eastAsia="zh-CN"/>
        </w:rPr>
        <w:t>甲方</w:t>
      </w:r>
      <w:r>
        <w:rPr>
          <w:rFonts w:hint="eastAsia" w:ascii="宋体" w:hAnsi="宋体" w:cs="宋体"/>
          <w:color w:val="auto"/>
          <w:sz w:val="21"/>
          <w:szCs w:val="21"/>
          <w:highlight w:val="none"/>
          <w:u w:val="none"/>
        </w:rPr>
        <w:t>支付</w:t>
      </w:r>
      <w:r>
        <w:rPr>
          <w:rFonts w:hint="eastAsia" w:ascii="宋体" w:hAnsi="宋体" w:cs="宋体"/>
          <w:color w:val="auto"/>
          <w:sz w:val="21"/>
          <w:szCs w:val="21"/>
          <w:highlight w:val="none"/>
          <w:u w:val="none"/>
          <w:lang w:val="en-US" w:eastAsia="zh-CN"/>
        </w:rPr>
        <w:t>乙方</w:t>
      </w:r>
      <w:r>
        <w:rPr>
          <w:rFonts w:hint="eastAsia" w:ascii="宋体" w:hAnsi="宋体" w:cs="宋体"/>
          <w:color w:val="auto"/>
          <w:sz w:val="21"/>
          <w:szCs w:val="21"/>
          <w:highlight w:val="none"/>
          <w:u w:val="none"/>
        </w:rPr>
        <w:t>工程款至最终结算金额的9</w:t>
      </w:r>
      <w:r>
        <w:rPr>
          <w:rFonts w:hint="eastAsia" w:ascii="宋体" w:hAnsi="宋体" w:cs="宋体"/>
          <w:color w:val="auto"/>
          <w:sz w:val="21"/>
          <w:szCs w:val="21"/>
          <w:highlight w:val="none"/>
          <w:u w:val="none"/>
          <w:lang w:val="en-US" w:eastAsia="zh-CN"/>
        </w:rPr>
        <w:t>7</w:t>
      </w:r>
      <w:r>
        <w:rPr>
          <w:rFonts w:hint="eastAsia" w:ascii="宋体" w:hAnsi="宋体" w:cs="宋体"/>
          <w:color w:val="auto"/>
          <w:sz w:val="21"/>
          <w:szCs w:val="21"/>
          <w:highlight w:val="none"/>
          <w:u w:val="none"/>
        </w:rPr>
        <w:t>%，剩余</w:t>
      </w:r>
      <w:r>
        <w:rPr>
          <w:rFonts w:hint="eastAsia" w:ascii="宋体" w:hAnsi="宋体" w:cs="宋体"/>
          <w:color w:val="auto"/>
          <w:sz w:val="21"/>
          <w:szCs w:val="21"/>
          <w:highlight w:val="none"/>
          <w:u w:val="none"/>
          <w:lang w:val="en-US" w:eastAsia="zh-CN"/>
        </w:rPr>
        <w:t>3</w:t>
      </w:r>
      <w:r>
        <w:rPr>
          <w:rFonts w:hint="eastAsia" w:ascii="宋体" w:hAnsi="宋体" w:cs="宋体"/>
          <w:color w:val="auto"/>
          <w:sz w:val="21"/>
          <w:szCs w:val="21"/>
          <w:highlight w:val="none"/>
          <w:u w:val="none"/>
        </w:rPr>
        <w:t>%作为工程质保金，质保金</w:t>
      </w:r>
      <w:r>
        <w:rPr>
          <w:rFonts w:hint="eastAsia" w:ascii="宋体" w:hAnsi="宋体" w:cs="宋体"/>
          <w:color w:val="auto"/>
          <w:sz w:val="21"/>
          <w:szCs w:val="21"/>
          <w:highlight w:val="none"/>
          <w:u w:val="none"/>
          <w:lang w:val="en-US" w:eastAsia="zh-CN"/>
        </w:rPr>
        <w:t>到期且扣除相应扣款后</w:t>
      </w:r>
      <w:r>
        <w:rPr>
          <w:rFonts w:hint="eastAsia" w:ascii="宋体" w:hAnsi="宋体" w:cs="宋体"/>
          <w:color w:val="auto"/>
          <w:sz w:val="21"/>
          <w:szCs w:val="21"/>
          <w:highlight w:val="none"/>
          <w:u w:val="none"/>
        </w:rPr>
        <w:t>全额无息支付给分包方。</w:t>
      </w:r>
    </w:p>
    <w:p w14:paraId="5AECB0DD">
      <w:pPr>
        <w:numPr>
          <w:ilvl w:val="0"/>
          <w:numId w:val="12"/>
        </w:num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甲乙双方一致同意对工程所有款项实施分账制支付，即，一部分是农民工工资，占结算价款比</w:t>
      </w:r>
      <w:r>
        <w:rPr>
          <w:rFonts w:hint="eastAsia" w:ascii="宋体" w:hAnsi="宋体" w:eastAsia="宋体" w:cs="宋体"/>
          <w:color w:val="auto"/>
          <w:sz w:val="21"/>
          <w:szCs w:val="21"/>
          <w:highlight w:val="none"/>
          <w:lang w:eastAsia="zh-CN"/>
        </w:rPr>
        <w:t>例的</w:t>
      </w:r>
      <w:r>
        <w:rPr>
          <w:rFonts w:hint="eastAsia" w:ascii="宋体" w:hAnsi="宋体" w:eastAsia="宋体" w:cs="宋体"/>
          <w:color w:val="auto"/>
          <w:sz w:val="21"/>
          <w:szCs w:val="21"/>
          <w:highlight w:val="none"/>
          <w:u w:val="single"/>
          <w:lang w:val="en-US" w:eastAsia="zh-CN"/>
        </w:rPr>
        <w:t>55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暂定比例，实际支付以实际进场产生为准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eastAsia="zh-CN"/>
        </w:rPr>
        <w:t>，直接通过甲方开设的农民工工资专用账户（乙方应签订农民工工资代付协议，并为农民工办理个人工资银行卡，在工人进场后7日内将工人的工资收款信息书面报送甲方，并按时编制报送每期农民工工资明细）支付至乙方指定工人（乙方在实名制平台上登记考勤的工人）的银行卡；另外一部分（含乙方采购的零星材料、辅材、小型机械费、管理费、利润和税金等除农民工工资外的全部费用）按合同约定支付到乙方指定账户。</w:t>
      </w:r>
    </w:p>
    <w:p w14:paraId="670370E2">
      <w:pPr>
        <w:numPr>
          <w:ilvl w:val="0"/>
          <w:numId w:val="12"/>
        </w:num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接受甲方以现金或银行转账方式支付人工费部分，以电汇、转账、银行汇票、信用证、保理、供应链等形式支付非人工费部分，乙方须配合甲方完成相关支付手续。付款过程中产生的贴息费用及手续费由【乙方】承担。乙方委托专职收款人办理收款业务，收款人必须取得授权。</w:t>
      </w:r>
    </w:p>
    <w:p w14:paraId="13C13CD0">
      <w:pPr>
        <w:numPr>
          <w:ilvl w:val="0"/>
          <w:numId w:val="12"/>
        </w:num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乙方指定下列账户为收款账户，当甲方采用转账方式付款时，应支付至下列账户。如乙方变更收款账户，应提前十五天以上书面通知甲方，否则造成资金的损失由乙方自行承担，与甲方无关。乙方指定收款账户：</w:t>
      </w:r>
    </w:p>
    <w:p w14:paraId="569FB8B6">
      <w:pPr>
        <w:kinsoku w:val="0"/>
        <w:spacing w:after="0" w:line="360" w:lineRule="auto"/>
        <w:ind w:left="420" w:left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账户名：</w:t>
      </w:r>
      <w:r>
        <w:rPr>
          <w:rFonts w:hint="eastAsia" w:ascii="宋体" w:hAnsi="宋体" w:eastAsia="宋体" w:cs="宋体"/>
          <w:color w:val="auto"/>
          <w:sz w:val="21"/>
          <w:szCs w:val="21"/>
          <w:highlight w:val="none"/>
          <w:u w:val="single"/>
          <w:lang w:eastAsia="zh-CN"/>
        </w:rPr>
        <w:t xml:space="preserve">                            </w:t>
      </w:r>
    </w:p>
    <w:p w14:paraId="6D2E6840">
      <w:pPr>
        <w:kinsoku w:val="0"/>
        <w:spacing w:after="0" w:line="360" w:lineRule="auto"/>
        <w:ind w:left="420" w:left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开户行：</w:t>
      </w:r>
      <w:r>
        <w:rPr>
          <w:rFonts w:hint="eastAsia" w:ascii="宋体" w:hAnsi="宋体" w:eastAsia="宋体" w:cs="宋体"/>
          <w:color w:val="auto"/>
          <w:sz w:val="21"/>
          <w:szCs w:val="21"/>
          <w:highlight w:val="none"/>
          <w:u w:val="single"/>
          <w:lang w:eastAsia="zh-CN"/>
        </w:rPr>
        <w:t xml:space="preserve">                            </w:t>
      </w:r>
    </w:p>
    <w:p w14:paraId="6531E7CB">
      <w:pPr>
        <w:kinsoku w:val="0"/>
        <w:spacing w:after="0" w:line="360" w:lineRule="auto"/>
        <w:ind w:left="420" w:left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账  号：</w:t>
      </w:r>
      <w:r>
        <w:rPr>
          <w:rFonts w:hint="eastAsia" w:ascii="宋体" w:hAnsi="宋体" w:eastAsia="宋体" w:cs="宋体"/>
          <w:color w:val="auto"/>
          <w:sz w:val="21"/>
          <w:szCs w:val="21"/>
          <w:highlight w:val="none"/>
          <w:u w:val="single"/>
          <w:lang w:eastAsia="zh-CN"/>
        </w:rPr>
        <w:t xml:space="preserve">                            </w:t>
      </w:r>
    </w:p>
    <w:p w14:paraId="6290B1ED">
      <w:pPr>
        <w:numPr>
          <w:ilvl w:val="0"/>
          <w:numId w:val="0"/>
        </w:numPr>
        <w:kinsoku w:val="0"/>
        <w:spacing w:after="0" w:line="360" w:lineRule="auto"/>
        <w:ind w:left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eastAsia="zh-CN"/>
        </w:rPr>
        <w:t>）安全生产费根据乙方安全生产措施的实际实施情况进行计量，需要乙方提供相应发票以及现场施工照片后方可进行计量。乙方投入不足或提供资料不符合要求的，甲方有权在后续工程款中扣除或要求乙方退还已支付安全生产费。</w:t>
      </w:r>
    </w:p>
    <w:p w14:paraId="7092A0DC">
      <w:pPr>
        <w:numPr>
          <w:ilvl w:val="0"/>
          <w:numId w:val="0"/>
        </w:numPr>
        <w:kinsoku w:val="0"/>
        <w:spacing w:after="0" w:line="360" w:lineRule="auto"/>
        <w:ind w:left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eastAsia="zh-CN"/>
        </w:rPr>
        <w:t>）甲方拖欠线索受理联系人：</w:t>
      </w:r>
    </w:p>
    <w:p w14:paraId="61475241">
      <w:pPr>
        <w:kinsoku w:val="0"/>
        <w:spacing w:after="0" w:line="360" w:lineRule="auto"/>
        <w:ind w:left="420" w:leftChars="200" w:firstLine="210" w:firstLineChars="1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项目部联系人：</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孙文特</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，联系电话：</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13501301834</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w:t>
      </w:r>
    </w:p>
    <w:p w14:paraId="5A1D6EF7">
      <w:pPr>
        <w:kinsoku w:val="0"/>
        <w:spacing w:after="0" w:line="360" w:lineRule="auto"/>
        <w:ind w:firstLine="630" w:firstLine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公司联系人：</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侯双全</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 xml:space="preserve"> ，联系电话： </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0311-89915065</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44A4246C">
      <w:pPr>
        <w:kinsoku w:val="0"/>
        <w:spacing w:after="0" w:line="360" w:lineRule="auto"/>
        <w:ind w:firstLine="630" w:firstLine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公司信访投诉电话：</w:t>
      </w:r>
      <w:r>
        <w:rPr>
          <w:rFonts w:hint="eastAsia" w:ascii="宋体" w:hAnsi="宋体" w:eastAsia="宋体" w:cs="宋体"/>
          <w:color w:val="auto"/>
          <w:sz w:val="21"/>
          <w:szCs w:val="21"/>
          <w:highlight w:val="none"/>
          <w:u w:val="single"/>
          <w:lang w:val="en-US" w:eastAsia="zh-CN"/>
        </w:rPr>
        <w:t>031189915068</w:t>
      </w:r>
    </w:p>
    <w:p w14:paraId="7197212D">
      <w:pPr>
        <w:kinsoku w:val="0"/>
        <w:spacing w:after="0" w:line="360" w:lineRule="auto"/>
        <w:ind w:firstLine="630" w:firstLineChars="3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信访投诉邮箱：</w:t>
      </w:r>
      <w:r>
        <w:rPr>
          <w:rFonts w:hint="eastAsia" w:ascii="宋体" w:hAnsi="宋体" w:eastAsia="宋体" w:cs="宋体"/>
          <w:color w:val="auto"/>
          <w:sz w:val="21"/>
          <w:szCs w:val="21"/>
          <w:highlight w:val="none"/>
          <w:u w:val="single"/>
          <w:lang w:val="en-US" w:eastAsia="zh-CN"/>
        </w:rPr>
        <w:t>604869518</w:t>
      </w:r>
      <w:r>
        <w:rPr>
          <w:rFonts w:hint="eastAsia" w:ascii="宋体" w:hAnsi="宋体" w:eastAsia="宋体" w:cs="宋体"/>
          <w:color w:val="auto"/>
          <w:sz w:val="21"/>
          <w:szCs w:val="21"/>
          <w:highlight w:val="none"/>
          <w:lang w:eastAsia="zh-CN"/>
        </w:rPr>
        <w:t>@qq.com</w:t>
      </w:r>
    </w:p>
    <w:p w14:paraId="182413FA">
      <w:pPr>
        <w:kinsoku w:val="0"/>
        <w:spacing w:after="0" w:line="360" w:lineRule="auto"/>
        <w:ind w:firstLine="210" w:firstLineChars="1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15.3甲方代发乙方农民工工资的程序、支付比例：</w:t>
      </w:r>
    </w:p>
    <w:p w14:paraId="1D1C640F">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（1）支付周期：</w:t>
      </w:r>
      <w:r>
        <w:rPr>
          <w:rFonts w:hint="eastAsia" w:ascii="宋体" w:hAnsi="宋体" w:eastAsia="宋体" w:cs="宋体"/>
          <w:color w:val="auto"/>
          <w:sz w:val="21"/>
          <w:szCs w:val="21"/>
          <w:highlight w:val="none"/>
          <w:u w:val="single"/>
          <w:lang w:eastAsia="zh-CN"/>
        </w:rPr>
        <w:t xml:space="preserve">  月度  </w:t>
      </w:r>
      <w:r>
        <w:rPr>
          <w:rFonts w:hint="eastAsia" w:ascii="宋体" w:hAnsi="宋体" w:eastAsia="宋体" w:cs="宋体"/>
          <w:color w:val="auto"/>
          <w:sz w:val="21"/>
          <w:szCs w:val="21"/>
          <w:highlight w:val="none"/>
          <w:lang w:eastAsia="zh-CN"/>
        </w:rPr>
        <w:t>。</w:t>
      </w:r>
    </w:p>
    <w:p w14:paraId="7F5B56BD">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（2）甲方优先代发乙方农民工工资，农民工工资代发完毕后，支付乙方当期其他工程款。</w:t>
      </w:r>
    </w:p>
    <w:p w14:paraId="2044D62F">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（3）甲方代发乙方农民工工资前，乙方应提供以下资料：</w:t>
      </w:r>
    </w:p>
    <w:p w14:paraId="7E0F5221">
      <w:pPr>
        <w:kinsoku w:val="0"/>
        <w:spacing w:after="0" w:line="360" w:lineRule="auto"/>
        <w:ind w:left="158" w:leftChars="75"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1）乙方与农民工签订的劳动合同。</w:t>
      </w:r>
    </w:p>
    <w:p w14:paraId="4A78F6B9">
      <w:pPr>
        <w:kinsoku w:val="0"/>
        <w:spacing w:after="0" w:line="360" w:lineRule="auto"/>
        <w:ind w:left="158" w:leftChars="75"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2）农民工工资支付台账、考勤表，农民工工资支付台账以班组分类，必须农民工本人签字并按手印，提供农民工本人签字并按手印的影像资料。</w:t>
      </w:r>
    </w:p>
    <w:p w14:paraId="6F9D9115">
      <w:pPr>
        <w:kinsoku w:val="0"/>
        <w:spacing w:after="0" w:line="360" w:lineRule="auto"/>
        <w:ind w:left="158" w:leftChars="75"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3）乙方出具的《农民工当期工资支付完毕声明书》。</w:t>
      </w:r>
    </w:p>
    <w:p w14:paraId="7F61D9FD">
      <w:pPr>
        <w:kinsoku w:val="0"/>
        <w:spacing w:after="0" w:line="360" w:lineRule="auto"/>
        <w:ind w:left="158" w:leftChars="75"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4）工人退场时需办理劳务工资结算单，对于已经结清工资的农民工，应在劳务结算单上签字确认工资结清承诺。</w:t>
      </w:r>
    </w:p>
    <w:p w14:paraId="10A1AA3D">
      <w:pPr>
        <w:kinsoku w:val="0"/>
        <w:spacing w:after="0" w:line="360" w:lineRule="auto"/>
        <w:ind w:left="158" w:leftChars="75"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5）乙方应向甲方出具农民工工资代发授权委托书。</w:t>
      </w:r>
    </w:p>
    <w:p w14:paraId="675EF34F">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（4）甲方根据乙方编制的农民工工资支付台账，通过农民工工资专用账户直接将工资支付到农民工本人的银行账户，并向乙方提供代发工资凭证。</w:t>
      </w:r>
    </w:p>
    <w:p w14:paraId="25643D6E">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因乙方漏报、瞒报、虚报农民工工资等原因造成甲方代乙方清偿拖欠农民工工资、超分包工程款代付农民工工资情况的，甲方可以从分包履约保证金中扣回（尚未完成履约的应及时补缴履约保证金），也可以采取索赔和追偿。</w:t>
      </w:r>
    </w:p>
    <w:p w14:paraId="0F3C1A5C">
      <w:pPr>
        <w:pStyle w:val="11"/>
        <w:spacing w:after="0" w:line="360" w:lineRule="auto"/>
        <w:ind w:firstLine="420"/>
        <w:rPr>
          <w:rFonts w:hint="eastAsia" w:ascii="宋体" w:hAnsi="宋体" w:eastAsia="宋体" w:cs="宋体"/>
          <w:b/>
          <w:bCs/>
          <w:color w:val="auto"/>
          <w:kern w:val="10"/>
          <w:sz w:val="21"/>
          <w:szCs w:val="21"/>
          <w:highlight w:val="none"/>
          <w:u w:val="single"/>
        </w:rPr>
      </w:pPr>
      <w:r>
        <w:rPr>
          <w:rFonts w:hint="eastAsia" w:ascii="宋体" w:hAnsi="宋体" w:eastAsia="宋体" w:cs="宋体"/>
          <w:color w:val="auto"/>
          <w:sz w:val="21"/>
          <w:szCs w:val="21"/>
          <w:highlight w:val="none"/>
        </w:rPr>
        <w:t>15.4本条款</w:t>
      </w:r>
      <w:r>
        <w:rPr>
          <w:rFonts w:hint="eastAsia" w:ascii="宋体" w:hAnsi="宋体" w:eastAsia="宋体" w:cs="宋体"/>
          <w:color w:val="auto"/>
          <w:sz w:val="21"/>
          <w:szCs w:val="21"/>
          <w:highlight w:val="none"/>
          <w:u w:val="single"/>
        </w:rPr>
        <w:t>【不适用】</w:t>
      </w:r>
      <w:r>
        <w:rPr>
          <w:rFonts w:hint="eastAsia" w:ascii="宋体" w:hAnsi="宋体" w:eastAsia="宋体" w:cs="宋体"/>
          <w:color w:val="auto"/>
          <w:sz w:val="21"/>
          <w:szCs w:val="21"/>
          <w:highlight w:val="none"/>
        </w:rPr>
        <w:t>。</w:t>
      </w:r>
    </w:p>
    <w:p w14:paraId="4E82F212">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15.10甲方付款前，乙方应按甲方财务要求提供合法的</w:t>
      </w:r>
      <w:r>
        <w:rPr>
          <w:rFonts w:hint="eastAsia" w:ascii="宋体" w:hAnsi="宋体" w:eastAsia="宋体" w:cs="宋体"/>
          <w:color w:val="auto"/>
          <w:sz w:val="21"/>
          <w:szCs w:val="21"/>
          <w:highlight w:val="none"/>
          <w:u w:val="single"/>
          <w:lang w:eastAsia="zh-CN"/>
        </w:rPr>
        <w:t>增值税专用发票</w:t>
      </w:r>
      <w:r>
        <w:rPr>
          <w:rFonts w:hint="eastAsia" w:ascii="宋体" w:hAnsi="宋体" w:eastAsia="宋体" w:cs="宋体"/>
          <w:color w:val="auto"/>
          <w:sz w:val="21"/>
          <w:szCs w:val="21"/>
          <w:highlight w:val="none"/>
          <w:lang w:eastAsia="zh-CN"/>
        </w:rPr>
        <w:t>，准确填写发票内容并提供发票真伪查询证明，发票备注栏应填写与总包合同一致的工程名称及工程地址（省市区）。</w:t>
      </w:r>
      <w:r>
        <w:rPr>
          <w:rFonts w:hint="eastAsia" w:ascii="宋体" w:hAnsi="宋体" w:eastAsia="宋体" w:cs="宋体"/>
          <w:b/>
          <w:bCs/>
          <w:color w:val="auto"/>
          <w:sz w:val="21"/>
          <w:szCs w:val="21"/>
          <w:highlight w:val="none"/>
          <w:lang w:eastAsia="zh-CN"/>
        </w:rPr>
        <w:t>乙方未能按甲方要求提供增值税专用发票，除扣除相应税金外，还应承担合同金额（含增值税）</w:t>
      </w:r>
      <w:r>
        <w:rPr>
          <w:rFonts w:hint="eastAsia" w:ascii="宋体" w:hAnsi="宋体" w:eastAsia="宋体" w:cs="宋体"/>
          <w:b/>
          <w:bCs/>
          <w:color w:val="auto"/>
          <w:sz w:val="21"/>
          <w:szCs w:val="21"/>
          <w:highlight w:val="none"/>
          <w:u w:val="single"/>
          <w:lang w:eastAsia="zh-CN"/>
        </w:rPr>
        <w:t>10%</w:t>
      </w:r>
      <w:r>
        <w:rPr>
          <w:rFonts w:hint="eastAsia" w:ascii="宋体" w:hAnsi="宋体" w:eastAsia="宋体" w:cs="宋体"/>
          <w:b/>
          <w:bCs/>
          <w:color w:val="auto"/>
          <w:sz w:val="21"/>
          <w:szCs w:val="21"/>
          <w:highlight w:val="none"/>
          <w:lang w:eastAsia="zh-CN"/>
        </w:rPr>
        <w:t>的违约金。</w:t>
      </w:r>
      <w:r>
        <w:rPr>
          <w:rFonts w:hint="eastAsia" w:ascii="宋体" w:hAnsi="宋体" w:eastAsia="宋体" w:cs="宋体"/>
          <w:color w:val="auto"/>
          <w:sz w:val="21"/>
          <w:szCs w:val="21"/>
          <w:highlight w:val="none"/>
          <w:lang w:eastAsia="zh-CN"/>
        </w:rPr>
        <w:t>乙方开具增值税发票后，次月必须在税务网进行抄税，未经甲方事先书面同意，乙方不得擅自将已向甲方开具的增值税发票作废。若乙方擅自作废发票，需向甲方承担作废发票金额</w:t>
      </w:r>
      <w:r>
        <w:rPr>
          <w:rFonts w:hint="eastAsia" w:ascii="宋体" w:hAnsi="宋体" w:eastAsia="宋体" w:cs="宋体"/>
          <w:color w:val="auto"/>
          <w:sz w:val="21"/>
          <w:szCs w:val="21"/>
          <w:highlight w:val="none"/>
          <w:u w:val="single"/>
          <w:lang w:eastAsia="zh-CN"/>
        </w:rPr>
        <w:t>2</w:t>
      </w:r>
      <w:r>
        <w:rPr>
          <w:rFonts w:hint="eastAsia" w:ascii="宋体" w:hAnsi="宋体" w:eastAsia="宋体" w:cs="宋体"/>
          <w:color w:val="auto"/>
          <w:sz w:val="21"/>
          <w:szCs w:val="21"/>
          <w:highlight w:val="none"/>
          <w:lang w:eastAsia="zh-CN"/>
        </w:rPr>
        <w:t>%的违约金并承担因擅自作废给甲方造成的所有责任及损失。</w:t>
      </w:r>
    </w:p>
    <w:p w14:paraId="193CC721">
      <w:pPr>
        <w:kinsoku w:val="0"/>
        <w:spacing w:after="0"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15.11发票要求：</w:t>
      </w:r>
    </w:p>
    <w:p w14:paraId="023DB9B9">
      <w:pPr>
        <w:widowControl w:val="0"/>
        <w:kinsoku w:val="0"/>
        <w:spacing w:after="0" w:line="360" w:lineRule="auto"/>
        <w:ind w:left="158" w:leftChars="75" w:firstLine="840" w:firstLineChars="400"/>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eastAsia="zh-CN"/>
        </w:rPr>
        <w:t>甲方单位名称：</w:t>
      </w:r>
      <w:r>
        <w:rPr>
          <w:rFonts w:hint="eastAsia" w:ascii="宋体" w:hAnsi="宋体" w:eastAsia="宋体" w:cs="宋体"/>
          <w:bCs/>
          <w:color w:val="auto"/>
          <w:sz w:val="21"/>
          <w:szCs w:val="21"/>
          <w:highlight w:val="none"/>
          <w:u w:val="single"/>
          <w:lang w:eastAsia="zh-CN"/>
        </w:rPr>
        <w:t xml:space="preserve"> </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Times New Roman"/>
          <w:b w:val="0"/>
          <w:bCs/>
          <w:color w:val="auto"/>
          <w:sz w:val="21"/>
          <w:szCs w:val="21"/>
          <w:highlight w:val="none"/>
          <w:u w:val="single"/>
          <w:lang w:val="en-US" w:eastAsia="zh-CN"/>
        </w:rPr>
        <w:t xml:space="preserve"> 中建路桥集团第二工程有限公司</w:t>
      </w:r>
      <w:r>
        <w:rPr>
          <w:rFonts w:hint="eastAsia" w:ascii="宋体" w:hAnsi="宋体" w:eastAsia="宋体" w:cs="宋体"/>
          <w:bCs/>
          <w:color w:val="auto"/>
          <w:sz w:val="21"/>
          <w:szCs w:val="21"/>
          <w:highlight w:val="none"/>
          <w:u w:val="single"/>
          <w:lang w:eastAsia="zh-CN"/>
        </w:rPr>
        <w:t xml:space="preserve">        </w:t>
      </w:r>
    </w:p>
    <w:p w14:paraId="09CEE7A2">
      <w:pPr>
        <w:widowControl w:val="0"/>
        <w:kinsoku w:val="0"/>
        <w:spacing w:after="0" w:line="360" w:lineRule="auto"/>
        <w:ind w:left="158" w:leftChars="75" w:firstLine="840" w:firstLineChars="400"/>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lang w:eastAsia="zh-CN"/>
        </w:rPr>
        <w:t>甲方</w:t>
      </w:r>
      <w:r>
        <w:rPr>
          <w:rFonts w:hint="eastAsia" w:ascii="宋体" w:hAnsi="宋体" w:eastAsia="宋体" w:cs="宋体"/>
          <w:bCs/>
          <w:color w:val="auto"/>
          <w:sz w:val="21"/>
          <w:szCs w:val="21"/>
          <w:highlight w:val="none"/>
          <w:lang w:eastAsia="zh-CN"/>
        </w:rPr>
        <w:t>开户银行：</w:t>
      </w:r>
      <w:r>
        <w:rPr>
          <w:rFonts w:hint="eastAsia" w:ascii="宋体" w:hAnsi="宋体" w:eastAsia="宋体" w:cs="宋体"/>
          <w:bCs/>
          <w:color w:val="auto"/>
          <w:sz w:val="21"/>
          <w:szCs w:val="21"/>
          <w:highlight w:val="none"/>
          <w:u w:val="single"/>
          <w:lang w:eastAsia="zh-CN"/>
        </w:rPr>
        <w:t xml:space="preserve">   </w:t>
      </w:r>
      <w:r>
        <w:rPr>
          <w:rFonts w:hint="eastAsia" w:ascii="宋体" w:hAnsi="宋体" w:eastAsia="宋体" w:cs="宋体"/>
          <w:bCs/>
          <w:color w:val="auto"/>
          <w:sz w:val="21"/>
          <w:szCs w:val="21"/>
          <w:highlight w:val="none"/>
          <w:u w:val="single"/>
          <w:lang w:val="en-US" w:eastAsia="zh-CN"/>
        </w:rPr>
        <w:t xml:space="preserve">      广西北部湾银行南宁市琅东支行</w:t>
      </w:r>
      <w:r>
        <w:rPr>
          <w:rFonts w:hint="eastAsia" w:ascii="宋体" w:hAnsi="宋体" w:eastAsia="宋体" w:cs="宋体"/>
          <w:bCs/>
          <w:color w:val="auto"/>
          <w:sz w:val="21"/>
          <w:szCs w:val="21"/>
          <w:highlight w:val="none"/>
          <w:u w:val="single"/>
          <w:lang w:eastAsia="zh-CN"/>
        </w:rPr>
        <w:t xml:space="preserve">      </w:t>
      </w:r>
    </w:p>
    <w:p w14:paraId="52256249">
      <w:pPr>
        <w:widowControl w:val="0"/>
        <w:kinsoku w:val="0"/>
        <w:spacing w:after="0" w:line="360" w:lineRule="auto"/>
        <w:ind w:left="158" w:leftChars="75" w:firstLine="840" w:firstLineChars="400"/>
        <w:rPr>
          <w:rFonts w:hint="eastAsia" w:ascii="宋体" w:hAnsi="宋体" w:eastAsia="宋体" w:cs="宋体"/>
          <w:bCs/>
          <w:color w:val="auto"/>
          <w:sz w:val="21"/>
          <w:szCs w:val="21"/>
          <w:highlight w:val="none"/>
          <w:u w:val="single"/>
          <w:lang w:eastAsia="zh-CN"/>
        </w:rPr>
      </w:pPr>
      <w:r>
        <w:rPr>
          <w:rFonts w:hint="eastAsia" w:ascii="宋体" w:hAnsi="宋体" w:eastAsia="宋体" w:cs="宋体"/>
          <w:bCs/>
          <w:color w:val="auto"/>
          <w:sz w:val="21"/>
          <w:szCs w:val="21"/>
          <w:highlight w:val="none"/>
          <w:lang w:eastAsia="zh-CN"/>
        </w:rPr>
        <w:t>甲方银行账号：</w:t>
      </w:r>
      <w:r>
        <w:rPr>
          <w:rFonts w:hint="eastAsia" w:ascii="宋体" w:hAnsi="宋体" w:eastAsia="宋体" w:cs="宋体"/>
          <w:bCs/>
          <w:color w:val="auto"/>
          <w:sz w:val="21"/>
          <w:szCs w:val="21"/>
          <w:highlight w:val="none"/>
          <w:u w:val="single"/>
          <w:lang w:eastAsia="zh-CN"/>
        </w:rPr>
        <w:t xml:space="preserve">   </w:t>
      </w:r>
      <w:r>
        <w:rPr>
          <w:rFonts w:hint="eastAsia" w:ascii="宋体" w:hAnsi="宋体" w:eastAsia="宋体" w:cs="宋体"/>
          <w:bCs/>
          <w:color w:val="auto"/>
          <w:sz w:val="21"/>
          <w:szCs w:val="21"/>
          <w:highlight w:val="none"/>
          <w:u w:val="single"/>
          <w:lang w:val="en-US" w:eastAsia="zh-CN"/>
        </w:rPr>
        <w:t xml:space="preserve">  800136608100016</w:t>
      </w:r>
      <w:r>
        <w:rPr>
          <w:rFonts w:hint="eastAsia" w:ascii="宋体" w:hAnsi="宋体" w:eastAsia="宋体" w:cs="宋体"/>
          <w:bCs/>
          <w:color w:val="auto"/>
          <w:sz w:val="21"/>
          <w:szCs w:val="21"/>
          <w:highlight w:val="none"/>
          <w:u w:val="single"/>
          <w:lang w:eastAsia="zh-CN"/>
        </w:rPr>
        <w:t xml:space="preserve"> </w:t>
      </w:r>
      <w:r>
        <w:rPr>
          <w:rFonts w:hint="eastAsia" w:ascii="宋体" w:hAnsi="宋体" w:eastAsia="宋体" w:cs="宋体"/>
          <w:bCs/>
          <w:color w:val="auto"/>
          <w:sz w:val="21"/>
          <w:szCs w:val="21"/>
          <w:highlight w:val="none"/>
          <w:u w:val="single"/>
          <w:lang w:val="en-US" w:eastAsia="zh-CN"/>
        </w:rPr>
        <w:t xml:space="preserve"> </w:t>
      </w:r>
      <w:r>
        <w:rPr>
          <w:rFonts w:hint="eastAsia" w:ascii="宋体" w:hAnsi="宋体" w:eastAsia="宋体" w:cs="宋体"/>
          <w:bCs/>
          <w:color w:val="auto"/>
          <w:sz w:val="21"/>
          <w:szCs w:val="21"/>
          <w:highlight w:val="none"/>
          <w:u w:val="single"/>
          <w:lang w:eastAsia="zh-CN"/>
        </w:rPr>
        <w:t xml:space="preserve">   </w:t>
      </w:r>
    </w:p>
    <w:p w14:paraId="6F9DE663">
      <w:pPr>
        <w:widowControl w:val="0"/>
        <w:kinsoku w:val="0"/>
        <w:spacing w:after="0" w:line="360" w:lineRule="auto"/>
        <w:ind w:left="158" w:leftChars="75" w:firstLine="840" w:firstLineChars="400"/>
        <w:rPr>
          <w:rFonts w:hint="eastAsia" w:ascii="宋体" w:hAnsi="宋体" w:eastAsia="宋体" w:cs="宋体"/>
          <w:bCs/>
          <w:color w:val="auto"/>
          <w:sz w:val="21"/>
          <w:szCs w:val="21"/>
          <w:highlight w:val="none"/>
          <w:u w:val="single"/>
          <w:lang w:eastAsia="zh-CN"/>
        </w:rPr>
      </w:pPr>
      <w:r>
        <w:rPr>
          <w:rFonts w:hint="eastAsia" w:ascii="宋体" w:hAnsi="宋体" w:eastAsia="宋体" w:cs="宋体"/>
          <w:bCs/>
          <w:color w:val="auto"/>
          <w:sz w:val="21"/>
          <w:szCs w:val="21"/>
          <w:highlight w:val="none"/>
          <w:lang w:eastAsia="zh-CN"/>
        </w:rPr>
        <w:t>地 址、电 话：</w:t>
      </w:r>
      <w:r>
        <w:rPr>
          <w:rFonts w:hint="eastAsia" w:ascii="宋体" w:hAnsi="宋体" w:eastAsia="宋体" w:cs="宋体"/>
          <w:bCs/>
          <w:color w:val="auto"/>
          <w:sz w:val="21"/>
          <w:szCs w:val="21"/>
          <w:highlight w:val="none"/>
          <w:u w:val="single"/>
          <w:lang w:eastAsia="zh-CN"/>
        </w:rPr>
        <w:t xml:space="preserve"> </w:t>
      </w:r>
      <w:r>
        <w:rPr>
          <w:rFonts w:hint="eastAsia" w:ascii="宋体" w:hAnsi="宋体" w:eastAsia="宋体" w:cs="宋体"/>
          <w:bCs/>
          <w:color w:val="auto"/>
          <w:sz w:val="21"/>
          <w:szCs w:val="21"/>
          <w:highlight w:val="none"/>
          <w:u w:val="single"/>
          <w:lang w:val="en-US" w:eastAsia="zh-CN"/>
        </w:rPr>
        <w:t xml:space="preserve"> 广西省玉林市博白县龙潭产业园区交易集散市场办公楼二楼202室  0771-3120799</w:t>
      </w:r>
      <w:r>
        <w:rPr>
          <w:rFonts w:hint="eastAsia" w:ascii="宋体" w:hAnsi="宋体" w:eastAsia="宋体" w:cs="宋体"/>
          <w:bCs/>
          <w:color w:val="auto"/>
          <w:sz w:val="21"/>
          <w:szCs w:val="21"/>
          <w:highlight w:val="none"/>
          <w:u w:val="single"/>
          <w:lang w:eastAsia="zh-CN"/>
        </w:rPr>
        <w:t xml:space="preserve">  </w:t>
      </w:r>
    </w:p>
    <w:p w14:paraId="5550D107">
      <w:pPr>
        <w:kinsoku w:val="0"/>
        <w:spacing w:after="0" w:line="360" w:lineRule="auto"/>
        <w:ind w:left="158" w:leftChars="75" w:firstLine="840" w:firstLineChars="400"/>
        <w:rPr>
          <w:rFonts w:hint="eastAsia" w:ascii="宋体" w:hAnsi="宋体" w:eastAsia="宋体" w:cs="宋体"/>
          <w:color w:val="auto"/>
          <w:sz w:val="21"/>
          <w:szCs w:val="21"/>
          <w:highlight w:val="none"/>
          <w:lang w:eastAsia="zh-CN"/>
        </w:rPr>
      </w:pPr>
      <w:r>
        <w:rPr>
          <w:rFonts w:hint="eastAsia" w:ascii="宋体" w:hAnsi="宋体" w:eastAsia="宋体" w:cs="宋体"/>
          <w:bCs/>
          <w:color w:val="auto"/>
          <w:sz w:val="21"/>
          <w:szCs w:val="21"/>
          <w:highlight w:val="none"/>
          <w:lang w:eastAsia="zh-CN"/>
        </w:rPr>
        <w:t>统一社会信用代码：</w:t>
      </w:r>
      <w:r>
        <w:rPr>
          <w:rFonts w:hint="eastAsia" w:ascii="宋体" w:hAnsi="宋体" w:eastAsia="宋体" w:cs="宋体"/>
          <w:bCs/>
          <w:color w:val="auto"/>
          <w:sz w:val="21"/>
          <w:szCs w:val="21"/>
          <w:highlight w:val="none"/>
          <w:u w:val="single"/>
          <w:lang w:eastAsia="zh-CN"/>
        </w:rPr>
        <w:t xml:space="preserve">   </w:t>
      </w:r>
      <w:r>
        <w:rPr>
          <w:rFonts w:hint="eastAsia" w:ascii="宋体" w:hAnsi="宋体" w:eastAsia="宋体" w:cs="宋体"/>
          <w:bCs/>
          <w:color w:val="auto"/>
          <w:sz w:val="21"/>
          <w:szCs w:val="21"/>
          <w:highlight w:val="none"/>
          <w:u w:val="single"/>
          <w:lang w:val="en-US" w:eastAsia="zh-CN"/>
        </w:rPr>
        <w:t xml:space="preserve">   911301006690940535  </w:t>
      </w:r>
      <w:r>
        <w:rPr>
          <w:rFonts w:hint="eastAsia" w:ascii="宋体" w:hAnsi="宋体" w:eastAsia="宋体" w:cs="宋体"/>
          <w:bCs/>
          <w:color w:val="auto"/>
          <w:sz w:val="21"/>
          <w:szCs w:val="21"/>
          <w:highlight w:val="none"/>
          <w:u w:val="single"/>
          <w:lang w:eastAsia="zh-CN"/>
        </w:rPr>
        <w:t xml:space="preserve">    </w:t>
      </w:r>
    </w:p>
    <w:p w14:paraId="2BCF3ADB">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sz w:val="21"/>
          <w:szCs w:val="21"/>
          <w:highlight w:val="none"/>
          <w:lang w:eastAsia="zh-CN"/>
        </w:rPr>
        <w:t>15.12甲乙双方一致确认提供发票为主合同义务而非附随义务，如因乙方未及时开具发票，甲方可拒绝付款，并不承担逾期付款责任。</w:t>
      </w:r>
    </w:p>
    <w:p w14:paraId="1BC09107">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477" w:name="_Toc175764460"/>
      <w:bookmarkStart w:id="1478" w:name="_Toc101963524"/>
      <w:r>
        <w:rPr>
          <w:rFonts w:hint="eastAsia" w:ascii="宋体" w:hAnsi="宋体" w:eastAsia="宋体" w:cs="宋体"/>
          <w:b/>
          <w:color w:val="auto"/>
          <w:sz w:val="21"/>
          <w:szCs w:val="21"/>
          <w:highlight w:val="none"/>
          <w:lang w:eastAsia="zh-CN"/>
        </w:rPr>
        <w:t>过程结算</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14:paraId="1FF2A5ED">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16.1乙方提交已完成的工程量报告的时间、内容、计量周期：</w:t>
      </w:r>
    </w:p>
    <w:p w14:paraId="4E7FC607">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（1）乙方提交已完成的工程量报告的时间：</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每月15日</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2A4A08F9">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（2）乙方提交已完成的工程量报告的内容：</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上月16日至本月15日实际完成形象进度报表（包括合同外增项、变更、签证等）、相关计量资料及农民工工资支付明细表</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4FA8D896">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（3）计量周期：</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月度计量</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w:t>
      </w:r>
    </w:p>
    <w:p w14:paraId="38F5F8EA">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16.6若乙方未能在本合同约定的时间内完成工程量核对确认工作，甲方可以暂停乙方过程结算及支付工作，直至完成合同内工程量核对确认并签订转固定总价补充协议。</w:t>
      </w:r>
    </w:p>
    <w:p w14:paraId="65B5BDEA">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479" w:name="_Toc11418"/>
      <w:bookmarkStart w:id="1480" w:name="_Toc12928"/>
      <w:bookmarkStart w:id="1481" w:name="_Toc16958"/>
      <w:bookmarkStart w:id="1482" w:name="_Toc638"/>
      <w:bookmarkStart w:id="1483" w:name="_Toc24445"/>
      <w:bookmarkStart w:id="1484" w:name="_Toc9347"/>
      <w:bookmarkStart w:id="1485" w:name="_Toc32123"/>
      <w:bookmarkStart w:id="1486" w:name="_Toc9965"/>
      <w:bookmarkStart w:id="1487" w:name="_Toc8237"/>
      <w:bookmarkStart w:id="1488" w:name="_Toc5995"/>
      <w:bookmarkStart w:id="1489" w:name="_Toc12521"/>
      <w:bookmarkStart w:id="1490" w:name="_Toc175764461"/>
      <w:bookmarkStart w:id="1491" w:name="_Toc24768"/>
      <w:bookmarkStart w:id="1492" w:name="_Toc8151"/>
      <w:bookmarkStart w:id="1493" w:name="_Toc5073"/>
      <w:bookmarkStart w:id="1494" w:name="_Toc101357472"/>
      <w:bookmarkStart w:id="1495" w:name="_Toc101963525"/>
      <w:bookmarkStart w:id="1496" w:name="_Toc32235"/>
      <w:bookmarkStart w:id="1497" w:name="_Toc9149"/>
      <w:bookmarkStart w:id="1498" w:name="_Toc24071"/>
      <w:bookmarkStart w:id="1499" w:name="_Toc13020"/>
      <w:r>
        <w:rPr>
          <w:rFonts w:hint="eastAsia" w:ascii="宋体" w:hAnsi="宋体" w:eastAsia="宋体" w:cs="宋体"/>
          <w:b/>
          <w:color w:val="auto"/>
          <w:sz w:val="21"/>
          <w:szCs w:val="21"/>
          <w:highlight w:val="none"/>
          <w:lang w:eastAsia="zh-CN"/>
        </w:rPr>
        <w:t>最终</w:t>
      </w:r>
      <w:r>
        <w:rPr>
          <w:rFonts w:hint="eastAsia" w:ascii="宋体" w:hAnsi="宋体" w:eastAsia="宋体" w:cs="宋体"/>
          <w:b/>
          <w:color w:val="auto"/>
          <w:sz w:val="21"/>
          <w:szCs w:val="21"/>
          <w:highlight w:val="none"/>
        </w:rPr>
        <w:t>结算</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14:paraId="76CBD72D">
      <w:pPr>
        <w:tabs>
          <w:tab w:val="left" w:pos="425"/>
        </w:tabs>
        <w:kinsoku w:val="0"/>
        <w:spacing w:after="0" w:line="360" w:lineRule="auto"/>
        <w:ind w:firstLine="420" w:firstLineChars="200"/>
        <w:jc w:val="both"/>
        <w:rPr>
          <w:rFonts w:hint="eastAsia" w:ascii="宋体" w:hAnsi="宋体" w:eastAsia="宋体" w:cs="宋体"/>
          <w:b/>
          <w:color w:val="auto"/>
          <w:sz w:val="21"/>
          <w:szCs w:val="21"/>
          <w:highlight w:val="none"/>
          <w:lang w:eastAsia="zh-CN"/>
        </w:rPr>
      </w:pPr>
      <w:r>
        <w:rPr>
          <w:rFonts w:hint="eastAsia" w:ascii="宋体" w:hAnsi="宋体" w:eastAsia="宋体" w:cs="宋体"/>
          <w:bCs/>
          <w:color w:val="auto"/>
          <w:sz w:val="21"/>
          <w:szCs w:val="21"/>
          <w:highlight w:val="none"/>
          <w:lang w:eastAsia="zh-CN"/>
        </w:rPr>
        <w:t>17.1</w:t>
      </w:r>
      <w:r>
        <w:rPr>
          <w:rFonts w:hint="eastAsia" w:ascii="宋体" w:hAnsi="宋体" w:eastAsia="宋体" w:cs="宋体"/>
          <w:b/>
          <w:bCs/>
          <w:color w:val="auto"/>
          <w:sz w:val="21"/>
          <w:szCs w:val="21"/>
          <w:highlight w:val="none"/>
          <w:lang w:eastAsia="zh-CN"/>
        </w:rPr>
        <w:t>本分包工程完工验收合格后30天内，乙方向甲方提交结算报告，乙方提交的结算报告内容包含且不限于：</w:t>
      </w:r>
    </w:p>
    <w:p w14:paraId="3759D698">
      <w:pPr>
        <w:kinsoku w:val="0"/>
        <w:spacing w:after="0" w:line="360" w:lineRule="auto"/>
        <w:ind w:firstLine="422" w:firstLineChars="200"/>
        <w:jc w:val="both"/>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（1）加盖乙方单位公章的工程结算书（含工程量计算书电子版）。</w:t>
      </w:r>
    </w:p>
    <w:p w14:paraId="0DD8EF67">
      <w:pPr>
        <w:kinsoku w:val="0"/>
        <w:spacing w:after="0" w:line="360" w:lineRule="auto"/>
        <w:ind w:firstLine="422" w:firstLineChars="200"/>
        <w:jc w:val="both"/>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（2）分包完工确认单（含工程量、签证、材料、费用等完工确认单）。</w:t>
      </w:r>
    </w:p>
    <w:p w14:paraId="0163C46D">
      <w:pPr>
        <w:kinsoku w:val="0"/>
        <w:spacing w:after="0" w:line="360" w:lineRule="auto"/>
        <w:ind w:firstLine="422" w:firstLineChars="200"/>
        <w:jc w:val="both"/>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（3）派工资料、验收资料、设备启停通知等。</w:t>
      </w:r>
    </w:p>
    <w:p w14:paraId="26A18EA6">
      <w:pPr>
        <w:kinsoku w:val="0"/>
        <w:spacing w:after="0" w:line="360" w:lineRule="auto"/>
        <w:ind w:firstLine="422" w:firstLineChars="200"/>
        <w:jc w:val="both"/>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（4）乙方物资对账汇总表。</w:t>
      </w:r>
    </w:p>
    <w:p w14:paraId="7A81B808">
      <w:pPr>
        <w:kinsoku w:val="0"/>
        <w:spacing w:after="0" w:line="360" w:lineRule="auto"/>
        <w:ind w:firstLine="422" w:firstLineChars="200"/>
        <w:jc w:val="both"/>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（5）经审批的变更洽商、现场签证等。</w:t>
      </w:r>
    </w:p>
    <w:p w14:paraId="2032344A">
      <w:pPr>
        <w:kinsoku w:val="0"/>
        <w:spacing w:after="0" w:line="360" w:lineRule="auto"/>
        <w:ind w:firstLine="422"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b/>
          <w:color w:val="auto"/>
          <w:sz w:val="21"/>
          <w:szCs w:val="21"/>
          <w:highlight w:val="none"/>
          <w:lang w:eastAsia="zh-CN"/>
        </w:rPr>
        <w:t>（6）会议纪要、备忘录、施工方案等相关资料。</w:t>
      </w:r>
    </w:p>
    <w:p w14:paraId="0013D181">
      <w:pPr>
        <w:pStyle w:val="15"/>
        <w:kinsoku w:val="0"/>
        <w:spacing w:after="0"/>
        <w:rPr>
          <w:rFonts w:hint="eastAsia"/>
          <w:color w:val="auto"/>
          <w:highlight w:val="none"/>
        </w:rPr>
      </w:pPr>
      <w:r>
        <w:rPr>
          <w:rFonts w:hint="eastAsia"/>
          <w:color w:val="auto"/>
          <w:highlight w:val="none"/>
        </w:rPr>
        <w:t>（7）其他：</w:t>
      </w:r>
      <w:r>
        <w:rPr>
          <w:rFonts w:hint="eastAsia"/>
          <w:color w:val="auto"/>
          <w:highlight w:val="none"/>
          <w:u w:val="single"/>
        </w:rPr>
        <w:t xml:space="preserve">  </w:t>
      </w:r>
      <w:r>
        <w:rPr>
          <w:rFonts w:hint="eastAsia"/>
          <w:color w:val="auto"/>
          <w:highlight w:val="none"/>
          <w:u w:val="single"/>
          <w:lang w:val="en-US" w:eastAsia="zh-CN"/>
        </w:rPr>
        <w:t>/</w:t>
      </w:r>
      <w:r>
        <w:rPr>
          <w:rFonts w:hint="eastAsia"/>
          <w:color w:val="auto"/>
          <w:highlight w:val="none"/>
          <w:u w:val="single"/>
        </w:rPr>
        <w:t xml:space="preserve">  </w:t>
      </w:r>
    </w:p>
    <w:p w14:paraId="2D71388D">
      <w:pPr>
        <w:kinsoku w:val="0"/>
        <w:snapToGrid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17.3增加：若乙方所报结算价的审减率在5%-10%（含5%）的，乙方承担被审减额的</w:t>
      </w:r>
      <w:r>
        <w:rPr>
          <w:rFonts w:hint="eastAsia" w:ascii="宋体" w:hAnsi="宋体" w:eastAsia="宋体" w:cs="宋体"/>
          <w:color w:val="auto"/>
          <w:sz w:val="21"/>
          <w:szCs w:val="21"/>
          <w:highlight w:val="none"/>
          <w:u w:val="single"/>
          <w:lang w:eastAsia="zh-CN"/>
        </w:rPr>
        <w:t xml:space="preserve">  5  </w:t>
      </w:r>
      <w:r>
        <w:rPr>
          <w:rFonts w:hint="eastAsia" w:ascii="宋体" w:hAnsi="宋体" w:eastAsia="宋体" w:cs="宋体"/>
          <w:color w:val="auto"/>
          <w:sz w:val="21"/>
          <w:szCs w:val="21"/>
          <w:highlight w:val="none"/>
          <w:lang w:eastAsia="zh-CN"/>
        </w:rPr>
        <w:t xml:space="preserve">%的违约金，若审减率超过10%（含10%）的，乙方承担被审减额的 </w:t>
      </w:r>
      <w:r>
        <w:rPr>
          <w:rFonts w:hint="eastAsia" w:ascii="宋体" w:hAnsi="宋体" w:eastAsia="宋体" w:cs="宋体"/>
          <w:color w:val="auto"/>
          <w:sz w:val="21"/>
          <w:szCs w:val="21"/>
          <w:highlight w:val="none"/>
          <w:u w:val="single"/>
          <w:lang w:eastAsia="zh-CN"/>
        </w:rPr>
        <w:t xml:space="preserve">10 </w:t>
      </w:r>
      <w:r>
        <w:rPr>
          <w:rFonts w:hint="eastAsia" w:ascii="宋体" w:hAnsi="宋体" w:eastAsia="宋体" w:cs="宋体"/>
          <w:color w:val="auto"/>
          <w:sz w:val="21"/>
          <w:szCs w:val="21"/>
          <w:highlight w:val="none"/>
          <w:lang w:eastAsia="zh-CN"/>
        </w:rPr>
        <w:t>%的违约金，审减率在20%以上（含20%）的，乙方承担被审减额的</w:t>
      </w:r>
      <w:r>
        <w:rPr>
          <w:rFonts w:hint="eastAsia" w:ascii="宋体" w:hAnsi="宋体" w:eastAsia="宋体" w:cs="宋体"/>
          <w:color w:val="auto"/>
          <w:sz w:val="21"/>
          <w:szCs w:val="21"/>
          <w:highlight w:val="none"/>
          <w:u w:val="single"/>
          <w:lang w:eastAsia="zh-CN"/>
        </w:rPr>
        <w:t xml:space="preserve"> 20 </w:t>
      </w:r>
      <w:r>
        <w:rPr>
          <w:rFonts w:hint="eastAsia" w:ascii="宋体" w:hAnsi="宋体" w:eastAsia="宋体" w:cs="宋体"/>
          <w:color w:val="auto"/>
          <w:sz w:val="21"/>
          <w:szCs w:val="21"/>
          <w:highlight w:val="none"/>
          <w:lang w:eastAsia="zh-CN"/>
        </w:rPr>
        <w:t>%的违约金，被审减额为乙方上报结算金额与经甲方审定盖章后的最终结算金额之差。</w:t>
      </w:r>
    </w:p>
    <w:p w14:paraId="01E27745">
      <w:pPr>
        <w:kinsoku w:val="0"/>
        <w:snapToGrid w:val="0"/>
        <w:spacing w:after="0" w:line="360" w:lineRule="auto"/>
        <w:ind w:firstLine="420" w:firstLineChars="200"/>
        <w:jc w:val="both"/>
        <w:rPr>
          <w:rFonts w:hint="eastAsia" w:ascii="宋体" w:hAnsi="宋体" w:eastAsia="宋体" w:cs="宋体"/>
          <w:b/>
          <w:bCs/>
          <w:color w:val="auto"/>
          <w:sz w:val="21"/>
          <w:szCs w:val="21"/>
          <w:highlight w:val="none"/>
          <w:lang w:eastAsia="zh-CN"/>
        </w:rPr>
      </w:pPr>
      <w:r>
        <w:rPr>
          <w:rFonts w:hint="eastAsia" w:ascii="宋体" w:hAnsi="宋体" w:eastAsia="宋体" w:cs="宋体"/>
          <w:color w:val="auto"/>
          <w:sz w:val="21"/>
          <w:szCs w:val="21"/>
          <w:highlight w:val="none"/>
          <w:lang w:eastAsia="zh-CN"/>
        </w:rPr>
        <w:t>17.4</w:t>
      </w:r>
      <w:r>
        <w:rPr>
          <w:rFonts w:hint="eastAsia" w:ascii="宋体" w:hAnsi="宋体" w:eastAsia="宋体" w:cs="宋体"/>
          <w:b/>
          <w:bCs/>
          <w:color w:val="auto"/>
          <w:sz w:val="21"/>
          <w:szCs w:val="21"/>
          <w:highlight w:val="none"/>
          <w:lang w:eastAsia="zh-CN"/>
        </w:rPr>
        <w:t>最终结算价款=根据13.9.1条计算的工程量×固定单价±变更洽商金额—扣款和罚款—违约金。</w:t>
      </w:r>
    </w:p>
    <w:p w14:paraId="074F3D2A">
      <w:pPr>
        <w:kinsoku w:val="0"/>
        <w:autoSpaceDE w:val="0"/>
        <w:autoSpaceDN w:val="0"/>
        <w:adjustRightInd w:val="0"/>
        <w:spacing w:after="0" w:line="360" w:lineRule="auto"/>
        <w:ind w:firstLine="422" w:firstLineChars="200"/>
        <w:jc w:val="both"/>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17.4.1结算扣款、罚款和违约金包含且不限于以下内容：</w:t>
      </w:r>
    </w:p>
    <w:p w14:paraId="76BFC887">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①包含在施工所需水、电费用。</w:t>
      </w:r>
    </w:p>
    <w:p w14:paraId="12E8D9EB">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②地方各种政策性收费：按甲方实际代扣代缴为准。</w:t>
      </w:r>
    </w:p>
    <w:p w14:paraId="69FE6E1D">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③乙方承担的各项罚款及违约金。</w:t>
      </w:r>
    </w:p>
    <w:p w14:paraId="04B33AFE">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④乙方施工的安防用品、工作服等，以实际领取数量及甲方采购价为准（如有）。</w:t>
      </w:r>
    </w:p>
    <w:p w14:paraId="2229D8D2">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⑤应由乙方分摊或甲方代为支付的垃圾清运、试验检测、安全文明等费用。</w:t>
      </w:r>
    </w:p>
    <w:p w14:paraId="2E5C255C">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⑥甲方根据合同应当扣除的其他款项。</w:t>
      </w:r>
    </w:p>
    <w:p w14:paraId="3BCAFA82">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500" w:name="_Toc101357474"/>
      <w:bookmarkStart w:id="1501" w:name="_Toc175764462"/>
      <w:bookmarkStart w:id="1502" w:name="_Toc101963526"/>
      <w:bookmarkStart w:id="1503" w:name="_Toc2867"/>
      <w:bookmarkStart w:id="1504" w:name="_Toc28514"/>
      <w:bookmarkStart w:id="1505" w:name="_Toc25355"/>
      <w:bookmarkStart w:id="1506" w:name="_Toc577"/>
      <w:bookmarkStart w:id="1507" w:name="_Toc4434"/>
      <w:bookmarkStart w:id="1508" w:name="_Toc8861"/>
      <w:bookmarkStart w:id="1509" w:name="_Toc8522"/>
      <w:bookmarkStart w:id="1510" w:name="_Toc21149"/>
      <w:bookmarkStart w:id="1511" w:name="_Toc19408"/>
      <w:bookmarkStart w:id="1512" w:name="_Toc4720"/>
      <w:bookmarkStart w:id="1513" w:name="_Toc31668"/>
      <w:bookmarkStart w:id="1514" w:name="_Toc22761"/>
      <w:bookmarkStart w:id="1515" w:name="_Toc3585"/>
      <w:bookmarkStart w:id="1516" w:name="_Toc7572"/>
      <w:bookmarkStart w:id="1517" w:name="_Toc29974"/>
      <w:bookmarkStart w:id="1518" w:name="_Toc16327"/>
      <w:bookmarkStart w:id="1519" w:name="_Toc15704"/>
      <w:bookmarkStart w:id="1520" w:name="_Toc31287"/>
      <w:r>
        <w:rPr>
          <w:rFonts w:hint="eastAsia" w:ascii="宋体" w:hAnsi="宋体" w:eastAsia="宋体" w:cs="宋体"/>
          <w:b/>
          <w:color w:val="auto"/>
          <w:sz w:val="21"/>
          <w:szCs w:val="21"/>
          <w:highlight w:val="none"/>
          <w:lang w:eastAsia="zh-CN"/>
        </w:rPr>
        <w:t>完工验收</w:t>
      </w:r>
      <w:bookmarkEnd w:id="1500"/>
      <w:bookmarkEnd w:id="1501"/>
      <w:bookmarkEnd w:id="1502"/>
    </w:p>
    <w:p w14:paraId="33B7085B">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18.3补充：完工验收期限：</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3个月</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lang w:eastAsia="zh-CN"/>
        </w:rPr>
        <w:t>。</w:t>
      </w:r>
    </w:p>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14:paraId="17483E0A">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521" w:name="_Toc175764463"/>
      <w:bookmarkStart w:id="1522" w:name="_Toc10185"/>
      <w:bookmarkStart w:id="1523" w:name="_Toc14412"/>
      <w:bookmarkStart w:id="1524" w:name="_Toc28255"/>
      <w:bookmarkStart w:id="1525" w:name="_Toc31722"/>
      <w:bookmarkStart w:id="1526" w:name="_Toc14756"/>
      <w:bookmarkStart w:id="1527" w:name="_Toc3443"/>
      <w:bookmarkStart w:id="1528" w:name="_Toc101963528"/>
      <w:bookmarkStart w:id="1529" w:name="_Toc28462"/>
      <w:bookmarkStart w:id="1530" w:name="_Toc21575"/>
      <w:bookmarkStart w:id="1531" w:name="_Toc21044"/>
      <w:bookmarkStart w:id="1532" w:name="_Toc18993"/>
      <w:bookmarkStart w:id="1533" w:name="_Toc27061"/>
      <w:bookmarkStart w:id="1534" w:name="_Toc21183"/>
      <w:bookmarkStart w:id="1535" w:name="_Toc15602"/>
      <w:bookmarkStart w:id="1536" w:name="_Toc101357477"/>
      <w:bookmarkStart w:id="1537" w:name="_Toc10135"/>
      <w:bookmarkStart w:id="1538" w:name="_Toc5078"/>
      <w:bookmarkStart w:id="1539" w:name="_Toc6364"/>
      <w:bookmarkStart w:id="1540" w:name="_Toc31165"/>
      <w:bookmarkStart w:id="1541" w:name="_Toc1328"/>
      <w:r>
        <w:rPr>
          <w:rFonts w:hint="eastAsia" w:ascii="宋体" w:hAnsi="宋体" w:eastAsia="宋体" w:cs="宋体"/>
          <w:b/>
          <w:color w:val="auto"/>
          <w:sz w:val="21"/>
          <w:szCs w:val="21"/>
          <w:highlight w:val="none"/>
        </w:rPr>
        <w:t>履约保</w:t>
      </w:r>
      <w:r>
        <w:rPr>
          <w:rFonts w:hint="eastAsia" w:ascii="宋体" w:hAnsi="宋体" w:eastAsia="宋体" w:cs="宋体"/>
          <w:b/>
          <w:color w:val="auto"/>
          <w:sz w:val="21"/>
          <w:szCs w:val="21"/>
          <w:highlight w:val="none"/>
          <w:lang w:eastAsia="zh-CN"/>
        </w:rPr>
        <w:t>证</w:t>
      </w:r>
      <w:bookmarkEnd w:id="1521"/>
    </w:p>
    <w:p w14:paraId="51C95B88">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10"/>
          <w:sz w:val="21"/>
          <w:szCs w:val="21"/>
          <w:highlight w:val="none"/>
          <w:lang w:eastAsia="zh-CN"/>
        </w:rPr>
        <w:t>(以下条款在通用条款基础上进一步补充）</w:t>
      </w:r>
    </w:p>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14:paraId="43FAA835">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19.1乙方履约担保形式：</w:t>
      </w:r>
      <w:r>
        <w:rPr>
          <w:rFonts w:ascii="宋体" w:hAnsi="宋体" w:eastAsia="宋体" w:cs="宋体"/>
          <w:color w:val="auto"/>
          <w:sz w:val="21"/>
          <w:szCs w:val="21"/>
          <w:highlight w:val="none"/>
        </w:rPr>
        <w:sym w:font="Wingdings 2" w:char="F0A3"/>
      </w:r>
      <w:r>
        <w:rPr>
          <w:rFonts w:hint="eastAsia" w:ascii="宋体" w:hAnsi="宋体" w:eastAsia="宋体" w:cs="宋体"/>
          <w:color w:val="auto"/>
          <w:sz w:val="21"/>
          <w:szCs w:val="21"/>
          <w:highlight w:val="none"/>
          <w:lang w:eastAsia="zh-CN"/>
        </w:rPr>
        <w:t>不担保，</w:t>
      </w:r>
      <w:r>
        <w:rPr>
          <w:rFonts w:ascii="宋体" w:hAnsi="宋体" w:eastAsia="宋体" w:cs="宋体"/>
          <w:color w:val="auto"/>
          <w:sz w:val="21"/>
          <w:szCs w:val="21"/>
          <w:highlight w:val="none"/>
        </w:rPr>
        <w:sym w:font="Wingdings 2" w:char="0052"/>
      </w:r>
      <w:r>
        <w:rPr>
          <w:rFonts w:hint="eastAsia" w:ascii="宋体" w:hAnsi="宋体" w:eastAsia="宋体" w:cs="宋体"/>
          <w:color w:val="auto"/>
          <w:sz w:val="21"/>
          <w:szCs w:val="21"/>
          <w:highlight w:val="none"/>
          <w:lang w:eastAsia="zh-CN"/>
        </w:rPr>
        <w:t>独立、不可撤销、见索即付的银行保函，担保金额（</w:t>
      </w:r>
      <w:r>
        <w:rPr>
          <w:rFonts w:hint="eastAsia" w:ascii="宋体" w:hAnsi="宋体" w:eastAsia="宋体" w:cs="宋体"/>
          <w:color w:val="auto"/>
          <w:sz w:val="21"/>
          <w:szCs w:val="21"/>
          <w:highlight w:val="none"/>
          <w:lang w:val="en-US" w:eastAsia="zh-CN"/>
        </w:rPr>
        <w:t>合同额的5%</w:t>
      </w:r>
      <w:r>
        <w:rPr>
          <w:rFonts w:hint="eastAsia" w:ascii="宋体" w:hAnsi="宋体" w:eastAsia="宋体" w:cs="宋体"/>
          <w:color w:val="auto"/>
          <w:sz w:val="21"/>
          <w:szCs w:val="21"/>
          <w:highlight w:val="none"/>
          <w:lang w:eastAsia="zh-CN"/>
        </w:rPr>
        <w:t xml:space="preserve">）：¥ </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元（人民币大写：</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w:t>
      </w:r>
      <w:r>
        <w:rPr>
          <w:rFonts w:ascii="宋体" w:hAnsi="宋体" w:eastAsia="宋体" w:cs="宋体"/>
          <w:color w:val="auto"/>
          <w:sz w:val="21"/>
          <w:szCs w:val="21"/>
          <w:highlight w:val="none"/>
        </w:rPr>
        <w:sym w:font="Wingdings 2" w:char="F0A3"/>
      </w:r>
      <w:r>
        <w:rPr>
          <w:rFonts w:hint="eastAsia" w:ascii="宋体" w:hAnsi="宋体" w:eastAsia="宋体" w:cs="宋体"/>
          <w:color w:val="auto"/>
          <w:sz w:val="21"/>
          <w:szCs w:val="21"/>
          <w:highlight w:val="none"/>
          <w:lang w:eastAsia="zh-CN"/>
        </w:rPr>
        <w:t xml:space="preserve">履约保证金，保证金额：¥ </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元（人民币大写：</w:t>
      </w:r>
      <w:r>
        <w:rPr>
          <w:rFonts w:hint="eastAsia" w:ascii="宋体" w:hAnsi="宋体" w:eastAsia="宋体" w:cs="宋体"/>
          <w:color w:val="auto"/>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元）。</w:t>
      </w:r>
    </w:p>
    <w:p w14:paraId="742FDB0A">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542" w:name="_Toc13500"/>
      <w:bookmarkStart w:id="1543" w:name="_Toc25332"/>
      <w:bookmarkStart w:id="1544" w:name="_Toc29281"/>
      <w:bookmarkStart w:id="1545" w:name="_Toc16322"/>
      <w:bookmarkStart w:id="1546" w:name="_Toc25609"/>
      <w:bookmarkStart w:id="1547" w:name="_Toc21636"/>
      <w:bookmarkStart w:id="1548" w:name="_Toc20599"/>
      <w:bookmarkStart w:id="1549" w:name="_Toc5256"/>
      <w:bookmarkStart w:id="1550" w:name="_Toc669"/>
      <w:bookmarkStart w:id="1551" w:name="_Toc27527"/>
      <w:bookmarkStart w:id="1552" w:name="_Toc101357478"/>
      <w:bookmarkStart w:id="1553" w:name="_Toc8344"/>
      <w:bookmarkStart w:id="1554" w:name="_Toc7929"/>
      <w:bookmarkStart w:id="1555" w:name="_Toc101963529"/>
      <w:bookmarkStart w:id="1556" w:name="_Toc15741"/>
      <w:bookmarkStart w:id="1557" w:name="_Toc15918"/>
      <w:bookmarkStart w:id="1558" w:name="_Toc723"/>
      <w:bookmarkStart w:id="1559" w:name="_Toc2350"/>
      <w:bookmarkStart w:id="1560" w:name="_Toc13157"/>
      <w:bookmarkStart w:id="1561" w:name="_Toc175764464"/>
      <w:bookmarkStart w:id="1562" w:name="_Toc11440"/>
      <w:r>
        <w:rPr>
          <w:rFonts w:hint="eastAsia" w:ascii="宋体" w:hAnsi="宋体" w:eastAsia="宋体" w:cs="宋体"/>
          <w:b/>
          <w:color w:val="auto"/>
          <w:sz w:val="21"/>
          <w:szCs w:val="21"/>
          <w:highlight w:val="none"/>
          <w:lang w:eastAsia="zh-CN"/>
        </w:rPr>
        <w:t>缺陷责任与</w:t>
      </w:r>
      <w:r>
        <w:rPr>
          <w:rFonts w:hint="eastAsia" w:ascii="宋体" w:hAnsi="宋体" w:eastAsia="宋体" w:cs="宋体"/>
          <w:b/>
          <w:color w:val="auto"/>
          <w:sz w:val="21"/>
          <w:szCs w:val="21"/>
          <w:highlight w:val="none"/>
        </w:rPr>
        <w:t>保修</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p>
    <w:p w14:paraId="28945033">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20.1 缺陷责任期：</w:t>
      </w:r>
      <w:r>
        <w:rPr>
          <w:rFonts w:hint="eastAsia" w:ascii="宋体" w:hAnsi="宋体" w:eastAsia="宋体" w:cs="宋体"/>
          <w:color w:val="auto"/>
          <w:kern w:val="10"/>
          <w:sz w:val="21"/>
          <w:szCs w:val="21"/>
          <w:highlight w:val="none"/>
          <w:u w:val="single"/>
          <w:lang w:eastAsia="zh-CN"/>
        </w:rPr>
        <w:t xml:space="preserve">  24  </w:t>
      </w:r>
      <w:r>
        <w:rPr>
          <w:rFonts w:hint="eastAsia" w:ascii="宋体" w:hAnsi="宋体" w:eastAsia="宋体" w:cs="宋体"/>
          <w:color w:val="auto"/>
          <w:sz w:val="21"/>
          <w:szCs w:val="21"/>
          <w:highlight w:val="none"/>
          <w:lang w:eastAsia="zh-CN"/>
        </w:rPr>
        <w:t>个月，缺陷责任期自</w:t>
      </w:r>
      <w:r>
        <w:rPr>
          <w:rFonts w:hint="eastAsia" w:ascii="宋体" w:hAnsi="宋体" w:eastAsia="宋体" w:cs="宋体"/>
          <w:color w:val="auto"/>
          <w:sz w:val="21"/>
          <w:szCs w:val="21"/>
          <w:highlight w:val="none"/>
          <w:lang w:eastAsia="zh-CN"/>
        </w:rPr>
        <w:t>甲</w:t>
      </w:r>
      <w:r>
        <w:rPr>
          <w:rFonts w:hint="eastAsia" w:ascii="宋体" w:hAnsi="宋体" w:eastAsia="宋体" w:cs="宋体"/>
          <w:color w:val="auto"/>
          <w:sz w:val="21"/>
          <w:szCs w:val="21"/>
          <w:highlight w:val="none"/>
          <w:lang w:eastAsia="zh-CN"/>
        </w:rPr>
        <w:t>方整体工程交工验收合格且总承包工程交接证书中载明的交</w:t>
      </w:r>
      <w:r>
        <w:rPr>
          <w:rFonts w:hint="eastAsia" w:ascii="宋体" w:hAnsi="宋体" w:eastAsia="宋体" w:cs="宋体"/>
          <w:color w:val="auto"/>
          <w:sz w:val="21"/>
          <w:szCs w:val="21"/>
          <w:highlight w:val="none"/>
          <w:lang w:eastAsia="zh-CN"/>
        </w:rPr>
        <w:t>接之日起计算。</w:t>
      </w:r>
    </w:p>
    <w:p w14:paraId="6CE95480">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20.2质量保修期：</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2</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年，质量保修期</w:t>
      </w:r>
      <w:r>
        <w:rPr>
          <w:rFonts w:hint="eastAsia" w:ascii="宋体" w:hAnsi="宋体" w:eastAsia="宋体" w:cs="宋体"/>
          <w:color w:val="auto"/>
          <w:sz w:val="21"/>
          <w:szCs w:val="21"/>
          <w:highlight w:val="none"/>
          <w:lang w:eastAsia="zh-CN"/>
        </w:rPr>
        <w:t>自甲方整体工程交工验收合格且总承包工程交接证书中载明的交接之日起计算</w:t>
      </w:r>
      <w:r>
        <w:rPr>
          <w:rFonts w:hint="eastAsia" w:ascii="宋体" w:hAnsi="宋体" w:eastAsia="宋体" w:cs="宋体"/>
          <w:color w:val="auto"/>
          <w:sz w:val="21"/>
          <w:szCs w:val="21"/>
          <w:highlight w:val="none"/>
          <w:lang w:eastAsia="zh-CN"/>
        </w:rPr>
        <w:t>。</w:t>
      </w:r>
    </w:p>
    <w:p w14:paraId="11599557">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563" w:name="_Toc3596"/>
      <w:bookmarkStart w:id="1564" w:name="_Toc6172"/>
      <w:bookmarkStart w:id="1565" w:name="_Toc9484"/>
      <w:bookmarkStart w:id="1566" w:name="_Toc7605"/>
      <w:bookmarkStart w:id="1567" w:name="_Toc26076"/>
      <w:bookmarkStart w:id="1568" w:name="_Toc32301"/>
      <w:bookmarkStart w:id="1569" w:name="_Toc14158"/>
      <w:bookmarkStart w:id="1570" w:name="_Toc24423"/>
      <w:bookmarkStart w:id="1571" w:name="_Toc24061"/>
      <w:bookmarkStart w:id="1572" w:name="_Toc21668"/>
      <w:bookmarkStart w:id="1573" w:name="_Toc175764465"/>
      <w:bookmarkStart w:id="1574" w:name="_Toc18945"/>
      <w:bookmarkStart w:id="1575" w:name="_Toc18693"/>
      <w:bookmarkStart w:id="1576" w:name="_Toc18145"/>
      <w:bookmarkStart w:id="1577" w:name="_Toc12525"/>
      <w:bookmarkStart w:id="1578" w:name="_Toc101357479"/>
      <w:bookmarkStart w:id="1579" w:name="_Toc30242"/>
      <w:bookmarkStart w:id="1580" w:name="_Toc24792"/>
      <w:bookmarkStart w:id="1581" w:name="_Toc101963530"/>
      <w:bookmarkStart w:id="1582" w:name="_Toc26482"/>
      <w:bookmarkStart w:id="1583" w:name="_Toc15560"/>
      <w:r>
        <w:rPr>
          <w:rFonts w:hint="eastAsia" w:ascii="宋体" w:hAnsi="宋体" w:eastAsia="宋体" w:cs="宋体"/>
          <w:b/>
          <w:color w:val="auto"/>
          <w:sz w:val="21"/>
          <w:szCs w:val="21"/>
          <w:highlight w:val="none"/>
        </w:rPr>
        <w:t>保险</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14:paraId="754EC564">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 xml:space="preserve">21.1甲方投保内容：施工人员意外伤害险，从乙方结算价款中扣除，保费扣除金额= </w:t>
      </w:r>
      <w:r>
        <w:rPr>
          <w:rFonts w:hint="eastAsia" w:ascii="宋体" w:hAnsi="宋体" w:eastAsia="宋体" w:cs="宋体"/>
          <w:color w:val="auto"/>
          <w:kern w:val="10"/>
          <w:sz w:val="21"/>
          <w:szCs w:val="21"/>
          <w:highlight w:val="none"/>
          <w:u w:val="single"/>
          <w:lang w:eastAsia="zh-CN"/>
        </w:rPr>
        <w:t xml:space="preserve">  ****  </w:t>
      </w:r>
      <w:r>
        <w:rPr>
          <w:rFonts w:hint="eastAsia" w:ascii="宋体" w:hAnsi="宋体" w:eastAsia="宋体" w:cs="宋体"/>
          <w:color w:val="auto"/>
          <w:sz w:val="21"/>
          <w:szCs w:val="21"/>
          <w:highlight w:val="none"/>
          <w:lang w:eastAsia="zh-CN"/>
        </w:rPr>
        <w:t>（乙方合同价款）*</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0.5‰</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sz w:val="21"/>
          <w:szCs w:val="21"/>
          <w:highlight w:val="none"/>
          <w:lang w:eastAsia="zh-CN"/>
        </w:rPr>
        <w:t>（保费费</w:t>
      </w:r>
      <w:r>
        <w:rPr>
          <w:rFonts w:hint="eastAsia" w:ascii="宋体" w:hAnsi="宋体" w:eastAsia="宋体" w:cs="宋体"/>
          <w:color w:val="auto"/>
          <w:sz w:val="21"/>
          <w:szCs w:val="21"/>
          <w:highlight w:val="none"/>
          <w:lang w:eastAsia="zh-CN"/>
        </w:rPr>
        <w:t>率）。</w:t>
      </w:r>
    </w:p>
    <w:p w14:paraId="5ED9F6EF">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584" w:name="_Toc16794"/>
      <w:bookmarkStart w:id="1585" w:name="_Toc22941"/>
      <w:bookmarkStart w:id="1586" w:name="_Toc20802"/>
      <w:bookmarkStart w:id="1587" w:name="_Toc24557"/>
      <w:bookmarkStart w:id="1588" w:name="_Toc17268"/>
      <w:bookmarkStart w:id="1589" w:name="_Toc13977"/>
      <w:bookmarkStart w:id="1590" w:name="_Toc26543"/>
      <w:bookmarkStart w:id="1591" w:name="_Toc101357480"/>
      <w:bookmarkStart w:id="1592" w:name="_Toc19013"/>
      <w:bookmarkStart w:id="1593" w:name="_Toc28353"/>
      <w:bookmarkStart w:id="1594" w:name="_Toc3222"/>
      <w:bookmarkStart w:id="1595" w:name="_Toc18600"/>
      <w:bookmarkStart w:id="1596" w:name="_Toc7215"/>
      <w:bookmarkStart w:id="1597" w:name="_Toc7971"/>
      <w:bookmarkStart w:id="1598" w:name="_Toc175764466"/>
      <w:bookmarkStart w:id="1599" w:name="_Toc9356"/>
      <w:bookmarkStart w:id="1600" w:name="_Toc634"/>
      <w:bookmarkStart w:id="1601" w:name="_Toc19476"/>
      <w:bookmarkStart w:id="1602" w:name="_Toc3384"/>
      <w:bookmarkStart w:id="1603" w:name="_Toc101963531"/>
      <w:bookmarkStart w:id="1604" w:name="_Toc15928"/>
      <w:r>
        <w:rPr>
          <w:rFonts w:hint="eastAsia" w:ascii="宋体" w:hAnsi="宋体" w:eastAsia="宋体" w:cs="宋体"/>
          <w:b/>
          <w:color w:val="auto"/>
          <w:sz w:val="21"/>
          <w:szCs w:val="21"/>
          <w:highlight w:val="none"/>
        </w:rPr>
        <w:t>不可抗力</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14:paraId="0F9B6D85">
      <w:pPr>
        <w:kinsoku w:val="0"/>
        <w:spacing w:after="0" w:line="360" w:lineRule="auto"/>
        <w:ind w:firstLine="420" w:firstLineChars="200"/>
        <w:jc w:val="both"/>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见通用合同条款。</w:t>
      </w:r>
    </w:p>
    <w:p w14:paraId="0B2F099E">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605" w:name="_Toc24784"/>
      <w:bookmarkStart w:id="1606" w:name="_Toc175764467"/>
      <w:bookmarkStart w:id="1607" w:name="_Toc2628"/>
      <w:bookmarkStart w:id="1608" w:name="_Toc21145"/>
      <w:bookmarkStart w:id="1609" w:name="_Toc5749"/>
      <w:bookmarkStart w:id="1610" w:name="_Toc16901"/>
      <w:bookmarkStart w:id="1611" w:name="_Toc15121"/>
      <w:bookmarkStart w:id="1612" w:name="_Toc18426"/>
      <w:bookmarkStart w:id="1613" w:name="_Toc12979"/>
      <w:bookmarkStart w:id="1614" w:name="_Toc10662"/>
      <w:bookmarkStart w:id="1615" w:name="_Toc101963532"/>
      <w:bookmarkStart w:id="1616" w:name="_Toc6999"/>
      <w:bookmarkStart w:id="1617" w:name="_Toc26578"/>
      <w:bookmarkStart w:id="1618" w:name="_Toc20420"/>
      <w:bookmarkStart w:id="1619" w:name="_Toc30852"/>
      <w:bookmarkStart w:id="1620" w:name="_Toc101357481"/>
      <w:bookmarkStart w:id="1621" w:name="_Toc11400"/>
      <w:bookmarkStart w:id="1622" w:name="_Toc14862"/>
      <w:bookmarkStart w:id="1623" w:name="_Toc2889"/>
      <w:bookmarkStart w:id="1624" w:name="_Toc19605"/>
      <w:bookmarkStart w:id="1625" w:name="_Toc28990"/>
      <w:r>
        <w:rPr>
          <w:rFonts w:hint="eastAsia" w:ascii="宋体" w:hAnsi="宋体" w:eastAsia="宋体" w:cs="宋体"/>
          <w:b/>
          <w:color w:val="auto"/>
          <w:sz w:val="21"/>
          <w:szCs w:val="21"/>
          <w:highlight w:val="none"/>
        </w:rPr>
        <w:t>违约</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14:paraId="250D3C26">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bookmarkStart w:id="1626" w:name="_Toc16290"/>
      <w:bookmarkStart w:id="1627" w:name="_Toc30088"/>
      <w:bookmarkStart w:id="1628" w:name="_Toc25592"/>
      <w:bookmarkStart w:id="1629" w:name="_Toc4047"/>
      <w:bookmarkStart w:id="1630" w:name="_Toc4020"/>
      <w:bookmarkStart w:id="1631" w:name="_Toc5986"/>
      <w:bookmarkStart w:id="1632" w:name="_Toc30012"/>
      <w:bookmarkStart w:id="1633" w:name="_Toc23242"/>
      <w:bookmarkStart w:id="1634" w:name="_Toc27782"/>
      <w:bookmarkStart w:id="1635" w:name="_Toc31565"/>
      <w:bookmarkStart w:id="1636" w:name="_Toc16061"/>
      <w:bookmarkStart w:id="1637" w:name="_Toc24887"/>
      <w:bookmarkStart w:id="1638" w:name="_Toc12743"/>
      <w:bookmarkStart w:id="1639" w:name="_Toc4860"/>
      <w:bookmarkStart w:id="1640" w:name="_Toc2136"/>
      <w:bookmarkStart w:id="1641" w:name="_Toc101963533"/>
      <w:bookmarkStart w:id="1642" w:name="_Toc13869"/>
      <w:bookmarkStart w:id="1643" w:name="_Toc8437"/>
      <w:bookmarkStart w:id="1644" w:name="_Toc101357482"/>
      <w:bookmarkStart w:id="1645" w:name="_Toc22716"/>
      <w:r>
        <w:rPr>
          <w:rFonts w:hint="eastAsia" w:ascii="宋体" w:hAnsi="宋体" w:eastAsia="宋体" w:cs="宋体"/>
          <w:color w:val="auto"/>
          <w:kern w:val="10"/>
          <w:sz w:val="21"/>
          <w:szCs w:val="21"/>
          <w:highlight w:val="none"/>
          <w:lang w:eastAsia="zh-CN"/>
        </w:rPr>
        <w:t>23.3乙方转包、挂靠和再分包的，甲方可以单方解除合同，且乙方应承担签约合同价</w:t>
      </w:r>
      <w:r>
        <w:rPr>
          <w:rFonts w:hint="eastAsia" w:ascii="宋体" w:hAnsi="宋体" w:eastAsia="宋体" w:cs="宋体"/>
          <w:color w:val="auto"/>
          <w:kern w:val="10"/>
          <w:sz w:val="21"/>
          <w:szCs w:val="21"/>
          <w:highlight w:val="none"/>
          <w:u w:val="single"/>
          <w:lang w:eastAsia="zh-CN"/>
        </w:rPr>
        <w:t xml:space="preserve"> 20 %</w:t>
      </w:r>
      <w:r>
        <w:rPr>
          <w:rFonts w:hint="eastAsia" w:ascii="宋体" w:hAnsi="宋体" w:eastAsia="宋体" w:cs="宋体"/>
          <w:color w:val="auto"/>
          <w:kern w:val="10"/>
          <w:sz w:val="21"/>
          <w:szCs w:val="21"/>
          <w:highlight w:val="none"/>
          <w:lang w:eastAsia="zh-CN"/>
        </w:rPr>
        <w:t>的惩罚性违约金并赔偿甲方所有的损失（包括但不限于诉讼费、律师费、行政处罚等）</w:t>
      </w:r>
    </w:p>
    <w:p w14:paraId="20DA4297">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23.6 安全违约</w:t>
      </w:r>
    </w:p>
    <w:p w14:paraId="129720CA">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23.6.1乙方因违反国家安全质量法规及本合同有关条款约定，出现火灾、坍塌、人员重伤、死亡等生产安全事故，则乙方应承担全部损失，并按相关法规接受行政及法律处罚；如造成甲方及对第三人利益的损害等，该损害赔偿责任均由乙方承担。</w:t>
      </w:r>
    </w:p>
    <w:p w14:paraId="3BC2FD40">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23.6.2由乙方原因发生的安全事故或</w:t>
      </w:r>
      <w:r>
        <w:rPr>
          <w:rFonts w:hint="eastAsia" w:ascii="宋体" w:hAnsi="宋体" w:eastAsia="宋体" w:cs="宋体"/>
          <w:color w:val="auto"/>
          <w:sz w:val="21"/>
          <w:szCs w:val="21"/>
          <w:highlight w:val="none"/>
          <w:lang w:eastAsia="zh-CN"/>
        </w:rPr>
        <w:t>由于乙方原因导致隐患与违章在各级各类监督检查过程中，</w:t>
      </w:r>
      <w:r>
        <w:rPr>
          <w:rFonts w:hint="eastAsia" w:ascii="宋体" w:hAnsi="宋体" w:eastAsia="宋体" w:cs="宋体"/>
          <w:color w:val="auto"/>
          <w:kern w:val="10"/>
          <w:sz w:val="21"/>
          <w:szCs w:val="21"/>
          <w:highlight w:val="none"/>
          <w:lang w:eastAsia="zh-CN"/>
        </w:rPr>
        <w:t>给甲方造成</w:t>
      </w:r>
      <w:r>
        <w:rPr>
          <w:rFonts w:hint="eastAsia" w:ascii="宋体" w:hAnsi="宋体" w:eastAsia="宋体" w:cs="宋体"/>
          <w:color w:val="auto"/>
          <w:sz w:val="21"/>
          <w:szCs w:val="21"/>
          <w:highlight w:val="none"/>
          <w:lang w:eastAsia="zh-CN"/>
        </w:rPr>
        <w:t>信誉评价扣分</w:t>
      </w:r>
      <w:r>
        <w:rPr>
          <w:rFonts w:hint="eastAsia" w:ascii="宋体" w:hAnsi="宋体" w:eastAsia="宋体" w:cs="宋体"/>
          <w:color w:val="auto"/>
          <w:kern w:val="10"/>
          <w:sz w:val="21"/>
          <w:szCs w:val="21"/>
          <w:highlight w:val="none"/>
          <w:lang w:eastAsia="zh-CN"/>
        </w:rPr>
        <w:t>、经济损失，</w:t>
      </w:r>
      <w:r>
        <w:rPr>
          <w:rFonts w:hint="eastAsia" w:ascii="宋体" w:hAnsi="宋体" w:eastAsia="宋体" w:cs="宋体"/>
          <w:color w:val="auto"/>
          <w:sz w:val="21"/>
          <w:szCs w:val="21"/>
          <w:highlight w:val="none"/>
          <w:lang w:eastAsia="zh-CN"/>
        </w:rPr>
        <w:t>以及停止招投标等市场影响的，所有经济损失由乙方承担，并按甲方公司及项目安全管理规定进行处罚。</w:t>
      </w:r>
    </w:p>
    <w:p w14:paraId="6BFF27B0">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23.6.3甲方和乙方应对各自施工现场的工作人员进行安全教育，作业前进行安全技术交底。发生重大伤亡事故及其他安全事故后，首先施救、保护现场，第一时间通知甲方，由甲方按政府有关部门要求进行处理，由事故责任方承担责任和相应的费用，伤亡事故的善后处理由乙方负责。</w:t>
      </w:r>
    </w:p>
    <w:p w14:paraId="155CF971">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23.6.4如乙方违反国家、地方、甲方及本合同关于安全文明施工的规定，但尚未造成生产安全事故，乙方应及时改正行为并赔偿相关方的损失，如未及时整改，</w:t>
      </w:r>
      <w:r>
        <w:rPr>
          <w:rFonts w:hint="eastAsia" w:ascii="宋体" w:hAnsi="宋体" w:eastAsia="宋体" w:cs="宋体"/>
          <w:color w:val="auto"/>
          <w:sz w:val="21"/>
          <w:szCs w:val="21"/>
          <w:highlight w:val="none"/>
          <w:lang w:eastAsia="zh-CN"/>
        </w:rPr>
        <w:t>根据甲方公司及项目安全管理制度进行处罚。</w:t>
      </w:r>
      <w:r>
        <w:rPr>
          <w:rFonts w:hint="eastAsia" w:ascii="宋体" w:hAnsi="宋体" w:eastAsia="宋体" w:cs="宋体"/>
          <w:b/>
          <w:bCs/>
          <w:color w:val="auto"/>
          <w:sz w:val="21"/>
          <w:szCs w:val="21"/>
          <w:highlight w:val="none"/>
          <w:lang w:eastAsia="zh-CN"/>
        </w:rPr>
        <w:t>因乙方原因未达到本合同约定的安全文明施工标准时，乙方向甲方支付签约合同价</w:t>
      </w:r>
      <w:r>
        <w:rPr>
          <w:rFonts w:hint="eastAsia" w:ascii="宋体" w:hAnsi="宋体" w:eastAsia="宋体" w:cs="宋体"/>
          <w:b/>
          <w:bCs/>
          <w:color w:val="auto"/>
          <w:sz w:val="21"/>
          <w:szCs w:val="21"/>
          <w:highlight w:val="none"/>
          <w:u w:val="single"/>
          <w:lang w:eastAsia="zh-CN"/>
        </w:rPr>
        <w:t xml:space="preserve">  5  </w:t>
      </w:r>
      <w:r>
        <w:rPr>
          <w:rFonts w:hint="eastAsia" w:ascii="宋体" w:hAnsi="宋体" w:eastAsia="宋体" w:cs="宋体"/>
          <w:b/>
          <w:bCs/>
          <w:color w:val="auto"/>
          <w:sz w:val="21"/>
          <w:szCs w:val="21"/>
          <w:highlight w:val="none"/>
          <w:lang w:eastAsia="zh-CN"/>
        </w:rPr>
        <w:t>%的违约金，并承担因此给甲方造成的全部损失。</w:t>
      </w:r>
      <w:r>
        <w:rPr>
          <w:rFonts w:hint="eastAsia" w:ascii="宋体" w:hAnsi="宋体" w:eastAsia="宋体" w:cs="宋体"/>
          <w:color w:val="auto"/>
          <w:sz w:val="21"/>
          <w:szCs w:val="21"/>
          <w:highlight w:val="none"/>
          <w:lang w:eastAsia="zh-CN"/>
        </w:rPr>
        <w:t>安全文明工地建设参照当地主管部门的有关标准验收，用工等费用已包含在乙方报价中。</w:t>
      </w:r>
    </w:p>
    <w:p w14:paraId="4CF16A7D">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23.6.5乙方必须接受相关方和甲方组织的安全、文明施工的检查，检查中的不合格项目、安全隐患必须在规定的时间内整改完成，否则将</w:t>
      </w:r>
      <w:r>
        <w:rPr>
          <w:rFonts w:hint="eastAsia" w:ascii="宋体" w:hAnsi="宋体" w:eastAsia="宋体" w:cs="宋体"/>
          <w:color w:val="auto"/>
          <w:sz w:val="21"/>
          <w:szCs w:val="21"/>
          <w:highlight w:val="none"/>
          <w:lang w:eastAsia="zh-CN"/>
        </w:rPr>
        <w:t>根据甲方公司及项目安全管理制度进行处罚，</w:t>
      </w:r>
      <w:r>
        <w:rPr>
          <w:rFonts w:hint="eastAsia" w:ascii="宋体" w:hAnsi="宋体" w:eastAsia="宋体" w:cs="宋体"/>
          <w:color w:val="auto"/>
          <w:kern w:val="10"/>
          <w:sz w:val="21"/>
          <w:szCs w:val="21"/>
          <w:highlight w:val="none"/>
          <w:lang w:eastAsia="zh-CN"/>
        </w:rPr>
        <w:t>直至整改合格。</w:t>
      </w:r>
    </w:p>
    <w:p w14:paraId="19ADD7CF">
      <w:pPr>
        <w:kinsoku w:val="0"/>
        <w:spacing w:after="0" w:line="360" w:lineRule="auto"/>
        <w:ind w:firstLine="422" w:firstLineChars="200"/>
        <w:jc w:val="both"/>
        <w:rPr>
          <w:rFonts w:hint="eastAsia" w:ascii="宋体" w:hAnsi="宋体" w:eastAsia="宋体" w:cs="宋体"/>
          <w:b/>
          <w:color w:val="auto"/>
          <w:kern w:val="10"/>
          <w:sz w:val="21"/>
          <w:szCs w:val="21"/>
          <w:highlight w:val="none"/>
          <w:lang w:eastAsia="zh-CN"/>
        </w:rPr>
      </w:pPr>
      <w:r>
        <w:rPr>
          <w:rFonts w:hint="eastAsia" w:ascii="宋体" w:hAnsi="宋体" w:eastAsia="宋体" w:cs="宋体"/>
          <w:b/>
          <w:color w:val="auto"/>
          <w:kern w:val="10"/>
          <w:sz w:val="21"/>
          <w:szCs w:val="21"/>
          <w:highlight w:val="none"/>
          <w:lang w:eastAsia="zh-CN"/>
        </w:rPr>
        <w:t>23.6.6</w:t>
      </w:r>
      <w:r>
        <w:rPr>
          <w:rFonts w:hint="eastAsia" w:ascii="宋体" w:hAnsi="宋体" w:eastAsia="宋体" w:cs="宋体"/>
          <w:b/>
          <w:color w:val="auto"/>
          <w:sz w:val="21"/>
          <w:szCs w:val="21"/>
          <w:highlight w:val="none"/>
          <w:lang w:eastAsia="zh-CN"/>
        </w:rPr>
        <w:t>乙方未按法规要求及合同承诺配备专职安全管理人员，乙方应限期整改，若乙方未能在限期内完成整改，每缺少1名专职安全管理人员，乙方向甲方支付</w:t>
      </w:r>
      <w:r>
        <w:rPr>
          <w:rFonts w:hint="eastAsia" w:ascii="宋体" w:hAnsi="宋体" w:eastAsia="宋体" w:cs="宋体"/>
          <w:b/>
          <w:color w:val="auto"/>
          <w:sz w:val="21"/>
          <w:szCs w:val="21"/>
          <w:highlight w:val="none"/>
          <w:u w:val="single"/>
          <w:lang w:eastAsia="zh-CN"/>
        </w:rPr>
        <w:t>20000</w:t>
      </w:r>
      <w:r>
        <w:rPr>
          <w:rFonts w:hint="eastAsia" w:ascii="宋体" w:hAnsi="宋体" w:eastAsia="宋体" w:cs="宋体"/>
          <w:b/>
          <w:color w:val="auto"/>
          <w:sz w:val="21"/>
          <w:szCs w:val="21"/>
          <w:highlight w:val="none"/>
          <w:lang w:eastAsia="zh-CN"/>
        </w:rPr>
        <w:t>元违约金。</w:t>
      </w:r>
    </w:p>
    <w:p w14:paraId="0C5252F5">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23.7 质量违约</w:t>
      </w:r>
    </w:p>
    <w:p w14:paraId="03B1EDC4">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23.7.1因乙方质量原因出现以下情形的，乙方须承担相应违约责任。</w:t>
      </w:r>
    </w:p>
    <w:p w14:paraId="2BC731CE">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（1）不按图施工，每次乙方向甲方支付违约金人民币</w:t>
      </w:r>
      <w:r>
        <w:rPr>
          <w:rFonts w:hint="eastAsia" w:ascii="宋体" w:hAnsi="宋体" w:eastAsia="宋体" w:cs="宋体"/>
          <w:b/>
          <w:color w:val="auto"/>
          <w:kern w:val="10"/>
          <w:sz w:val="21"/>
          <w:szCs w:val="21"/>
          <w:highlight w:val="none"/>
          <w:u w:val="single"/>
          <w:lang w:eastAsia="zh-CN"/>
        </w:rPr>
        <w:t>2000-5000</w:t>
      </w:r>
      <w:r>
        <w:rPr>
          <w:rFonts w:hint="eastAsia" w:ascii="宋体" w:hAnsi="宋体" w:eastAsia="宋体" w:cs="宋体"/>
          <w:color w:val="auto"/>
          <w:kern w:val="10"/>
          <w:sz w:val="21"/>
          <w:szCs w:val="21"/>
          <w:highlight w:val="none"/>
          <w:lang w:eastAsia="zh-CN"/>
        </w:rPr>
        <w:t>元。</w:t>
      </w:r>
    </w:p>
    <w:p w14:paraId="6297B180">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（2）未进行隐蔽验收，验收不合格强行施工，每次乙方向甲方支付违约金人民币</w:t>
      </w:r>
      <w:r>
        <w:rPr>
          <w:rFonts w:hint="eastAsia" w:ascii="宋体" w:hAnsi="宋体" w:eastAsia="宋体" w:cs="宋体"/>
          <w:b/>
          <w:color w:val="auto"/>
          <w:kern w:val="10"/>
          <w:sz w:val="21"/>
          <w:szCs w:val="21"/>
          <w:highlight w:val="none"/>
          <w:u w:val="single"/>
          <w:lang w:eastAsia="zh-CN"/>
        </w:rPr>
        <w:t>2000-5000</w:t>
      </w:r>
      <w:r>
        <w:rPr>
          <w:rFonts w:hint="eastAsia" w:ascii="宋体" w:hAnsi="宋体" w:eastAsia="宋体" w:cs="宋体"/>
          <w:color w:val="auto"/>
          <w:kern w:val="10"/>
          <w:sz w:val="21"/>
          <w:szCs w:val="21"/>
          <w:highlight w:val="none"/>
          <w:lang w:eastAsia="zh-CN"/>
        </w:rPr>
        <w:t>元。</w:t>
      </w:r>
    </w:p>
    <w:p w14:paraId="6F39C672">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（3）施工质量不符合设计及规范要求，每次乙方向甲方支付违约金人民币</w:t>
      </w:r>
      <w:r>
        <w:rPr>
          <w:rFonts w:hint="eastAsia" w:ascii="宋体" w:hAnsi="宋体" w:eastAsia="宋体" w:cs="宋体"/>
          <w:b/>
          <w:color w:val="auto"/>
          <w:kern w:val="10"/>
          <w:sz w:val="21"/>
          <w:szCs w:val="21"/>
          <w:highlight w:val="none"/>
          <w:u w:val="single"/>
          <w:lang w:eastAsia="zh-CN"/>
        </w:rPr>
        <w:t>2000-5000</w:t>
      </w:r>
      <w:r>
        <w:rPr>
          <w:rFonts w:hint="eastAsia" w:ascii="宋体" w:hAnsi="宋体" w:eastAsia="宋体" w:cs="宋体"/>
          <w:color w:val="auto"/>
          <w:kern w:val="10"/>
          <w:sz w:val="21"/>
          <w:szCs w:val="21"/>
          <w:highlight w:val="none"/>
          <w:lang w:eastAsia="zh-CN"/>
        </w:rPr>
        <w:t>元。</w:t>
      </w:r>
    </w:p>
    <w:p w14:paraId="5811D4E3">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（4）未进行条件验收，条件验收不合格继续施工，或发现质量问题隐患隐瞒不报、未经甲方允许自行处理的，每次乙方向甲方支付违约金人民币</w:t>
      </w:r>
      <w:r>
        <w:rPr>
          <w:rFonts w:hint="eastAsia" w:ascii="宋体" w:hAnsi="宋体" w:eastAsia="宋体" w:cs="宋体"/>
          <w:b/>
          <w:color w:val="auto"/>
          <w:kern w:val="10"/>
          <w:sz w:val="21"/>
          <w:szCs w:val="21"/>
          <w:highlight w:val="none"/>
          <w:u w:val="single"/>
          <w:lang w:eastAsia="zh-CN"/>
        </w:rPr>
        <w:t>5000-10000</w:t>
      </w:r>
      <w:r>
        <w:rPr>
          <w:rFonts w:hint="eastAsia" w:ascii="宋体" w:hAnsi="宋体" w:eastAsia="宋体" w:cs="宋体"/>
          <w:color w:val="auto"/>
          <w:kern w:val="10"/>
          <w:sz w:val="21"/>
          <w:szCs w:val="21"/>
          <w:highlight w:val="none"/>
          <w:lang w:eastAsia="zh-CN"/>
        </w:rPr>
        <w:t>元。</w:t>
      </w:r>
    </w:p>
    <w:p w14:paraId="0660B2FC">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（5）成品防护不到位，施工后出现较大面积破损或污染，每处乙方向甲方支付违约金人民币</w:t>
      </w:r>
      <w:r>
        <w:rPr>
          <w:rFonts w:hint="eastAsia" w:ascii="宋体" w:hAnsi="宋体" w:eastAsia="宋体" w:cs="宋体"/>
          <w:b/>
          <w:color w:val="auto"/>
          <w:kern w:val="10"/>
          <w:sz w:val="21"/>
          <w:szCs w:val="21"/>
          <w:highlight w:val="none"/>
          <w:u w:val="single"/>
          <w:lang w:eastAsia="zh-CN"/>
        </w:rPr>
        <w:t>2000-5000</w:t>
      </w:r>
      <w:r>
        <w:rPr>
          <w:rFonts w:hint="eastAsia" w:ascii="宋体" w:hAnsi="宋体" w:eastAsia="宋体" w:cs="宋体"/>
          <w:color w:val="auto"/>
          <w:kern w:val="10"/>
          <w:sz w:val="21"/>
          <w:szCs w:val="21"/>
          <w:highlight w:val="none"/>
          <w:lang w:eastAsia="zh-CN"/>
        </w:rPr>
        <w:t>元。</w:t>
      </w:r>
    </w:p>
    <w:p w14:paraId="0AF1F51A">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（6）原材料、设备未按国家及行业相关规定进行报验、审批或手续不全，已投入使用；乙方未按要求及时上报主要材料、设备使用计划或不能及时上报审批用相关资料，每次乙方向甲方支付违约金人民币</w:t>
      </w:r>
      <w:r>
        <w:rPr>
          <w:rFonts w:hint="eastAsia" w:ascii="宋体" w:hAnsi="宋体" w:eastAsia="宋体" w:cs="宋体"/>
          <w:b/>
          <w:color w:val="auto"/>
          <w:kern w:val="10"/>
          <w:sz w:val="21"/>
          <w:szCs w:val="21"/>
          <w:highlight w:val="none"/>
          <w:u w:val="single"/>
          <w:lang w:eastAsia="zh-CN"/>
        </w:rPr>
        <w:t>2000-5000</w:t>
      </w:r>
      <w:r>
        <w:rPr>
          <w:rFonts w:hint="eastAsia" w:ascii="宋体" w:hAnsi="宋体" w:eastAsia="宋体" w:cs="宋体"/>
          <w:color w:val="auto"/>
          <w:kern w:val="10"/>
          <w:sz w:val="21"/>
          <w:szCs w:val="21"/>
          <w:highlight w:val="none"/>
          <w:lang w:eastAsia="zh-CN"/>
        </w:rPr>
        <w:t>元。如在施工过程中发现材料质量不合格，乙方除负责更换合格材料外，每次乙方向甲方支付违约金人民币</w:t>
      </w:r>
      <w:r>
        <w:rPr>
          <w:rFonts w:hint="eastAsia" w:ascii="宋体" w:hAnsi="宋体" w:eastAsia="宋体" w:cs="宋体"/>
          <w:b/>
          <w:color w:val="auto"/>
          <w:kern w:val="10"/>
          <w:sz w:val="21"/>
          <w:szCs w:val="21"/>
          <w:highlight w:val="none"/>
          <w:u w:val="single"/>
          <w:lang w:eastAsia="zh-CN"/>
        </w:rPr>
        <w:t>10000</w:t>
      </w:r>
      <w:r>
        <w:rPr>
          <w:rFonts w:hint="eastAsia" w:ascii="宋体" w:hAnsi="宋体" w:eastAsia="宋体" w:cs="宋体"/>
          <w:color w:val="auto"/>
          <w:kern w:val="10"/>
          <w:sz w:val="21"/>
          <w:szCs w:val="21"/>
          <w:highlight w:val="none"/>
          <w:lang w:eastAsia="zh-CN"/>
        </w:rPr>
        <w:t>元，并承担因此给甲方造成的全部损失。</w:t>
      </w:r>
    </w:p>
    <w:p w14:paraId="6D34F1DF">
      <w:pPr>
        <w:kinsoku w:val="0"/>
        <w:autoSpaceDE w:val="0"/>
        <w:autoSpaceDN w:val="0"/>
        <w:adjustRightInd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7）甲方与建设单位间的隐蔽工程验收、分部分项工程验收以及工程竣工验收表明分包作业质量不合格时，乙方应负责无偿整改，作业期限不予延长，并承担由此导致的甲方的全部损失。若乙方接到甲方整改通知单后</w:t>
      </w:r>
      <w:r>
        <w:rPr>
          <w:rFonts w:hint="eastAsia" w:ascii="宋体" w:hAnsi="宋体" w:eastAsia="宋体" w:cs="宋体"/>
          <w:color w:val="auto"/>
          <w:kern w:val="10"/>
          <w:sz w:val="21"/>
          <w:szCs w:val="21"/>
          <w:highlight w:val="none"/>
          <w:u w:val="single"/>
          <w:lang w:eastAsia="zh-CN"/>
        </w:rPr>
        <w:t xml:space="preserve"> 24小时 </w:t>
      </w:r>
      <w:r>
        <w:rPr>
          <w:rFonts w:hint="eastAsia" w:ascii="宋体" w:hAnsi="宋体" w:eastAsia="宋体" w:cs="宋体"/>
          <w:color w:val="auto"/>
          <w:kern w:val="10"/>
          <w:sz w:val="21"/>
          <w:szCs w:val="21"/>
          <w:highlight w:val="none"/>
          <w:lang w:eastAsia="zh-CN"/>
        </w:rPr>
        <w:t>内未进行整改或整改不合格的，甲方</w:t>
      </w:r>
      <w:r>
        <w:rPr>
          <w:rStyle w:val="38"/>
          <w:rFonts w:hint="eastAsia" w:ascii="宋体" w:hAnsi="宋体" w:eastAsia="宋体" w:cs="宋体"/>
          <w:color w:val="auto"/>
          <w:highlight w:val="none"/>
          <w:lang w:eastAsia="zh-CN"/>
        </w:rPr>
        <w:t>可以自行</w:t>
      </w:r>
      <w:r>
        <w:rPr>
          <w:rFonts w:hint="eastAsia" w:ascii="宋体" w:hAnsi="宋体" w:eastAsia="宋体" w:cs="宋体"/>
          <w:color w:val="auto"/>
          <w:kern w:val="10"/>
          <w:sz w:val="21"/>
          <w:szCs w:val="21"/>
          <w:highlight w:val="none"/>
          <w:lang w:eastAsia="zh-CN"/>
        </w:rPr>
        <w:t>委托第三方完成，此部分费用由乙方承担并向甲方支付违约金人民币</w:t>
      </w:r>
      <w:r>
        <w:rPr>
          <w:rFonts w:hint="eastAsia" w:ascii="宋体" w:hAnsi="宋体" w:eastAsia="宋体" w:cs="宋体"/>
          <w:b/>
          <w:color w:val="auto"/>
          <w:kern w:val="10"/>
          <w:sz w:val="21"/>
          <w:szCs w:val="21"/>
          <w:highlight w:val="none"/>
          <w:u w:val="single"/>
          <w:lang w:eastAsia="zh-CN"/>
        </w:rPr>
        <w:t>10000</w:t>
      </w:r>
      <w:r>
        <w:rPr>
          <w:rFonts w:hint="eastAsia" w:ascii="宋体" w:hAnsi="宋体" w:eastAsia="宋体" w:cs="宋体"/>
          <w:color w:val="auto"/>
          <w:kern w:val="10"/>
          <w:sz w:val="21"/>
          <w:szCs w:val="21"/>
          <w:highlight w:val="none"/>
          <w:lang w:eastAsia="zh-CN"/>
        </w:rPr>
        <w:t>元。</w:t>
      </w:r>
    </w:p>
    <w:p w14:paraId="4664D400">
      <w:pPr>
        <w:kinsoku w:val="0"/>
        <w:autoSpaceDE w:val="0"/>
        <w:autoSpaceDN w:val="0"/>
        <w:adjustRightInd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（8）如乙方未能按照约定履行维修义务，甲方可在乙方的质保金中扣除相关维修费用，并要求乙方承担维修费用</w:t>
      </w:r>
      <w:r>
        <w:rPr>
          <w:rFonts w:hint="eastAsia" w:ascii="宋体" w:hAnsi="宋体" w:eastAsia="宋体" w:cs="宋体"/>
          <w:b/>
          <w:color w:val="auto"/>
          <w:kern w:val="10"/>
          <w:sz w:val="21"/>
          <w:szCs w:val="21"/>
          <w:highlight w:val="none"/>
          <w:u w:val="single"/>
          <w:lang w:eastAsia="zh-CN"/>
        </w:rPr>
        <w:t>20%</w:t>
      </w:r>
      <w:r>
        <w:rPr>
          <w:rFonts w:hint="eastAsia" w:ascii="宋体" w:hAnsi="宋体" w:eastAsia="宋体" w:cs="宋体"/>
          <w:color w:val="auto"/>
          <w:kern w:val="10"/>
          <w:sz w:val="21"/>
          <w:szCs w:val="21"/>
          <w:highlight w:val="none"/>
          <w:lang w:eastAsia="zh-CN"/>
        </w:rPr>
        <w:t>的违约金，不足部分及因乙方拒绝维修导致额外的损失，甲方将继续向乙方追偿。</w:t>
      </w:r>
    </w:p>
    <w:p w14:paraId="4C02EE18">
      <w:pPr>
        <w:pStyle w:val="11"/>
        <w:kinsoku w:val="0"/>
        <w:spacing w:after="0" w:line="360" w:lineRule="auto"/>
        <w:ind w:firstLine="420"/>
        <w:jc w:val="both"/>
        <w:rPr>
          <w:rFonts w:hint="eastAsia" w:ascii="宋体" w:hAnsi="宋体" w:eastAsia="宋体"/>
          <w:color w:val="auto"/>
          <w:sz w:val="21"/>
          <w:szCs w:val="21"/>
          <w:highlight w:val="none"/>
        </w:rPr>
      </w:pPr>
      <w:r>
        <w:rPr>
          <w:rFonts w:hint="eastAsia" w:ascii="宋体" w:hAnsi="宋体" w:eastAsia="宋体"/>
          <w:color w:val="auto"/>
          <w:sz w:val="21"/>
          <w:szCs w:val="21"/>
          <w:highlight w:val="none"/>
        </w:rPr>
        <w:t>（9）被建设单位、甲方公司及其上级单位质量检查通报排名倒数后两名的，乙方按照</w:t>
      </w:r>
      <w:r>
        <w:rPr>
          <w:rFonts w:hint="eastAsia" w:ascii="宋体" w:hAnsi="宋体" w:eastAsia="宋体"/>
          <w:b/>
          <w:color w:val="auto"/>
          <w:sz w:val="21"/>
          <w:szCs w:val="21"/>
          <w:highlight w:val="none"/>
          <w:u w:val="single"/>
        </w:rPr>
        <w:t>3000～5000</w:t>
      </w:r>
      <w:r>
        <w:rPr>
          <w:rFonts w:hint="eastAsia" w:ascii="宋体" w:hAnsi="宋体" w:eastAsia="宋体"/>
          <w:color w:val="auto"/>
          <w:sz w:val="21"/>
          <w:szCs w:val="21"/>
          <w:highlight w:val="none"/>
        </w:rPr>
        <w:t>元/次承担违约金。同一项目，被连续通报倒数后两名的，违约金加倍。</w:t>
      </w:r>
    </w:p>
    <w:p w14:paraId="0C8E2C8A">
      <w:pPr>
        <w:pStyle w:val="11"/>
        <w:kinsoku w:val="0"/>
        <w:spacing w:after="0" w:line="360" w:lineRule="auto"/>
        <w:ind w:firstLine="420"/>
        <w:jc w:val="both"/>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（10）被建设单位投诉到甲方公司及其上级单位主管部门的，乙方按照</w:t>
      </w:r>
      <w:r>
        <w:rPr>
          <w:rFonts w:hint="eastAsia" w:ascii="宋体" w:hAnsi="宋体" w:eastAsia="宋体"/>
          <w:b/>
          <w:color w:val="auto"/>
          <w:sz w:val="21"/>
          <w:szCs w:val="21"/>
          <w:highlight w:val="none"/>
          <w:u w:val="single"/>
        </w:rPr>
        <w:t>10000～50000</w:t>
      </w:r>
      <w:r>
        <w:rPr>
          <w:rFonts w:hint="eastAsia" w:ascii="宋体" w:hAnsi="宋体" w:eastAsia="宋体"/>
          <w:color w:val="auto"/>
          <w:sz w:val="21"/>
          <w:szCs w:val="21"/>
          <w:highlight w:val="none"/>
        </w:rPr>
        <w:t>元/次承担违约金。同一项目，半年期内连续被投诉，违约金加倍。</w:t>
      </w:r>
    </w:p>
    <w:p w14:paraId="5B6411E4">
      <w:pPr>
        <w:pStyle w:val="11"/>
        <w:kinsoku w:val="0"/>
        <w:spacing w:after="0" w:line="360" w:lineRule="auto"/>
        <w:ind w:firstLine="420"/>
        <w:jc w:val="both"/>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（11）被新闻媒体曝光的，乙方按照</w:t>
      </w:r>
      <w:r>
        <w:rPr>
          <w:rFonts w:hint="eastAsia" w:ascii="宋体" w:hAnsi="宋体" w:eastAsia="宋体"/>
          <w:b/>
          <w:color w:val="auto"/>
          <w:sz w:val="21"/>
          <w:szCs w:val="21"/>
          <w:highlight w:val="none"/>
          <w:u w:val="single"/>
        </w:rPr>
        <w:t>20000～100000</w:t>
      </w:r>
      <w:r>
        <w:rPr>
          <w:rFonts w:hint="eastAsia" w:ascii="宋体" w:hAnsi="宋体" w:eastAsia="宋体"/>
          <w:color w:val="auto"/>
          <w:sz w:val="21"/>
          <w:szCs w:val="21"/>
          <w:highlight w:val="none"/>
        </w:rPr>
        <w:t>元/次承担违约金。</w:t>
      </w:r>
    </w:p>
    <w:p w14:paraId="610E43B1">
      <w:pPr>
        <w:pStyle w:val="11"/>
        <w:kinsoku w:val="0"/>
        <w:spacing w:after="0" w:line="360" w:lineRule="auto"/>
        <w:ind w:firstLine="420"/>
        <w:jc w:val="both"/>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（12）被政府主管部门行政处罚的，乙方除按处罚金额交款外，另外按照罚款金额的</w:t>
      </w:r>
      <w:r>
        <w:rPr>
          <w:rFonts w:hint="eastAsia" w:ascii="宋体" w:hAnsi="宋体" w:eastAsia="宋体"/>
          <w:b/>
          <w:color w:val="auto"/>
          <w:sz w:val="21"/>
          <w:szCs w:val="21"/>
          <w:highlight w:val="none"/>
          <w:u w:val="single"/>
        </w:rPr>
        <w:t>两倍</w:t>
      </w:r>
      <w:r>
        <w:rPr>
          <w:rFonts w:hint="eastAsia" w:ascii="宋体" w:hAnsi="宋体" w:eastAsia="宋体"/>
          <w:color w:val="auto"/>
          <w:sz w:val="21"/>
          <w:szCs w:val="21"/>
          <w:highlight w:val="none"/>
        </w:rPr>
        <w:t>承担违约金。</w:t>
      </w:r>
    </w:p>
    <w:p w14:paraId="5210258B">
      <w:pPr>
        <w:pStyle w:val="11"/>
        <w:kinsoku w:val="0"/>
        <w:spacing w:after="0" w:line="360" w:lineRule="auto"/>
        <w:ind w:firstLine="420"/>
        <w:jc w:val="both"/>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（13）被政府主管部门责令停工、限制投标以及降低资质的，乙方按照</w:t>
      </w:r>
      <w:r>
        <w:rPr>
          <w:rFonts w:hint="eastAsia" w:ascii="宋体" w:hAnsi="宋体" w:eastAsia="宋体"/>
          <w:b/>
          <w:color w:val="auto"/>
          <w:sz w:val="21"/>
          <w:szCs w:val="21"/>
          <w:highlight w:val="none"/>
          <w:u w:val="single"/>
        </w:rPr>
        <w:t>100000～500000</w:t>
      </w:r>
      <w:r>
        <w:rPr>
          <w:rFonts w:hint="eastAsia" w:ascii="宋体" w:hAnsi="宋体" w:eastAsia="宋体"/>
          <w:color w:val="auto"/>
          <w:sz w:val="21"/>
          <w:szCs w:val="21"/>
          <w:highlight w:val="none"/>
        </w:rPr>
        <w:t>元/次承担违约金。</w:t>
      </w:r>
    </w:p>
    <w:p w14:paraId="5564F7F4">
      <w:pPr>
        <w:pStyle w:val="11"/>
        <w:kinsoku w:val="0"/>
        <w:spacing w:after="0" w:line="360" w:lineRule="auto"/>
        <w:ind w:firstLine="420"/>
        <w:jc w:val="both"/>
        <w:rPr>
          <w:rFonts w:hint="eastAsia" w:ascii="宋体" w:hAnsi="宋体" w:eastAsia="宋体"/>
          <w:color w:val="auto"/>
          <w:sz w:val="21"/>
          <w:szCs w:val="21"/>
          <w:highlight w:val="none"/>
        </w:rPr>
      </w:pPr>
      <w:r>
        <w:rPr>
          <w:rFonts w:hint="eastAsia" w:ascii="宋体" w:hAnsi="宋体" w:eastAsia="宋体"/>
          <w:color w:val="auto"/>
          <w:sz w:val="21"/>
          <w:szCs w:val="21"/>
          <w:highlight w:val="none"/>
        </w:rPr>
        <w:t>（14）被国家、地方政府建设主管部门在执法检查中典型通报，违反国家强制性标准，或质量较差造成恶劣影响的，乙方按照</w:t>
      </w:r>
      <w:r>
        <w:rPr>
          <w:rFonts w:hint="eastAsia" w:ascii="宋体" w:hAnsi="宋体" w:eastAsia="宋体"/>
          <w:b/>
          <w:color w:val="auto"/>
          <w:sz w:val="21"/>
          <w:szCs w:val="21"/>
          <w:highlight w:val="none"/>
          <w:u w:val="single"/>
        </w:rPr>
        <w:t>100000～500000</w:t>
      </w:r>
      <w:r>
        <w:rPr>
          <w:rFonts w:hint="eastAsia" w:ascii="宋体" w:hAnsi="宋体" w:eastAsia="宋体"/>
          <w:color w:val="auto"/>
          <w:sz w:val="21"/>
          <w:szCs w:val="21"/>
          <w:highlight w:val="none"/>
        </w:rPr>
        <w:t>元/次承担违约金。</w:t>
      </w:r>
    </w:p>
    <w:p w14:paraId="56554A47">
      <w:pPr>
        <w:kinsoku w:val="0"/>
        <w:autoSpaceDE w:val="0"/>
        <w:autoSpaceDN w:val="0"/>
        <w:adjustRightInd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23.7.2发生质量事故的，乙方按照下述承担违约责任。</w:t>
      </w:r>
    </w:p>
    <w:p w14:paraId="084E7081">
      <w:pPr>
        <w:kinsoku w:val="0"/>
        <w:autoSpaceDE w:val="0"/>
        <w:autoSpaceDN w:val="0"/>
        <w:adjustRightInd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（1）特别重大质量事故直接责任人应依法追究其刑事责任及民事责任。乙方按照</w:t>
      </w:r>
      <w:r>
        <w:rPr>
          <w:rFonts w:hint="eastAsia" w:ascii="宋体" w:hAnsi="宋体" w:eastAsia="宋体" w:cs="宋体"/>
          <w:b/>
          <w:color w:val="auto"/>
          <w:kern w:val="10"/>
          <w:sz w:val="21"/>
          <w:szCs w:val="21"/>
          <w:highlight w:val="none"/>
          <w:u w:val="single"/>
          <w:lang w:eastAsia="zh-CN"/>
        </w:rPr>
        <w:t>500000～1000000</w:t>
      </w:r>
      <w:r>
        <w:rPr>
          <w:rFonts w:hint="eastAsia" w:ascii="宋体" w:hAnsi="宋体" w:eastAsia="宋体" w:cs="宋体"/>
          <w:color w:val="auto"/>
          <w:kern w:val="10"/>
          <w:sz w:val="21"/>
          <w:szCs w:val="21"/>
          <w:highlight w:val="none"/>
          <w:lang w:eastAsia="zh-CN"/>
        </w:rPr>
        <w:t>元/次承担违约金。</w:t>
      </w:r>
    </w:p>
    <w:p w14:paraId="79C0636F">
      <w:pPr>
        <w:kinsoku w:val="0"/>
        <w:autoSpaceDE w:val="0"/>
        <w:autoSpaceDN w:val="0"/>
        <w:adjustRightInd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w:t>
      </w:r>
      <w:r>
        <w:rPr>
          <w:rFonts w:hint="eastAsia" w:ascii="宋体" w:hAnsi="宋体" w:eastAsia="宋体" w:cs="宋体"/>
          <w:color w:val="auto"/>
          <w:sz w:val="21"/>
          <w:szCs w:val="21"/>
          <w:highlight w:val="none"/>
          <w:lang w:eastAsia="zh-CN"/>
        </w:rPr>
        <w:t>重大质量事故的</w:t>
      </w:r>
      <w:r>
        <w:rPr>
          <w:rFonts w:hint="eastAsia" w:ascii="宋体" w:hAnsi="宋体" w:eastAsia="宋体" w:cs="宋体"/>
          <w:color w:val="auto"/>
          <w:kern w:val="10"/>
          <w:sz w:val="21"/>
          <w:szCs w:val="21"/>
          <w:highlight w:val="none"/>
          <w:lang w:eastAsia="zh-CN"/>
        </w:rPr>
        <w:t>直接责任人应依法追究其刑事责任及民事责任。乙方按照</w:t>
      </w:r>
      <w:r>
        <w:rPr>
          <w:rFonts w:hint="eastAsia" w:ascii="宋体" w:hAnsi="宋体" w:eastAsia="宋体" w:cs="宋体"/>
          <w:b/>
          <w:color w:val="auto"/>
          <w:kern w:val="10"/>
          <w:sz w:val="21"/>
          <w:szCs w:val="21"/>
          <w:highlight w:val="none"/>
          <w:u w:val="single"/>
          <w:lang w:eastAsia="zh-CN"/>
        </w:rPr>
        <w:t>100000～200000</w:t>
      </w:r>
      <w:r>
        <w:rPr>
          <w:rFonts w:hint="eastAsia" w:ascii="宋体" w:hAnsi="宋体" w:eastAsia="宋体" w:cs="宋体"/>
          <w:color w:val="auto"/>
          <w:kern w:val="10"/>
          <w:sz w:val="21"/>
          <w:szCs w:val="21"/>
          <w:highlight w:val="none"/>
          <w:lang w:eastAsia="zh-CN"/>
        </w:rPr>
        <w:t>元/次承担违约金。</w:t>
      </w:r>
    </w:p>
    <w:p w14:paraId="3DA2C590">
      <w:pPr>
        <w:kinsoku w:val="0"/>
        <w:autoSpaceDE w:val="0"/>
        <w:autoSpaceDN w:val="0"/>
        <w:adjustRightInd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（3）较大质量事故的直接责任人应依法追究其民事责任，因事故造成人员死亡时应依法追究其刑事责任。乙方按照</w:t>
      </w:r>
      <w:r>
        <w:rPr>
          <w:rFonts w:hint="eastAsia" w:ascii="宋体" w:hAnsi="宋体" w:eastAsia="宋体" w:cs="宋体"/>
          <w:b/>
          <w:color w:val="auto"/>
          <w:kern w:val="10"/>
          <w:sz w:val="21"/>
          <w:szCs w:val="21"/>
          <w:highlight w:val="none"/>
          <w:u w:val="single"/>
          <w:lang w:eastAsia="zh-CN"/>
        </w:rPr>
        <w:t>50000～200000</w:t>
      </w:r>
      <w:r>
        <w:rPr>
          <w:rFonts w:hint="eastAsia" w:ascii="宋体" w:hAnsi="宋体" w:eastAsia="宋体" w:cs="宋体"/>
          <w:color w:val="auto"/>
          <w:kern w:val="10"/>
          <w:sz w:val="21"/>
          <w:szCs w:val="21"/>
          <w:highlight w:val="none"/>
          <w:lang w:eastAsia="zh-CN"/>
        </w:rPr>
        <w:t>元/次承担违约金。</w:t>
      </w:r>
    </w:p>
    <w:p w14:paraId="0FF46A0A">
      <w:pPr>
        <w:kinsoku w:val="0"/>
        <w:autoSpaceDE w:val="0"/>
        <w:autoSpaceDN w:val="0"/>
        <w:adjustRightInd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（4）一般质量事故的直接责任人违约金额度不应低于事故直接经济损失的5%，亦不应低于100000元。乙方按照</w:t>
      </w:r>
      <w:r>
        <w:rPr>
          <w:rFonts w:hint="eastAsia" w:ascii="宋体" w:hAnsi="宋体" w:eastAsia="宋体" w:cs="宋体"/>
          <w:b/>
          <w:color w:val="auto"/>
          <w:kern w:val="10"/>
          <w:sz w:val="21"/>
          <w:szCs w:val="21"/>
          <w:highlight w:val="none"/>
          <w:u w:val="single"/>
          <w:lang w:eastAsia="zh-CN"/>
        </w:rPr>
        <w:t>10000～50000</w:t>
      </w:r>
      <w:r>
        <w:rPr>
          <w:rFonts w:hint="eastAsia" w:ascii="宋体" w:hAnsi="宋体" w:eastAsia="宋体" w:cs="宋体"/>
          <w:color w:val="auto"/>
          <w:kern w:val="10"/>
          <w:sz w:val="21"/>
          <w:szCs w:val="21"/>
          <w:highlight w:val="none"/>
          <w:lang w:eastAsia="zh-CN"/>
        </w:rPr>
        <w:t>元/次承担违约金。</w:t>
      </w:r>
    </w:p>
    <w:p w14:paraId="564CBE2E">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23.7.3乙方必须接受相关部门和甲方组织的工程质量检查，检查中发现的不合格项目必须在规定的整改时间内完成。</w:t>
      </w:r>
    </w:p>
    <w:p w14:paraId="2969D56E">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23.7.4因乙方原因造成本工程质量达不到合同约定质量标准和创优目标的，甲方可采取不办理结算、不支付工程款，乙方承担合同价款10%的违约金，甲方可选择解除合同，乙方承担因此造成的一切经济损失。</w:t>
      </w:r>
    </w:p>
    <w:p w14:paraId="53408C61">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上述罚款行为视为乙方的违约行为，罚款视为乙方应支付的违约金，23.7.1和23.7.2条款所涉及违约事项由同一行为导致的或发生多项违约行为的，</w:t>
      </w:r>
      <w:r>
        <w:rPr>
          <w:rFonts w:hint="eastAsia" w:ascii="宋体" w:hAnsi="宋体" w:eastAsia="宋体" w:cs="宋体"/>
          <w:b/>
          <w:bCs/>
          <w:color w:val="auto"/>
          <w:kern w:val="10"/>
          <w:sz w:val="21"/>
          <w:szCs w:val="21"/>
          <w:highlight w:val="none"/>
          <w:lang w:eastAsia="zh-CN"/>
        </w:rPr>
        <w:t>违约金累加计算</w:t>
      </w:r>
      <w:r>
        <w:rPr>
          <w:rFonts w:hint="eastAsia" w:ascii="宋体" w:hAnsi="宋体" w:eastAsia="宋体" w:cs="宋体"/>
          <w:color w:val="auto"/>
          <w:kern w:val="10"/>
          <w:sz w:val="21"/>
          <w:szCs w:val="21"/>
          <w:highlight w:val="none"/>
          <w:lang w:eastAsia="zh-CN"/>
        </w:rPr>
        <w:t>，甲方可选择在过程结算中扣除，也可在最终结算时扣除。</w:t>
      </w:r>
    </w:p>
    <w:p w14:paraId="7019444A">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23.8工期违约</w:t>
      </w:r>
    </w:p>
    <w:p w14:paraId="54B1AC0A">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23.8.1乙方工期节点延误，每延误一天，乙方支付</w:t>
      </w:r>
      <w:r>
        <w:rPr>
          <w:rFonts w:hint="eastAsia" w:ascii="宋体" w:hAnsi="宋体" w:eastAsia="宋体" w:cs="宋体"/>
          <w:b/>
          <w:color w:val="auto"/>
          <w:kern w:val="10"/>
          <w:sz w:val="21"/>
          <w:szCs w:val="21"/>
          <w:highlight w:val="none"/>
          <w:u w:val="single"/>
          <w:lang w:eastAsia="zh-CN"/>
        </w:rPr>
        <w:t xml:space="preserve">1000 </w:t>
      </w:r>
      <w:r>
        <w:rPr>
          <w:rFonts w:hint="eastAsia" w:ascii="宋体" w:hAnsi="宋体" w:eastAsia="宋体" w:cs="宋体"/>
          <w:b/>
          <w:color w:val="auto"/>
          <w:kern w:val="10"/>
          <w:sz w:val="21"/>
          <w:szCs w:val="21"/>
          <w:highlight w:val="none"/>
          <w:lang w:eastAsia="zh-CN"/>
        </w:rPr>
        <w:t>元</w:t>
      </w:r>
      <w:r>
        <w:rPr>
          <w:rFonts w:hint="eastAsia" w:ascii="宋体" w:hAnsi="宋体" w:eastAsia="宋体" w:cs="宋体"/>
          <w:color w:val="auto"/>
          <w:kern w:val="10"/>
          <w:sz w:val="21"/>
          <w:szCs w:val="21"/>
          <w:highlight w:val="none"/>
          <w:lang w:eastAsia="zh-CN"/>
        </w:rPr>
        <w:t>误期违约赔偿金，最高赔偿金不超过合同价款</w:t>
      </w:r>
      <w:r>
        <w:rPr>
          <w:rFonts w:hint="eastAsia" w:ascii="宋体" w:hAnsi="宋体" w:eastAsia="宋体" w:cs="宋体"/>
          <w:color w:val="auto"/>
          <w:kern w:val="10"/>
          <w:sz w:val="21"/>
          <w:szCs w:val="21"/>
          <w:highlight w:val="none"/>
          <w:lang w:eastAsia="zh-CN"/>
        </w:rPr>
        <w:t>的</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2</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b/>
          <w:color w:val="auto"/>
          <w:kern w:val="10"/>
          <w:sz w:val="21"/>
          <w:szCs w:val="21"/>
          <w:highlight w:val="none"/>
          <w:lang w:eastAsia="zh-CN"/>
        </w:rPr>
        <w:t>%</w:t>
      </w:r>
      <w:r>
        <w:rPr>
          <w:rFonts w:hint="eastAsia" w:ascii="宋体" w:hAnsi="宋体" w:eastAsia="宋体" w:cs="宋体"/>
          <w:color w:val="auto"/>
          <w:kern w:val="10"/>
          <w:sz w:val="21"/>
          <w:szCs w:val="21"/>
          <w:highlight w:val="none"/>
          <w:lang w:eastAsia="zh-CN"/>
        </w:rPr>
        <w:t>，</w:t>
      </w:r>
      <w:r>
        <w:rPr>
          <w:rFonts w:hint="eastAsia" w:ascii="宋体" w:hAnsi="宋体" w:eastAsia="宋体" w:cs="宋体"/>
          <w:color w:val="auto"/>
          <w:kern w:val="10"/>
          <w:sz w:val="21"/>
          <w:szCs w:val="21"/>
          <w:highlight w:val="none"/>
          <w:lang w:eastAsia="zh-CN"/>
        </w:rPr>
        <w:t>误期违约赔偿金不应解除乙方完成本工程的义务，或合同约定的其可能承担的其他责任、义务或职责。且甲方可以从乙方交纳的履约保证金中直接扣除相应金额抵付违约金。如因乙方延期给甲方造成的经济损失超过该违约金金额的，乙方还应承担赔偿责任。在合同实施过程中，当甲方认为乙方无法保证工期，甲方可以对乙方合同范围的施工任务进行切割，乙方须无条件接受，由此造成的损失由乙方承担全部责任和费用。</w:t>
      </w:r>
    </w:p>
    <w:p w14:paraId="01C2C3B7">
      <w:pPr>
        <w:kinsoku w:val="0"/>
        <w:spacing w:after="0" w:line="360" w:lineRule="auto"/>
        <w:ind w:firstLine="420" w:firstLineChars="200"/>
        <w:jc w:val="both"/>
        <w:rPr>
          <w:rFonts w:hint="eastAsia" w:ascii="宋体" w:hAnsi="宋体" w:eastAsia="宋体" w:cs="宋体"/>
          <w:b/>
          <w:bCs/>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23.8.2如因非甲方原因导致本工程不能按合同约定完工交付，每延期一天乙方向甲方支付违约金</w:t>
      </w:r>
      <w:r>
        <w:rPr>
          <w:rFonts w:hint="eastAsia" w:ascii="宋体" w:hAnsi="宋体" w:eastAsia="宋体" w:cs="宋体"/>
          <w:b/>
          <w:bCs/>
          <w:color w:val="auto"/>
          <w:kern w:val="10"/>
          <w:sz w:val="21"/>
          <w:szCs w:val="21"/>
          <w:highlight w:val="none"/>
          <w:u w:val="single"/>
          <w:lang w:eastAsia="zh-CN"/>
        </w:rPr>
        <w:t>10000</w:t>
      </w:r>
      <w:r>
        <w:rPr>
          <w:rFonts w:hint="eastAsia" w:ascii="宋体" w:hAnsi="宋体" w:eastAsia="宋体" w:cs="宋体"/>
          <w:b/>
          <w:bCs/>
          <w:color w:val="auto"/>
          <w:kern w:val="10"/>
          <w:sz w:val="21"/>
          <w:szCs w:val="21"/>
          <w:highlight w:val="none"/>
          <w:lang w:eastAsia="zh-CN"/>
        </w:rPr>
        <w:t>元</w:t>
      </w:r>
      <w:r>
        <w:rPr>
          <w:rFonts w:hint="eastAsia" w:ascii="宋体" w:hAnsi="宋体" w:eastAsia="宋体" w:cs="宋体"/>
          <w:color w:val="auto"/>
          <w:kern w:val="10"/>
          <w:sz w:val="21"/>
          <w:szCs w:val="21"/>
          <w:highlight w:val="none"/>
          <w:lang w:eastAsia="zh-CN"/>
        </w:rPr>
        <w:t>，延期违约金最高不得超过合同价款的</w:t>
      </w:r>
      <w:r>
        <w:rPr>
          <w:rFonts w:hint="eastAsia" w:ascii="宋体" w:hAnsi="宋体" w:eastAsia="宋体" w:cs="宋体"/>
          <w:b/>
          <w:bCs/>
          <w:color w:val="auto"/>
          <w:kern w:val="10"/>
          <w:sz w:val="21"/>
          <w:szCs w:val="21"/>
          <w:highlight w:val="none"/>
          <w:u w:val="single"/>
          <w:lang w:eastAsia="zh-CN"/>
        </w:rPr>
        <w:t>20</w:t>
      </w:r>
      <w:r>
        <w:rPr>
          <w:rFonts w:hint="eastAsia" w:ascii="宋体" w:hAnsi="宋体" w:eastAsia="宋体" w:cs="宋体"/>
          <w:b/>
          <w:bCs/>
          <w:color w:val="auto"/>
          <w:kern w:val="10"/>
          <w:sz w:val="21"/>
          <w:szCs w:val="21"/>
          <w:highlight w:val="none"/>
          <w:lang w:eastAsia="zh-CN"/>
        </w:rPr>
        <w:t>%</w:t>
      </w:r>
      <w:r>
        <w:rPr>
          <w:rFonts w:hint="eastAsia" w:ascii="宋体" w:hAnsi="宋体" w:eastAsia="宋体" w:cs="宋体"/>
          <w:color w:val="auto"/>
          <w:kern w:val="10"/>
          <w:sz w:val="21"/>
          <w:szCs w:val="21"/>
          <w:highlight w:val="none"/>
          <w:lang w:eastAsia="zh-CN"/>
        </w:rPr>
        <w:t>，并赔偿因工期延误造成的连带损失。</w:t>
      </w:r>
    </w:p>
    <w:p w14:paraId="6C164A97">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23.8.3在施工过程中，若乙方擅自停工，视为乙方违约，除承担停工给甲方造成的损失外，另承担</w:t>
      </w:r>
      <w:r>
        <w:rPr>
          <w:rFonts w:hint="eastAsia" w:ascii="宋体" w:hAnsi="宋体" w:eastAsia="宋体" w:cs="宋体"/>
          <w:b/>
          <w:bCs/>
          <w:color w:val="auto"/>
          <w:kern w:val="10"/>
          <w:sz w:val="21"/>
          <w:szCs w:val="21"/>
          <w:highlight w:val="none"/>
          <w:u w:val="single"/>
          <w:lang w:eastAsia="zh-CN"/>
        </w:rPr>
        <w:t>1000</w:t>
      </w:r>
      <w:r>
        <w:rPr>
          <w:rFonts w:hint="eastAsia" w:ascii="宋体" w:hAnsi="宋体" w:eastAsia="宋体" w:cs="宋体"/>
          <w:b/>
          <w:bCs/>
          <w:color w:val="auto"/>
          <w:kern w:val="10"/>
          <w:sz w:val="21"/>
          <w:szCs w:val="21"/>
          <w:highlight w:val="none"/>
          <w:lang w:eastAsia="zh-CN"/>
        </w:rPr>
        <w:t>元/天</w:t>
      </w:r>
      <w:r>
        <w:rPr>
          <w:rFonts w:hint="eastAsia" w:ascii="宋体" w:hAnsi="宋体" w:eastAsia="宋体" w:cs="宋体"/>
          <w:color w:val="auto"/>
          <w:kern w:val="10"/>
          <w:sz w:val="21"/>
          <w:szCs w:val="21"/>
          <w:highlight w:val="none"/>
          <w:lang w:eastAsia="zh-CN"/>
        </w:rPr>
        <w:t>的违约金，停工超过</w:t>
      </w:r>
      <w:r>
        <w:rPr>
          <w:rFonts w:hint="eastAsia" w:ascii="宋体" w:hAnsi="宋体" w:eastAsia="宋体" w:cs="宋体"/>
          <w:color w:val="auto"/>
          <w:kern w:val="10"/>
          <w:sz w:val="21"/>
          <w:szCs w:val="21"/>
          <w:highlight w:val="none"/>
          <w:u w:val="single"/>
          <w:lang w:eastAsia="zh-CN"/>
        </w:rPr>
        <w:t xml:space="preserve"> 5 </w:t>
      </w:r>
      <w:r>
        <w:rPr>
          <w:rFonts w:hint="eastAsia" w:ascii="宋体" w:hAnsi="宋体" w:eastAsia="宋体" w:cs="宋体"/>
          <w:color w:val="auto"/>
          <w:kern w:val="10"/>
          <w:sz w:val="21"/>
          <w:szCs w:val="21"/>
          <w:highlight w:val="none"/>
          <w:lang w:eastAsia="zh-CN"/>
        </w:rPr>
        <w:t>天，甲方可单方解除合同，乙方需向甲方承担本合同签约合同价3%的违约金。</w:t>
      </w:r>
    </w:p>
    <w:p w14:paraId="076DFC91">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23.9环保违约</w:t>
      </w:r>
    </w:p>
    <w:p w14:paraId="6B1D466E">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23.9.1乙方未按要求开展生态环保、节能减排、水土保持等工作，导致施工现场存在大气、水土、固体废弃物等方面的生态环保隐患的，每发生一起支付违约金人民币</w:t>
      </w:r>
      <w:r>
        <w:rPr>
          <w:rFonts w:hint="eastAsia" w:ascii="宋体" w:hAnsi="宋体" w:eastAsia="宋体" w:cs="宋体"/>
          <w:b/>
          <w:color w:val="auto"/>
          <w:kern w:val="10"/>
          <w:sz w:val="21"/>
          <w:szCs w:val="21"/>
          <w:highlight w:val="none"/>
          <w:u w:val="single"/>
          <w:lang w:eastAsia="zh-CN"/>
        </w:rPr>
        <w:t>5000-20000</w:t>
      </w:r>
      <w:r>
        <w:rPr>
          <w:rFonts w:hint="eastAsia" w:ascii="宋体" w:hAnsi="宋体" w:eastAsia="宋体" w:cs="宋体"/>
          <w:b/>
          <w:color w:val="auto"/>
          <w:kern w:val="10"/>
          <w:sz w:val="21"/>
          <w:szCs w:val="21"/>
          <w:highlight w:val="none"/>
          <w:lang w:eastAsia="zh-CN"/>
        </w:rPr>
        <w:t>元</w:t>
      </w:r>
      <w:r>
        <w:rPr>
          <w:rFonts w:hint="eastAsia" w:ascii="宋体" w:hAnsi="宋体" w:eastAsia="宋体" w:cs="宋体"/>
          <w:color w:val="auto"/>
          <w:kern w:val="10"/>
          <w:sz w:val="21"/>
          <w:szCs w:val="21"/>
          <w:highlight w:val="none"/>
          <w:lang w:eastAsia="zh-CN"/>
        </w:rPr>
        <w:t>。</w:t>
      </w:r>
    </w:p>
    <w:p w14:paraId="16F9997C">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23.9.2因乙方管理不当，致使甲方被属地政府单位或其他国家行政单位进行公示或处以罚款的，乙方需承担甲方全部经济损失，且每发生一起支付违约金人民币</w:t>
      </w:r>
      <w:r>
        <w:rPr>
          <w:rFonts w:hint="eastAsia" w:ascii="宋体" w:hAnsi="宋体" w:eastAsia="宋体" w:cs="宋体"/>
          <w:b/>
          <w:color w:val="auto"/>
          <w:kern w:val="10"/>
          <w:sz w:val="21"/>
          <w:szCs w:val="21"/>
          <w:highlight w:val="none"/>
          <w:u w:val="single"/>
          <w:lang w:eastAsia="zh-CN"/>
        </w:rPr>
        <w:t>50000-100000</w:t>
      </w:r>
      <w:r>
        <w:rPr>
          <w:rFonts w:hint="eastAsia" w:ascii="宋体" w:hAnsi="宋体" w:eastAsia="宋体" w:cs="宋体"/>
          <w:b/>
          <w:color w:val="auto"/>
          <w:kern w:val="10"/>
          <w:sz w:val="21"/>
          <w:szCs w:val="21"/>
          <w:highlight w:val="none"/>
          <w:lang w:eastAsia="zh-CN"/>
        </w:rPr>
        <w:t>元</w:t>
      </w:r>
      <w:r>
        <w:rPr>
          <w:rFonts w:hint="eastAsia" w:ascii="宋体" w:hAnsi="宋体" w:eastAsia="宋体" w:cs="宋体"/>
          <w:color w:val="auto"/>
          <w:kern w:val="10"/>
          <w:sz w:val="21"/>
          <w:szCs w:val="21"/>
          <w:highlight w:val="none"/>
          <w:lang w:eastAsia="zh-CN"/>
        </w:rPr>
        <w:t>。</w:t>
      </w:r>
    </w:p>
    <w:p w14:paraId="089998CE">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23.10用工违约</w:t>
      </w:r>
    </w:p>
    <w:p w14:paraId="17397649">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23.10.1如经查实乙方未依法办理劳动用工、社会保险手续的，按乙方违约处理，每出现一例，乙方需支付违约金人民币</w:t>
      </w:r>
      <w:r>
        <w:rPr>
          <w:rFonts w:hint="eastAsia" w:ascii="宋体" w:hAnsi="宋体" w:eastAsia="宋体" w:cs="宋体"/>
          <w:b/>
          <w:color w:val="auto"/>
          <w:kern w:val="10"/>
          <w:sz w:val="21"/>
          <w:szCs w:val="21"/>
          <w:highlight w:val="none"/>
          <w:u w:val="single"/>
          <w:lang w:eastAsia="zh-CN"/>
        </w:rPr>
        <w:t>2000-5000</w:t>
      </w:r>
      <w:r>
        <w:rPr>
          <w:rFonts w:hint="eastAsia" w:ascii="宋体" w:hAnsi="宋体" w:eastAsia="宋体" w:cs="宋体"/>
          <w:b/>
          <w:color w:val="auto"/>
          <w:kern w:val="10"/>
          <w:sz w:val="21"/>
          <w:szCs w:val="21"/>
          <w:highlight w:val="none"/>
          <w:lang w:eastAsia="zh-CN"/>
        </w:rPr>
        <w:t>元/人</w:t>
      </w:r>
      <w:r>
        <w:rPr>
          <w:rFonts w:hint="eastAsia" w:ascii="宋体" w:hAnsi="宋体" w:eastAsia="宋体" w:cs="宋体"/>
          <w:color w:val="auto"/>
          <w:kern w:val="10"/>
          <w:sz w:val="21"/>
          <w:szCs w:val="21"/>
          <w:highlight w:val="none"/>
          <w:lang w:eastAsia="zh-CN"/>
        </w:rPr>
        <w:t>。</w:t>
      </w:r>
    </w:p>
    <w:p w14:paraId="69AF0014">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23.10.2在合同履行期间，如经查实乙方拖欠或克扣农民工或劳务工工资，导致劳资纠纷或发生危及公共安全或正常社会秩序的事件的，按乙方违约处理，乙方按拖欠或克扣农民工或劳务工工资的</w:t>
      </w:r>
      <w:r>
        <w:rPr>
          <w:rFonts w:hint="eastAsia" w:ascii="宋体" w:hAnsi="宋体" w:eastAsia="宋体" w:cs="宋体"/>
          <w:b/>
          <w:color w:val="auto"/>
          <w:kern w:val="10"/>
          <w:sz w:val="21"/>
          <w:szCs w:val="21"/>
          <w:highlight w:val="none"/>
          <w:u w:val="single"/>
          <w:lang w:eastAsia="zh-CN"/>
        </w:rPr>
        <w:t>3倍</w:t>
      </w:r>
      <w:r>
        <w:rPr>
          <w:rFonts w:hint="eastAsia" w:ascii="宋体" w:hAnsi="宋体" w:eastAsia="宋体" w:cs="宋体"/>
          <w:color w:val="auto"/>
          <w:kern w:val="10"/>
          <w:sz w:val="21"/>
          <w:szCs w:val="21"/>
          <w:highlight w:val="none"/>
          <w:lang w:eastAsia="zh-CN"/>
        </w:rPr>
        <w:t>支付违约金；如甲方先行垫付，甲方有权从欠付乙方工程款或保证金中直接扣除。</w:t>
      </w:r>
    </w:p>
    <w:p w14:paraId="321B3509">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23.10.3特殊工种未持证上岗每查实一人次，乙方应支付违约金</w:t>
      </w:r>
      <w:r>
        <w:rPr>
          <w:rFonts w:hint="eastAsia" w:ascii="宋体" w:hAnsi="宋体" w:eastAsia="宋体" w:cs="宋体"/>
          <w:b/>
          <w:color w:val="auto"/>
          <w:kern w:val="10"/>
          <w:sz w:val="21"/>
          <w:szCs w:val="21"/>
          <w:highlight w:val="none"/>
          <w:u w:val="single"/>
          <w:lang w:eastAsia="zh-CN"/>
        </w:rPr>
        <w:t>2000-5000</w:t>
      </w:r>
      <w:r>
        <w:rPr>
          <w:rFonts w:hint="eastAsia" w:ascii="宋体" w:hAnsi="宋体" w:eastAsia="宋体" w:cs="宋体"/>
          <w:b/>
          <w:color w:val="auto"/>
          <w:kern w:val="10"/>
          <w:sz w:val="21"/>
          <w:szCs w:val="21"/>
          <w:highlight w:val="none"/>
          <w:lang w:eastAsia="zh-CN"/>
        </w:rPr>
        <w:t>元/人次</w:t>
      </w:r>
      <w:r>
        <w:rPr>
          <w:rFonts w:hint="eastAsia" w:ascii="宋体" w:hAnsi="宋体" w:eastAsia="宋体" w:cs="宋体"/>
          <w:color w:val="auto"/>
          <w:kern w:val="10"/>
          <w:sz w:val="21"/>
          <w:szCs w:val="21"/>
          <w:highlight w:val="none"/>
          <w:lang w:eastAsia="zh-CN"/>
        </w:rPr>
        <w:t>，该人不得从事本工种。</w:t>
      </w:r>
    </w:p>
    <w:p w14:paraId="63C8EEC2">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23.10.4项目安全管理人员未持证上岗，乙方应支付违约金</w:t>
      </w:r>
      <w:r>
        <w:rPr>
          <w:rFonts w:hint="eastAsia" w:ascii="宋体" w:hAnsi="宋体" w:eastAsia="宋体" w:cs="宋体"/>
          <w:b/>
          <w:color w:val="auto"/>
          <w:kern w:val="10"/>
          <w:sz w:val="21"/>
          <w:szCs w:val="21"/>
          <w:highlight w:val="none"/>
          <w:u w:val="single"/>
          <w:lang w:eastAsia="zh-CN"/>
        </w:rPr>
        <w:t>2000-5000</w:t>
      </w:r>
      <w:r>
        <w:rPr>
          <w:rFonts w:hint="eastAsia" w:ascii="宋体" w:hAnsi="宋体" w:eastAsia="宋体" w:cs="宋体"/>
          <w:b/>
          <w:color w:val="auto"/>
          <w:kern w:val="10"/>
          <w:sz w:val="21"/>
          <w:szCs w:val="21"/>
          <w:highlight w:val="none"/>
          <w:lang w:eastAsia="zh-CN"/>
        </w:rPr>
        <w:t>元/人。</w:t>
      </w:r>
    </w:p>
    <w:p w14:paraId="36C8E19B">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23.11其他违约</w:t>
      </w:r>
    </w:p>
    <w:p w14:paraId="7673BF46">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23.11.1配备的主要安全管理人员擅离岗位，每次支付违约金</w:t>
      </w:r>
      <w:r>
        <w:rPr>
          <w:rFonts w:hint="eastAsia" w:ascii="宋体" w:hAnsi="宋体" w:eastAsia="宋体" w:cs="宋体"/>
          <w:b/>
          <w:color w:val="auto"/>
          <w:kern w:val="10"/>
          <w:sz w:val="21"/>
          <w:szCs w:val="21"/>
          <w:highlight w:val="none"/>
          <w:u w:val="single"/>
          <w:lang w:eastAsia="zh-CN"/>
        </w:rPr>
        <w:t>5000</w:t>
      </w:r>
      <w:r>
        <w:rPr>
          <w:rFonts w:hint="eastAsia" w:ascii="宋体" w:hAnsi="宋体" w:eastAsia="宋体" w:cs="宋体"/>
          <w:b/>
          <w:color w:val="auto"/>
          <w:kern w:val="10"/>
          <w:sz w:val="21"/>
          <w:szCs w:val="21"/>
          <w:highlight w:val="none"/>
          <w:lang w:eastAsia="zh-CN"/>
        </w:rPr>
        <w:t>元/人</w:t>
      </w:r>
      <w:r>
        <w:rPr>
          <w:rFonts w:hint="eastAsia" w:ascii="宋体" w:hAnsi="宋体" w:eastAsia="宋体" w:cs="宋体"/>
          <w:color w:val="auto"/>
          <w:kern w:val="10"/>
          <w:sz w:val="21"/>
          <w:szCs w:val="21"/>
          <w:highlight w:val="none"/>
          <w:lang w:eastAsia="zh-CN"/>
        </w:rPr>
        <w:t>。</w:t>
      </w:r>
    </w:p>
    <w:p w14:paraId="16A9E21D">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23.11.2未按甲方安全质量通报要求及时上报整改情况，每次支付违约金</w:t>
      </w:r>
      <w:r>
        <w:rPr>
          <w:rFonts w:hint="eastAsia" w:ascii="宋体" w:hAnsi="宋体" w:eastAsia="宋体" w:cs="宋体"/>
          <w:b/>
          <w:color w:val="auto"/>
          <w:kern w:val="10"/>
          <w:sz w:val="21"/>
          <w:szCs w:val="21"/>
          <w:highlight w:val="none"/>
          <w:u w:val="single"/>
          <w:lang w:eastAsia="zh-CN"/>
        </w:rPr>
        <w:t>20000-50000</w:t>
      </w:r>
      <w:r>
        <w:rPr>
          <w:rFonts w:hint="eastAsia" w:ascii="宋体" w:hAnsi="宋体" w:eastAsia="宋体" w:cs="宋体"/>
          <w:b/>
          <w:color w:val="auto"/>
          <w:kern w:val="10"/>
          <w:sz w:val="21"/>
          <w:szCs w:val="21"/>
          <w:highlight w:val="none"/>
          <w:lang w:eastAsia="zh-CN"/>
        </w:rPr>
        <w:t>元</w:t>
      </w:r>
      <w:r>
        <w:rPr>
          <w:rFonts w:hint="eastAsia" w:ascii="宋体" w:hAnsi="宋体" w:eastAsia="宋体" w:cs="宋体"/>
          <w:color w:val="auto"/>
          <w:kern w:val="10"/>
          <w:sz w:val="21"/>
          <w:szCs w:val="21"/>
          <w:highlight w:val="none"/>
          <w:lang w:eastAsia="zh-CN"/>
        </w:rPr>
        <w:t>人民币。</w:t>
      </w:r>
    </w:p>
    <w:p w14:paraId="7137718E">
      <w:pPr>
        <w:kinsoku w:val="0"/>
        <w:spacing w:after="0" w:line="360" w:lineRule="auto"/>
        <w:ind w:firstLine="422" w:firstLineChars="200"/>
        <w:jc w:val="both"/>
        <w:rPr>
          <w:rFonts w:hint="eastAsia" w:ascii="宋体" w:hAnsi="宋体" w:eastAsia="宋体" w:cs="宋体"/>
          <w:b/>
          <w:bCs/>
          <w:color w:val="auto"/>
          <w:kern w:val="10"/>
          <w:sz w:val="21"/>
          <w:szCs w:val="21"/>
          <w:highlight w:val="none"/>
          <w:lang w:eastAsia="zh-CN"/>
        </w:rPr>
      </w:pPr>
      <w:r>
        <w:rPr>
          <w:rFonts w:hint="eastAsia" w:ascii="宋体" w:hAnsi="宋体" w:eastAsia="宋体" w:cs="宋体"/>
          <w:b/>
          <w:bCs/>
          <w:color w:val="auto"/>
          <w:kern w:val="10"/>
          <w:sz w:val="21"/>
          <w:szCs w:val="21"/>
          <w:highlight w:val="none"/>
          <w:lang w:eastAsia="zh-CN"/>
        </w:rPr>
        <w:t>23.11.3因乙方自身原因而导致甲方经济损失或使得</w:t>
      </w:r>
      <w:r>
        <w:rPr>
          <w:rFonts w:hint="eastAsia" w:ascii="宋体" w:hAnsi="宋体" w:eastAsia="宋体" w:cs="宋体"/>
          <w:b/>
          <w:bCs/>
          <w:color w:val="auto"/>
          <w:sz w:val="21"/>
          <w:szCs w:val="21"/>
          <w:highlight w:val="none"/>
          <w:lang w:eastAsia="zh-CN"/>
        </w:rPr>
        <w:t>建设单位</w:t>
      </w:r>
      <w:r>
        <w:rPr>
          <w:rFonts w:hint="eastAsia" w:ascii="宋体" w:hAnsi="宋体" w:eastAsia="宋体" w:cs="宋体"/>
          <w:b/>
          <w:bCs/>
          <w:color w:val="auto"/>
          <w:kern w:val="10"/>
          <w:sz w:val="21"/>
          <w:szCs w:val="21"/>
          <w:highlight w:val="none"/>
          <w:lang w:eastAsia="zh-CN"/>
        </w:rPr>
        <w:t>或其它方对甲方进行罚款的，此经济损失或罚款均由乙方承担。乙方承诺，此经济损失或罚款只要事实清楚、证据确凿，不管乙方签字确认与否，此经济损失或罚款都应由乙方承担，款额甲方将从乙方的应结款或履约担保金中直接扣回。</w:t>
      </w:r>
    </w:p>
    <w:p w14:paraId="48DD2AB6">
      <w:pPr>
        <w:kinsoku w:val="0"/>
        <w:spacing w:after="0" w:line="360" w:lineRule="auto"/>
        <w:ind w:firstLine="422" w:firstLineChars="200"/>
        <w:jc w:val="both"/>
        <w:rPr>
          <w:rFonts w:hint="eastAsia" w:ascii="宋体" w:hAnsi="宋体" w:eastAsia="宋体" w:cs="宋体"/>
          <w:b/>
          <w:bCs/>
          <w:color w:val="auto"/>
          <w:kern w:val="10"/>
          <w:sz w:val="21"/>
          <w:szCs w:val="21"/>
          <w:highlight w:val="none"/>
          <w:lang w:eastAsia="zh-CN"/>
        </w:rPr>
      </w:pPr>
      <w:r>
        <w:rPr>
          <w:rFonts w:hint="eastAsia" w:ascii="宋体" w:hAnsi="宋体" w:eastAsia="宋体" w:cs="宋体"/>
          <w:b/>
          <w:bCs/>
          <w:color w:val="auto"/>
          <w:kern w:val="10"/>
          <w:sz w:val="21"/>
          <w:szCs w:val="21"/>
          <w:highlight w:val="none"/>
          <w:lang w:eastAsia="zh-CN"/>
        </w:rPr>
        <w:t>23.11.4若乙方及乙方的供货商、员工、下游工人、其他相关方因聚众闹事、恶意讨薪等造成被媒体曝光或政府相关部门通报等负面影响，乙方应承担合同额10%的违约金，且甲方可选择解除合同。</w:t>
      </w:r>
    </w:p>
    <w:p w14:paraId="3EC4C7C8">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10"/>
          <w:sz w:val="21"/>
          <w:szCs w:val="21"/>
          <w:highlight w:val="none"/>
          <w:lang w:eastAsia="zh-CN"/>
        </w:rPr>
        <w:t>23.11.5</w:t>
      </w:r>
      <w:r>
        <w:rPr>
          <w:rFonts w:hint="eastAsia" w:ascii="宋体" w:hAnsi="宋体" w:eastAsia="宋体" w:cs="宋体"/>
          <w:color w:val="auto"/>
          <w:sz w:val="21"/>
          <w:szCs w:val="21"/>
          <w:highlight w:val="none"/>
          <w:lang w:eastAsia="zh-CN"/>
        </w:rPr>
        <w:t>乙方与第三人的债务纠纷、诉讼、仲裁纠纷，导致甲方被追索或成为协助义务人，冻结了甲方的账户或造成甲方其他损失的，乙方应承担因此对甲方造成的所有损失并按签约合同价</w:t>
      </w:r>
      <w:r>
        <w:rPr>
          <w:rFonts w:hint="eastAsia" w:ascii="宋体" w:hAnsi="宋体" w:eastAsia="宋体" w:cs="宋体"/>
          <w:color w:val="auto"/>
          <w:sz w:val="21"/>
          <w:szCs w:val="21"/>
          <w:highlight w:val="none"/>
          <w:u w:val="single"/>
          <w:lang w:eastAsia="zh-CN"/>
        </w:rPr>
        <w:t xml:space="preserve">  1  </w:t>
      </w:r>
      <w:r>
        <w:rPr>
          <w:rFonts w:hint="eastAsia" w:ascii="宋体" w:hAnsi="宋体" w:eastAsia="宋体" w:cs="宋体"/>
          <w:color w:val="auto"/>
          <w:sz w:val="21"/>
          <w:szCs w:val="21"/>
          <w:highlight w:val="none"/>
          <w:lang w:eastAsia="zh-CN"/>
        </w:rPr>
        <w:t>%或</w:t>
      </w:r>
      <w:r>
        <w:rPr>
          <w:rFonts w:hint="eastAsia" w:ascii="宋体" w:hAnsi="宋体" w:eastAsia="宋体" w:cs="宋体"/>
          <w:color w:val="auto"/>
          <w:sz w:val="21"/>
          <w:szCs w:val="21"/>
          <w:highlight w:val="none"/>
          <w:u w:val="single"/>
          <w:lang w:eastAsia="zh-CN"/>
        </w:rPr>
        <w:t>100000</w:t>
      </w:r>
      <w:r>
        <w:rPr>
          <w:rFonts w:hint="eastAsia" w:ascii="宋体" w:hAnsi="宋体" w:eastAsia="宋体" w:cs="宋体"/>
          <w:color w:val="auto"/>
          <w:sz w:val="21"/>
          <w:szCs w:val="21"/>
          <w:highlight w:val="none"/>
          <w:lang w:eastAsia="zh-CN"/>
        </w:rPr>
        <w:t>元/次进行赔偿。同时甲方可以解除合同，解除合同通知书达到乙方时，本合同及其补充协议解除。</w:t>
      </w:r>
    </w:p>
    <w:p w14:paraId="49F876EF">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10"/>
          <w:sz w:val="21"/>
          <w:szCs w:val="21"/>
          <w:highlight w:val="none"/>
          <w:lang w:eastAsia="zh-CN"/>
        </w:rPr>
        <w:t>23.11.6</w:t>
      </w:r>
      <w:r>
        <w:rPr>
          <w:rFonts w:hint="eastAsia" w:ascii="宋体" w:hAnsi="宋体" w:eastAsia="宋体" w:cs="宋体"/>
          <w:b/>
          <w:bCs/>
          <w:color w:val="auto"/>
          <w:kern w:val="10"/>
          <w:sz w:val="21"/>
          <w:szCs w:val="21"/>
          <w:highlight w:val="none"/>
          <w:lang w:eastAsia="zh-CN"/>
        </w:rPr>
        <w:t>对于在本合同项下产生的或与本合同相关事宜产生的乙方对甲方拥有的债权，乙方承诺不得将其转让给第三方，也不得用于对外提供担保。违反本条款约定，除转让无效和对外提供担保无效外，乙方还应当承担违约责任支付违约金。除非经过甲方的书面同意后方可转让，否则，乙方应在违约转让债权之日起五日内，按照违约转让债权总额的</w:t>
      </w:r>
      <w:r>
        <w:rPr>
          <w:rFonts w:hint="eastAsia" w:ascii="宋体" w:hAnsi="宋体" w:eastAsia="宋体" w:cs="宋体"/>
          <w:b/>
          <w:bCs/>
          <w:color w:val="auto"/>
          <w:kern w:val="10"/>
          <w:sz w:val="21"/>
          <w:szCs w:val="21"/>
          <w:highlight w:val="none"/>
          <w:u w:val="single"/>
          <w:lang w:eastAsia="zh-CN"/>
        </w:rPr>
        <w:t xml:space="preserve"> 5 </w:t>
      </w:r>
      <w:r>
        <w:rPr>
          <w:rFonts w:hint="eastAsia" w:ascii="宋体" w:hAnsi="宋体" w:eastAsia="宋体" w:cs="宋体"/>
          <w:b/>
          <w:bCs/>
          <w:color w:val="auto"/>
          <w:kern w:val="10"/>
          <w:sz w:val="21"/>
          <w:szCs w:val="21"/>
          <w:highlight w:val="none"/>
          <w:lang w:eastAsia="zh-CN"/>
        </w:rPr>
        <w:t>%向甲方支付违约金，逾期支付并应承担违约付款责任，同时债权转让不发生法律效力。</w:t>
      </w:r>
    </w:p>
    <w:p w14:paraId="189FBCC2">
      <w:pPr>
        <w:kinsoku w:val="0"/>
        <w:spacing w:after="0" w:line="360" w:lineRule="auto"/>
        <w:ind w:firstLine="420" w:firstLineChars="20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10"/>
          <w:sz w:val="21"/>
          <w:szCs w:val="21"/>
          <w:highlight w:val="none"/>
          <w:lang w:eastAsia="zh-CN"/>
        </w:rPr>
        <w:t>23.11.7如乙方泄露或者在本合同以外使用该商业秘密、技术秘密等保密信息，应向甲方支付签约合同价</w:t>
      </w:r>
      <w:r>
        <w:rPr>
          <w:rFonts w:hint="eastAsia" w:ascii="宋体" w:hAnsi="宋体" w:eastAsia="宋体" w:cs="宋体"/>
          <w:color w:val="auto"/>
          <w:kern w:val="10"/>
          <w:sz w:val="21"/>
          <w:szCs w:val="21"/>
          <w:highlight w:val="none"/>
          <w:u w:val="single"/>
          <w:lang w:eastAsia="zh-CN"/>
        </w:rPr>
        <w:t xml:space="preserve">  5  </w:t>
      </w:r>
      <w:r>
        <w:rPr>
          <w:rFonts w:hint="eastAsia" w:ascii="宋体" w:hAnsi="宋体" w:eastAsia="宋体" w:cs="宋体"/>
          <w:color w:val="auto"/>
          <w:kern w:val="10"/>
          <w:sz w:val="21"/>
          <w:szCs w:val="21"/>
          <w:highlight w:val="none"/>
          <w:lang w:eastAsia="zh-CN"/>
        </w:rPr>
        <w:t>%的违约金，并赔偿甲方因此遭受的全部损失。</w:t>
      </w:r>
    </w:p>
    <w:p w14:paraId="70CCB6F5">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23.11.8如因乙方原因导致中建集团、中建路桥或其他下属公司、甲方及甲方关联公司或项目部名誉受损的，除应按签约合同价</w:t>
      </w:r>
      <w:r>
        <w:rPr>
          <w:rFonts w:hint="eastAsia" w:ascii="宋体" w:hAnsi="宋体" w:eastAsia="宋体" w:cs="宋体"/>
          <w:color w:val="auto"/>
          <w:sz w:val="21"/>
          <w:szCs w:val="21"/>
          <w:highlight w:val="none"/>
          <w:u w:val="single"/>
          <w:lang w:eastAsia="zh-CN"/>
        </w:rPr>
        <w:t xml:space="preserve"> 3 </w:t>
      </w:r>
      <w:r>
        <w:rPr>
          <w:rFonts w:hint="eastAsia" w:ascii="宋体" w:hAnsi="宋体" w:eastAsia="宋体" w:cs="宋体"/>
          <w:color w:val="auto"/>
          <w:kern w:val="10"/>
          <w:sz w:val="21"/>
          <w:szCs w:val="21"/>
          <w:highlight w:val="none"/>
          <w:lang w:eastAsia="zh-CN"/>
        </w:rPr>
        <w:t>%/次支付违约金外，还应赔偿甲方因此而遭受的全部损失，以及甲方为恢复名誉而支付的差旅费、诉讼费、律师费等，并应在事件发生后</w:t>
      </w:r>
      <w:r>
        <w:rPr>
          <w:rFonts w:hint="eastAsia" w:ascii="宋体" w:hAnsi="宋体" w:eastAsia="宋体" w:cs="宋体"/>
          <w:color w:val="auto"/>
          <w:kern w:val="10"/>
          <w:sz w:val="21"/>
          <w:szCs w:val="21"/>
          <w:highlight w:val="none"/>
          <w:u w:val="single"/>
          <w:lang w:eastAsia="zh-CN"/>
        </w:rPr>
        <w:t>24小时</w:t>
      </w:r>
      <w:r>
        <w:rPr>
          <w:rFonts w:hint="eastAsia" w:ascii="宋体" w:hAnsi="宋体" w:eastAsia="宋体" w:cs="宋体"/>
          <w:color w:val="auto"/>
          <w:kern w:val="10"/>
          <w:sz w:val="21"/>
          <w:szCs w:val="21"/>
          <w:highlight w:val="none"/>
          <w:lang w:eastAsia="zh-CN"/>
        </w:rPr>
        <w:t>内通过具有全国影响力的主流媒体公开向甲方道歉并澄清相关事实。</w:t>
      </w:r>
    </w:p>
    <w:p w14:paraId="4CC27FB8">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23.11.9如乙方发生以下不良行为：发生法律诉讼、恶意讨薪、恶意拖欠农民工工资、组织人员恶意“上访”、闹访，围堵政府、甲方单位、项目部的；以讨要农民工工资为由，制造事端或者恶意举报、投诉、诋毁甲方的；以拖欠农民工工资为由，讨要工程款或无据抬高结算额等严重违约、严重不服从监督管理的，乙方应承担合同额10%的违约金，且甲方可选择解除合同，解除合同通知书达到乙方时，本合同及其补充协议解除。同时录入甲方不合格劳务分包商名录，禁入甲方所有工程项目。</w:t>
      </w:r>
    </w:p>
    <w:p w14:paraId="4CFEA984">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23.11.10乙方因自身原因在合同约定工作未完成前主动退场或因不能满足合同要求而被勒令退场时，甲方将扣除乙方所完工程金额的</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u w:val="single"/>
          <w:lang w:val="en-US" w:eastAsia="zh-CN"/>
        </w:rPr>
        <w:t>3</w:t>
      </w:r>
      <w:r>
        <w:rPr>
          <w:rFonts w:hint="eastAsia" w:ascii="宋体" w:hAnsi="宋体" w:eastAsia="宋体" w:cs="宋体"/>
          <w:color w:val="auto"/>
          <w:kern w:val="10"/>
          <w:sz w:val="21"/>
          <w:szCs w:val="21"/>
          <w:highlight w:val="none"/>
          <w:u w:val="single"/>
          <w:lang w:eastAsia="zh-CN"/>
        </w:rPr>
        <w:t xml:space="preserve">  </w:t>
      </w:r>
      <w:r>
        <w:rPr>
          <w:rFonts w:hint="eastAsia" w:ascii="宋体" w:hAnsi="宋体" w:eastAsia="宋体" w:cs="宋体"/>
          <w:color w:val="auto"/>
          <w:kern w:val="10"/>
          <w:sz w:val="21"/>
          <w:szCs w:val="21"/>
          <w:highlight w:val="none"/>
          <w:lang w:eastAsia="zh-CN"/>
        </w:rPr>
        <w:t>%作为违约金，从结算金额中予以扣除。</w:t>
      </w:r>
    </w:p>
    <w:p w14:paraId="25E4B8FD">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646" w:name="_Toc175764468"/>
      <w:r>
        <w:rPr>
          <w:rFonts w:hint="eastAsia" w:ascii="宋体" w:hAnsi="宋体" w:eastAsia="宋体" w:cs="宋体"/>
          <w:b/>
          <w:color w:val="auto"/>
          <w:sz w:val="21"/>
          <w:szCs w:val="21"/>
          <w:highlight w:val="none"/>
        </w:rPr>
        <w:t>争议解决</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14:paraId="538BFD48">
      <w:pPr>
        <w:pStyle w:val="11"/>
        <w:kinsoku w:val="0"/>
        <w:spacing w:after="0" w:line="360" w:lineRule="auto"/>
        <w:jc w:val="both"/>
        <w:rPr>
          <w:color w:val="auto"/>
          <w:highlight w:val="none"/>
        </w:rPr>
      </w:pPr>
      <w:r>
        <w:rPr>
          <w:rFonts w:hint="eastAsia"/>
          <w:color w:val="auto"/>
          <w:highlight w:val="none"/>
        </w:rPr>
        <w:t>24.1对因本合同引起或与之相关的任何争议、纠纷或权利主张，任何一方如欲通过本条约定的方式解决，则必须在提起本条约定的争议解决方式前，向对方发出书面和解申请书，并告知对方争议、纠纷或权利主张之事实及依据、联系人及联系方式，在对方收到上述通知之日起3个月为双方和解期限。在和解期限内，若双方达成和解协议的，双方的权利义务按照和解协议履行；若未达成和解协议的，任何一方可采取本条第2款约定的争议解决方式。</w:t>
      </w:r>
    </w:p>
    <w:p w14:paraId="60EC112E">
      <w:pPr>
        <w:pStyle w:val="11"/>
        <w:kinsoku w:val="0"/>
        <w:spacing w:after="0" w:line="360" w:lineRule="auto"/>
        <w:jc w:val="both"/>
        <w:rPr>
          <w:color w:val="auto"/>
          <w:highlight w:val="none"/>
        </w:rPr>
      </w:pPr>
      <w:r>
        <w:rPr>
          <w:rFonts w:hint="eastAsia"/>
          <w:color w:val="auto"/>
          <w:highlight w:val="none"/>
        </w:rPr>
        <w:t>任何一方若未履行上述和解程序而直接采用第2款约定的争议解决方式的，则需要向对方承担合同总价款3%的违约金；如一方出现上述情形，另一方提起反诉或反请求，则提起反诉或反请求的一方不承担违约金。</w:t>
      </w:r>
    </w:p>
    <w:p w14:paraId="20426172">
      <w:pPr>
        <w:pStyle w:val="11"/>
        <w:kinsoku w:val="0"/>
        <w:spacing w:after="0" w:line="360" w:lineRule="auto"/>
        <w:jc w:val="both"/>
        <w:rPr>
          <w:rFonts w:hint="eastAsia"/>
          <w:color w:val="auto"/>
          <w:highlight w:val="none"/>
        </w:rPr>
      </w:pPr>
      <w:r>
        <w:rPr>
          <w:rFonts w:hint="eastAsia"/>
          <w:color w:val="auto"/>
          <w:highlight w:val="none"/>
        </w:rPr>
        <w:t>24.2双方和解不成且已超过和解期限的，可向石家庄仲裁委员会申请仲裁，并自行承担本方发生的律师费、差旅费、保函费等相关费用。</w:t>
      </w:r>
    </w:p>
    <w:p w14:paraId="21E855A3">
      <w:pPr>
        <w:pStyle w:val="11"/>
        <w:kinsoku w:val="0"/>
        <w:spacing w:after="0" w:line="360" w:lineRule="auto"/>
        <w:jc w:val="both"/>
        <w:rPr>
          <w:rFonts w:hint="eastAsia"/>
          <w:color w:val="auto"/>
          <w:highlight w:val="none"/>
        </w:rPr>
      </w:pPr>
      <w:r>
        <w:rPr>
          <w:rFonts w:hint="eastAsia"/>
          <w:color w:val="auto"/>
          <w:highlight w:val="none"/>
          <w:lang w:val="en-US" w:eastAsia="zh-CN"/>
        </w:rPr>
        <w:t>24.3</w:t>
      </w:r>
      <w:r>
        <w:rPr>
          <w:rFonts w:hint="eastAsia"/>
          <w:color w:val="auto"/>
          <w:highlight w:val="none"/>
        </w:rPr>
        <w:t>本合同中涉及合同、文件、律师函</w:t>
      </w:r>
      <w:r>
        <w:rPr>
          <w:rFonts w:hint="eastAsia"/>
          <w:color w:val="auto"/>
          <w:highlight w:val="none"/>
          <w:lang w:eastAsia="zh-CN"/>
        </w:rPr>
        <w:t>（</w:t>
      </w:r>
      <w:r>
        <w:rPr>
          <w:rFonts w:hint="eastAsia"/>
          <w:color w:val="auto"/>
          <w:highlight w:val="none"/>
          <w:lang w:val="en-US" w:eastAsia="zh-CN"/>
        </w:rPr>
        <w:t>不含</w:t>
      </w:r>
      <w:r>
        <w:rPr>
          <w:rFonts w:hint="eastAsia"/>
          <w:color w:val="auto"/>
          <w:highlight w:val="none"/>
        </w:rPr>
        <w:t>诉讼</w:t>
      </w:r>
      <w:r>
        <w:rPr>
          <w:rFonts w:hint="eastAsia"/>
          <w:color w:val="auto"/>
          <w:highlight w:val="none"/>
          <w:lang w:val="en-US" w:eastAsia="zh-CN"/>
        </w:rPr>
        <w:t>司法</w:t>
      </w:r>
      <w:r>
        <w:rPr>
          <w:rFonts w:hint="eastAsia"/>
          <w:color w:val="auto"/>
          <w:highlight w:val="none"/>
        </w:rPr>
        <w:t>文书</w:t>
      </w:r>
      <w:r>
        <w:rPr>
          <w:rFonts w:hint="eastAsia"/>
          <w:color w:val="auto"/>
          <w:highlight w:val="none"/>
          <w:lang w:eastAsia="zh-CN"/>
        </w:rPr>
        <w:t>）</w:t>
      </w:r>
      <w:r>
        <w:rPr>
          <w:rFonts w:hint="eastAsia"/>
          <w:color w:val="auto"/>
          <w:highlight w:val="none"/>
        </w:rPr>
        <w:t>的送达地址或邮箱及法律后果作如下约定：</w:t>
      </w:r>
    </w:p>
    <w:p w14:paraId="1C006E3B">
      <w:pPr>
        <w:pStyle w:val="11"/>
        <w:kinsoku w:val="0"/>
        <w:spacing w:after="0" w:line="360" w:lineRule="auto"/>
        <w:jc w:val="both"/>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1</w:t>
      </w:r>
      <w:r>
        <w:rPr>
          <w:rFonts w:hint="eastAsia"/>
          <w:color w:val="auto"/>
          <w:highlight w:val="none"/>
          <w:lang w:eastAsia="zh-CN"/>
        </w:rPr>
        <w:t>）</w:t>
      </w:r>
      <w:r>
        <w:rPr>
          <w:rFonts w:hint="eastAsia"/>
          <w:color w:val="auto"/>
          <w:highlight w:val="none"/>
        </w:rPr>
        <w:t>甲方确认其有效的送达地址为：河北省石家庄市桥西区新石北路362号中建路桥</w:t>
      </w:r>
      <w:r>
        <w:rPr>
          <w:rFonts w:hint="eastAsia"/>
          <w:color w:val="auto"/>
          <w:highlight w:val="none"/>
          <w:lang w:eastAsia="zh-CN"/>
        </w:rPr>
        <w:t>第二工程</w:t>
      </w:r>
      <w:r>
        <w:rPr>
          <w:rFonts w:hint="eastAsia"/>
          <w:color w:val="auto"/>
          <w:highlight w:val="none"/>
        </w:rPr>
        <w:t>有限公司；</w:t>
      </w:r>
    </w:p>
    <w:p w14:paraId="3C96CDBD">
      <w:pPr>
        <w:pStyle w:val="11"/>
        <w:kinsoku w:val="0"/>
        <w:spacing w:after="0" w:line="360" w:lineRule="auto"/>
        <w:jc w:val="both"/>
        <w:rPr>
          <w:rFonts w:hint="eastAsia"/>
          <w:color w:val="auto"/>
          <w:highlight w:val="none"/>
        </w:rPr>
      </w:pPr>
      <w:r>
        <w:rPr>
          <w:rFonts w:hint="eastAsia"/>
          <w:color w:val="auto"/>
          <w:highlight w:val="none"/>
        </w:rPr>
        <w:t>联系人及电话：</w:t>
      </w:r>
      <w:r>
        <w:rPr>
          <w:rFonts w:hint="eastAsia"/>
          <w:color w:val="auto"/>
          <w:highlight w:val="none"/>
          <w:lang w:val="en-US" w:eastAsia="zh-CN"/>
        </w:rPr>
        <w:t>孙文特 13501301834</w:t>
      </w:r>
      <w:r>
        <w:rPr>
          <w:rFonts w:hint="eastAsia"/>
          <w:color w:val="auto"/>
          <w:highlight w:val="none"/>
        </w:rPr>
        <w:t>；</w:t>
      </w:r>
    </w:p>
    <w:p w14:paraId="345B1A59">
      <w:pPr>
        <w:pStyle w:val="11"/>
        <w:kinsoku w:val="0"/>
        <w:spacing w:after="0" w:line="360" w:lineRule="auto"/>
        <w:jc w:val="both"/>
        <w:rPr>
          <w:rFonts w:hint="eastAsia"/>
          <w:color w:val="auto"/>
          <w:highlight w:val="none"/>
        </w:rPr>
      </w:pPr>
      <w:r>
        <w:rPr>
          <w:rFonts w:hint="eastAsia"/>
          <w:color w:val="auto"/>
          <w:highlight w:val="none"/>
        </w:rPr>
        <w:t>邮箱：281360988@qq.com；</w:t>
      </w:r>
    </w:p>
    <w:p w14:paraId="07EF21A5">
      <w:pPr>
        <w:pStyle w:val="11"/>
        <w:kinsoku w:val="0"/>
        <w:spacing w:after="0" w:line="360" w:lineRule="auto"/>
        <w:jc w:val="both"/>
        <w:rPr>
          <w:rFonts w:hint="eastAsia"/>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rPr>
        <w:t>乙方确认其有效的送达地址为：</w:t>
      </w:r>
      <w:r>
        <w:rPr>
          <w:rFonts w:hint="eastAsia"/>
          <w:color w:val="auto"/>
          <w:highlight w:val="none"/>
          <w:lang w:val="en-US" w:eastAsia="zh-CN"/>
        </w:rPr>
        <w:t xml:space="preserve">                  </w:t>
      </w:r>
      <w:r>
        <w:rPr>
          <w:rFonts w:hint="eastAsia"/>
          <w:color w:val="auto"/>
          <w:highlight w:val="none"/>
        </w:rPr>
        <w:t xml:space="preserve">  ；</w:t>
      </w:r>
    </w:p>
    <w:p w14:paraId="540B8659">
      <w:pPr>
        <w:pStyle w:val="11"/>
        <w:kinsoku w:val="0"/>
        <w:spacing w:after="0" w:line="360" w:lineRule="auto"/>
        <w:jc w:val="both"/>
        <w:rPr>
          <w:rFonts w:hint="eastAsia"/>
          <w:color w:val="auto"/>
          <w:highlight w:val="none"/>
        </w:rPr>
      </w:pPr>
      <w:r>
        <w:rPr>
          <w:rFonts w:hint="eastAsia"/>
          <w:color w:val="auto"/>
          <w:highlight w:val="none"/>
        </w:rPr>
        <w:t>联系人及电话：</w:t>
      </w:r>
      <w:r>
        <w:rPr>
          <w:rFonts w:hint="eastAsia"/>
          <w:color w:val="auto"/>
          <w:highlight w:val="none"/>
          <w:lang w:val="en-US" w:eastAsia="zh-CN"/>
        </w:rPr>
        <w:t xml:space="preserve">             </w:t>
      </w:r>
      <w:r>
        <w:rPr>
          <w:rFonts w:hint="eastAsia"/>
          <w:color w:val="auto"/>
          <w:highlight w:val="none"/>
        </w:rPr>
        <w:t xml:space="preserve"> ；</w:t>
      </w:r>
    </w:p>
    <w:p w14:paraId="111DCF8B">
      <w:pPr>
        <w:pStyle w:val="11"/>
        <w:kinsoku w:val="0"/>
        <w:spacing w:after="0" w:line="360" w:lineRule="auto"/>
        <w:jc w:val="both"/>
        <w:rPr>
          <w:rFonts w:hint="eastAsia"/>
          <w:color w:val="auto"/>
          <w:highlight w:val="none"/>
        </w:rPr>
      </w:pPr>
      <w:r>
        <w:rPr>
          <w:rFonts w:hint="eastAsia"/>
          <w:color w:val="auto"/>
          <w:highlight w:val="none"/>
        </w:rPr>
        <w:t xml:space="preserve">邮箱： </w:t>
      </w:r>
      <w:r>
        <w:rPr>
          <w:rFonts w:hint="eastAsia"/>
          <w:color w:val="auto"/>
          <w:highlight w:val="none"/>
          <w:lang w:val="en-US" w:eastAsia="zh-CN"/>
        </w:rPr>
        <w:t xml:space="preserve">           </w:t>
      </w:r>
      <w:r>
        <w:rPr>
          <w:rFonts w:hint="eastAsia"/>
          <w:color w:val="auto"/>
          <w:highlight w:val="none"/>
        </w:rPr>
        <w:t xml:space="preserve"> ；</w:t>
      </w:r>
    </w:p>
    <w:p w14:paraId="71685A40">
      <w:pPr>
        <w:pStyle w:val="11"/>
        <w:kinsoku w:val="0"/>
        <w:spacing w:after="0" w:line="360" w:lineRule="auto"/>
        <w:jc w:val="both"/>
        <w:rPr>
          <w:rFonts w:hint="eastAsia"/>
          <w:color w:val="auto"/>
          <w:highlight w:val="none"/>
          <w:lang w:val="en-US" w:eastAsia="zh-CN"/>
        </w:rPr>
      </w:pPr>
      <w:r>
        <w:rPr>
          <w:rFonts w:hint="eastAsia"/>
          <w:color w:val="auto"/>
          <w:highlight w:val="none"/>
          <w:lang w:val="en-US" w:eastAsia="zh-CN"/>
        </w:rPr>
        <w:t>如资料邮寄至其他地址，视为未送达。</w:t>
      </w:r>
    </w:p>
    <w:p w14:paraId="266F69AE">
      <w:pPr>
        <w:pStyle w:val="11"/>
        <w:kinsoku w:val="0"/>
        <w:spacing w:after="0" w:line="360" w:lineRule="auto"/>
        <w:jc w:val="both"/>
        <w:rPr>
          <w:color w:val="auto"/>
          <w:highlight w:val="none"/>
        </w:rPr>
      </w:pPr>
      <w:r>
        <w:rPr>
          <w:rFonts w:hint="eastAsia"/>
          <w:color w:val="auto"/>
          <w:highlight w:val="none"/>
        </w:rPr>
        <w:t>乙方因提供的送达地址或邮箱不准确、变更后未及时书面告知甲方、其指定的接收人拒绝签收等原因，导致法律文书未能被其实际接收的，视为对乙方送达成功：邮寄送达的，以文件退回之日视为送达之日；直接送达的，送达人当场在送达回证上记明情况之日视为送达之日。</w:t>
      </w:r>
    </w:p>
    <w:p w14:paraId="19AC94DA">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647" w:name="_Toc17384"/>
      <w:bookmarkStart w:id="1648" w:name="_Toc5739"/>
      <w:bookmarkStart w:id="1649" w:name="_Toc24283"/>
      <w:bookmarkStart w:id="1650" w:name="_Toc11232"/>
      <w:bookmarkStart w:id="1651" w:name="_Toc27023"/>
      <w:bookmarkStart w:id="1652" w:name="_Toc25119"/>
      <w:bookmarkStart w:id="1653" w:name="_Toc22869"/>
      <w:bookmarkStart w:id="1654" w:name="_Toc4879"/>
      <w:bookmarkStart w:id="1655" w:name="_Toc10401"/>
      <w:bookmarkStart w:id="1656" w:name="_Toc26894"/>
      <w:bookmarkStart w:id="1657" w:name="_Toc16065"/>
      <w:bookmarkStart w:id="1658" w:name="_Toc23370"/>
      <w:bookmarkStart w:id="1659" w:name="_Toc26863"/>
      <w:bookmarkStart w:id="1660" w:name="_Toc1486"/>
      <w:bookmarkStart w:id="1661" w:name="_Toc29653"/>
      <w:bookmarkStart w:id="1662" w:name="_Toc101963534"/>
      <w:bookmarkStart w:id="1663" w:name="_Toc101357483"/>
      <w:bookmarkStart w:id="1664" w:name="_Toc31281"/>
      <w:bookmarkStart w:id="1665" w:name="_Toc7440"/>
      <w:bookmarkStart w:id="1666" w:name="_Toc175764469"/>
      <w:bookmarkStart w:id="1667" w:name="_Toc18492"/>
      <w:r>
        <w:rPr>
          <w:rFonts w:hint="eastAsia" w:ascii="宋体" w:hAnsi="宋体" w:eastAsia="宋体" w:cs="宋体"/>
          <w:b/>
          <w:color w:val="auto"/>
          <w:sz w:val="21"/>
          <w:szCs w:val="21"/>
          <w:highlight w:val="none"/>
        </w:rPr>
        <w:t>合同终止</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14:paraId="2BF4E7F7">
      <w:pPr>
        <w:pStyle w:val="11"/>
        <w:kinsoku w:val="0"/>
        <w:spacing w:after="0" w:line="360" w:lineRule="auto"/>
        <w:jc w:val="both"/>
        <w:rPr>
          <w:color w:val="auto"/>
          <w:kern w:val="10"/>
          <w:highlight w:val="none"/>
        </w:rPr>
      </w:pPr>
      <w:r>
        <w:rPr>
          <w:rFonts w:hint="eastAsia"/>
          <w:color w:val="auto"/>
          <w:highlight w:val="none"/>
        </w:rPr>
        <w:t>25.7如因本合同约定的合同解除情形发生，甲方和乙方应具有以下权利和责任：</w:t>
      </w:r>
    </w:p>
    <w:p w14:paraId="178B9C0C">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（1）甲方可雇佣其他单位进行并完成分包工程。</w:t>
      </w:r>
    </w:p>
    <w:p w14:paraId="1514867B">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（2）分包合同解除后（</w:t>
      </w:r>
      <w:r>
        <w:rPr>
          <w:rFonts w:hint="eastAsia" w:ascii="宋体" w:hAnsi="宋体" w:eastAsia="宋体" w:cs="宋体"/>
          <w:color w:val="auto"/>
          <w:kern w:val="10"/>
          <w:sz w:val="21"/>
          <w:szCs w:val="21"/>
          <w:highlight w:val="none"/>
          <w:u w:val="single"/>
          <w:lang w:val="en-US" w:eastAsia="zh-CN"/>
        </w:rPr>
        <w:t>7</w:t>
      </w:r>
      <w:r>
        <w:rPr>
          <w:rFonts w:hint="eastAsia" w:ascii="宋体" w:hAnsi="宋体" w:eastAsia="宋体" w:cs="宋体"/>
          <w:color w:val="auto"/>
          <w:kern w:val="10"/>
          <w:sz w:val="21"/>
          <w:szCs w:val="21"/>
          <w:highlight w:val="none"/>
          <w:lang w:eastAsia="zh-CN"/>
        </w:rPr>
        <w:t>）天内，经甲方同意，乙方可将用于本分包工程的任何材料、其它物品的采购供货协议</w:t>
      </w:r>
      <w:r>
        <w:rPr>
          <w:rFonts w:hint="eastAsia" w:ascii="宋体" w:hAnsi="宋体" w:eastAsia="宋体" w:cs="宋体"/>
          <w:color w:val="auto"/>
          <w:kern w:val="10"/>
          <w:sz w:val="21"/>
          <w:szCs w:val="21"/>
          <w:highlight w:val="none"/>
          <w:lang w:val="en-US" w:eastAsia="zh-CN"/>
        </w:rPr>
        <w:t>或</w:t>
      </w:r>
      <w:r>
        <w:rPr>
          <w:rFonts w:hint="eastAsia" w:ascii="宋体" w:hAnsi="宋体" w:eastAsia="宋体" w:cs="宋体"/>
          <w:color w:val="auto"/>
          <w:kern w:val="10"/>
          <w:sz w:val="21"/>
          <w:szCs w:val="21"/>
          <w:highlight w:val="none"/>
          <w:lang w:eastAsia="zh-CN"/>
        </w:rPr>
        <w:t>租赁协议和设备</w:t>
      </w:r>
      <w:r>
        <w:rPr>
          <w:rFonts w:hint="eastAsia" w:ascii="宋体" w:hAnsi="宋体" w:eastAsia="宋体" w:cs="宋体"/>
          <w:color w:val="auto"/>
          <w:kern w:val="10"/>
          <w:sz w:val="21"/>
          <w:szCs w:val="21"/>
          <w:highlight w:val="none"/>
          <w:lang w:val="en-US" w:eastAsia="zh-CN"/>
        </w:rPr>
        <w:t>的</w:t>
      </w:r>
      <w:r>
        <w:rPr>
          <w:rFonts w:hint="eastAsia" w:ascii="宋体" w:hAnsi="宋体" w:eastAsia="宋体" w:cs="宋体"/>
          <w:color w:val="auto"/>
          <w:kern w:val="10"/>
          <w:sz w:val="21"/>
          <w:szCs w:val="21"/>
          <w:highlight w:val="none"/>
          <w:lang w:eastAsia="zh-CN"/>
        </w:rPr>
        <w:t>采购供货协议等转让给甲方或乙方的继任者。</w:t>
      </w:r>
    </w:p>
    <w:p w14:paraId="334DC839">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（3）乙方应妥善做好已完工程和已购材料、设备、建筑施工图纸和全部相关资料的保护和移交工作。</w:t>
      </w:r>
    </w:p>
    <w:p w14:paraId="57360FB3">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（4）当甲方以书面形式通知乙方须从现场拆除或撤出属于乙方的或由其租赁的任何临时工程、材料和货物</w:t>
      </w:r>
      <w:r>
        <w:rPr>
          <w:rFonts w:hint="eastAsia" w:ascii="宋体" w:hAnsi="宋体" w:eastAsia="宋体" w:cs="宋体"/>
          <w:color w:val="auto"/>
          <w:kern w:val="10"/>
          <w:sz w:val="21"/>
          <w:szCs w:val="21"/>
          <w:highlight w:val="none"/>
          <w:lang w:val="en-US" w:eastAsia="zh-CN"/>
        </w:rPr>
        <w:t>或乙方的机具设备</w:t>
      </w:r>
      <w:r>
        <w:rPr>
          <w:rFonts w:hint="eastAsia" w:ascii="宋体" w:hAnsi="宋体" w:eastAsia="宋体" w:cs="宋体"/>
          <w:color w:val="auto"/>
          <w:kern w:val="10"/>
          <w:sz w:val="21"/>
          <w:szCs w:val="21"/>
          <w:highlight w:val="none"/>
          <w:lang w:eastAsia="zh-CN"/>
        </w:rPr>
        <w:t>时，乙方应按照要求执行。如乙方未在合理的时间内按照要求执行，甲方可自行拆除（但不对任何损失或损坏负责），并可以变卖或处理任何这些的属于乙方的财产。甲方在扣除因乙方违约造成的工程损失费用及处理此类财产的费用后，将剩余金额返还乙方。</w:t>
      </w:r>
    </w:p>
    <w:p w14:paraId="7F4EFE30">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（5）分包合同解除后（</w:t>
      </w:r>
      <w:r>
        <w:rPr>
          <w:rFonts w:hint="eastAsia" w:ascii="宋体" w:hAnsi="宋体" w:eastAsia="宋体" w:cs="宋体"/>
          <w:color w:val="auto"/>
          <w:kern w:val="10"/>
          <w:sz w:val="21"/>
          <w:szCs w:val="21"/>
          <w:highlight w:val="none"/>
          <w:u w:val="single"/>
          <w:lang w:val="en-US" w:eastAsia="zh-CN"/>
        </w:rPr>
        <w:t>7</w:t>
      </w:r>
      <w:r>
        <w:rPr>
          <w:rFonts w:hint="eastAsia" w:ascii="宋体" w:hAnsi="宋体" w:eastAsia="宋体" w:cs="宋体"/>
          <w:color w:val="auto"/>
          <w:kern w:val="10"/>
          <w:sz w:val="21"/>
          <w:szCs w:val="21"/>
          <w:highlight w:val="none"/>
          <w:lang w:eastAsia="zh-CN"/>
        </w:rPr>
        <w:t>）日内，乙方自身的劳务人员或其劳务分包的全体人员应退场，未撤场人员发生的费用均由乙方承担。</w:t>
      </w:r>
    </w:p>
    <w:p w14:paraId="5E96303F">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（6）乙方应补偿甲方因分包合同解除给甲方带来的任何损失和损害。</w:t>
      </w:r>
    </w:p>
    <w:p w14:paraId="32FEAB34">
      <w:pPr>
        <w:kinsoku w:val="0"/>
        <w:spacing w:after="0" w:line="360" w:lineRule="auto"/>
        <w:ind w:firstLine="420" w:firstLineChars="200"/>
        <w:jc w:val="both"/>
        <w:rPr>
          <w:rFonts w:hint="eastAsia" w:ascii="宋体" w:hAnsi="宋体" w:eastAsia="宋体" w:cs="宋体"/>
          <w:color w:val="auto"/>
          <w:kern w:val="10"/>
          <w:sz w:val="21"/>
          <w:szCs w:val="21"/>
          <w:highlight w:val="none"/>
          <w:lang w:eastAsia="zh-CN"/>
        </w:rPr>
      </w:pPr>
      <w:r>
        <w:rPr>
          <w:rFonts w:hint="eastAsia" w:ascii="宋体" w:hAnsi="宋体" w:eastAsia="宋体" w:cs="宋体"/>
          <w:color w:val="auto"/>
          <w:kern w:val="10"/>
          <w:sz w:val="21"/>
          <w:szCs w:val="21"/>
          <w:highlight w:val="none"/>
          <w:lang w:eastAsia="zh-CN"/>
        </w:rPr>
        <w:t>（7）分包合同解除后（</w:t>
      </w:r>
      <w:r>
        <w:rPr>
          <w:rFonts w:hint="eastAsia" w:ascii="宋体" w:hAnsi="宋体" w:eastAsia="宋体" w:cs="宋体"/>
          <w:color w:val="auto"/>
          <w:kern w:val="10"/>
          <w:sz w:val="21"/>
          <w:szCs w:val="21"/>
          <w:highlight w:val="none"/>
          <w:u w:val="single"/>
          <w:lang w:val="en-US" w:eastAsia="zh-CN"/>
        </w:rPr>
        <w:t>7</w:t>
      </w:r>
      <w:r>
        <w:rPr>
          <w:rFonts w:hint="eastAsia" w:ascii="宋体" w:hAnsi="宋体" w:eastAsia="宋体" w:cs="宋体"/>
          <w:color w:val="auto"/>
          <w:kern w:val="10"/>
          <w:sz w:val="21"/>
          <w:szCs w:val="21"/>
          <w:highlight w:val="none"/>
          <w:lang w:eastAsia="zh-CN"/>
        </w:rPr>
        <w:t>）日内，乙方应向甲方提交结算报告和结算协议供甲方审核，结算应根据甲方签字确认的已完工程量和工程量清单中确定的单价进行计算，计算时间应截至分包合同解除之日。一旦工程竣工并在甲方对工程结算核准后的合理时间内，甲方应确认因乙方原因导致分包合同解除而给总包工程带来任何直接、间接损失和损害的费用金额。如果此金额加上在分包合同解除前已付给乙方的金额超过在分包合同解除时应付而未付给乙方的工程款额时，其差额作为乙方对甲方的负债，由甲方从乙方提交的履约保函、预付款保函中予以扣回，不足时，仍可索赔；如果此金额未超过甲方应支付给乙方的工程款额时，其差额应由甲方按分包合同付款条件支付给乙方。</w:t>
      </w:r>
    </w:p>
    <w:p w14:paraId="0E93EA53">
      <w:pPr>
        <w:widowControl w:val="0"/>
        <w:numPr>
          <w:ilvl w:val="0"/>
          <w:numId w:val="10"/>
        </w:numPr>
        <w:kinsoku w:val="0"/>
        <w:spacing w:after="0" w:line="360" w:lineRule="auto"/>
        <w:ind w:left="158" w:leftChars="75"/>
        <w:jc w:val="both"/>
        <w:outlineLvl w:val="1"/>
        <w:rPr>
          <w:rFonts w:hint="eastAsia" w:ascii="宋体" w:hAnsi="宋体" w:eastAsia="宋体" w:cs="宋体"/>
          <w:b/>
          <w:color w:val="auto"/>
          <w:sz w:val="21"/>
          <w:szCs w:val="21"/>
          <w:highlight w:val="none"/>
        </w:rPr>
      </w:pPr>
      <w:bookmarkStart w:id="1668" w:name="_Toc27942"/>
      <w:bookmarkStart w:id="1669" w:name="_Toc31576"/>
      <w:bookmarkStart w:id="1670" w:name="_Toc31549"/>
      <w:bookmarkStart w:id="1671" w:name="_Toc26100"/>
      <w:bookmarkStart w:id="1672" w:name="_Toc20289"/>
      <w:bookmarkStart w:id="1673" w:name="_Toc8410"/>
      <w:bookmarkStart w:id="1674" w:name="_Toc2158"/>
      <w:bookmarkStart w:id="1675" w:name="_Toc6031"/>
      <w:bookmarkStart w:id="1676" w:name="_Toc6048"/>
      <w:bookmarkStart w:id="1677" w:name="_Toc21424"/>
      <w:bookmarkStart w:id="1678" w:name="_Toc16417"/>
      <w:bookmarkStart w:id="1679" w:name="_Toc101963535"/>
      <w:bookmarkStart w:id="1680" w:name="_Toc10738"/>
      <w:bookmarkStart w:id="1681" w:name="_Toc24167"/>
      <w:bookmarkStart w:id="1682" w:name="_Toc101357484"/>
      <w:bookmarkStart w:id="1683" w:name="_Toc6396"/>
      <w:bookmarkStart w:id="1684" w:name="_Toc28952"/>
      <w:bookmarkStart w:id="1685" w:name="_Toc16676"/>
      <w:bookmarkStart w:id="1686" w:name="_Toc4980"/>
      <w:bookmarkStart w:id="1687" w:name="_Toc175764470"/>
      <w:bookmarkStart w:id="1688" w:name="_Toc24897"/>
      <w:r>
        <w:rPr>
          <w:rFonts w:hint="eastAsia" w:ascii="宋体" w:hAnsi="宋体" w:eastAsia="宋体" w:cs="宋体"/>
          <w:b/>
          <w:color w:val="auto"/>
          <w:sz w:val="21"/>
          <w:szCs w:val="21"/>
          <w:highlight w:val="none"/>
        </w:rPr>
        <w:t>合同附件</w:t>
      </w:r>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14:paraId="7162C331">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689" w:name="_Toc175764471"/>
      <w:r>
        <w:rPr>
          <w:rFonts w:hint="eastAsia" w:ascii="宋体" w:hAnsi="宋体" w:eastAsia="宋体" w:cs="宋体"/>
          <w:color w:val="auto"/>
          <w:sz w:val="21"/>
          <w:szCs w:val="21"/>
          <w:highlight w:val="none"/>
          <w:lang w:eastAsia="zh-CN"/>
        </w:rPr>
        <w:t>附件1.工程量清单</w:t>
      </w:r>
      <w:bookmarkEnd w:id="1689"/>
    </w:p>
    <w:p w14:paraId="555F59BE">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690" w:name="_Toc175764472"/>
      <w:r>
        <w:rPr>
          <w:rFonts w:hint="eastAsia" w:ascii="宋体" w:hAnsi="宋体" w:eastAsia="宋体" w:cs="宋体"/>
          <w:color w:val="auto"/>
          <w:sz w:val="21"/>
          <w:szCs w:val="21"/>
          <w:highlight w:val="none"/>
          <w:lang w:eastAsia="zh-CN"/>
        </w:rPr>
        <w:t>附件2.甲供材料、机械设备明细表</w:t>
      </w:r>
      <w:bookmarkEnd w:id="1690"/>
    </w:p>
    <w:p w14:paraId="46715EF1">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691" w:name="_Toc175764473"/>
      <w:r>
        <w:rPr>
          <w:rFonts w:hint="eastAsia" w:ascii="宋体" w:hAnsi="宋体" w:eastAsia="宋体" w:cs="宋体"/>
          <w:color w:val="auto"/>
          <w:sz w:val="21"/>
          <w:szCs w:val="21"/>
          <w:highlight w:val="none"/>
          <w:lang w:eastAsia="zh-CN"/>
        </w:rPr>
        <w:t>附件3.拟投入本合同工程主要人员汇总表</w:t>
      </w:r>
      <w:bookmarkEnd w:id="1691"/>
    </w:p>
    <w:p w14:paraId="59B82A82">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692" w:name="_Toc175764474"/>
      <w:r>
        <w:rPr>
          <w:rFonts w:hint="eastAsia" w:ascii="宋体" w:hAnsi="宋体" w:eastAsia="宋体" w:cs="宋体"/>
          <w:color w:val="auto"/>
          <w:sz w:val="21"/>
          <w:szCs w:val="21"/>
          <w:highlight w:val="none"/>
          <w:lang w:eastAsia="zh-CN"/>
        </w:rPr>
        <w:t>附件4.拟进场机械设备一览表</w:t>
      </w:r>
      <w:bookmarkEnd w:id="1692"/>
    </w:p>
    <w:p w14:paraId="78D729CA">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693" w:name="_Toc175764475"/>
      <w:r>
        <w:rPr>
          <w:rFonts w:hint="eastAsia" w:ascii="宋体" w:hAnsi="宋体" w:eastAsia="宋体" w:cs="宋体"/>
          <w:color w:val="auto"/>
          <w:sz w:val="21"/>
          <w:szCs w:val="21"/>
          <w:highlight w:val="none"/>
          <w:lang w:eastAsia="zh-CN"/>
        </w:rPr>
        <w:t>附件5.安全管理协议书</w:t>
      </w:r>
      <w:bookmarkEnd w:id="1693"/>
    </w:p>
    <w:p w14:paraId="0DBA3592">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694" w:name="_Toc175764476"/>
      <w:r>
        <w:rPr>
          <w:rFonts w:hint="eastAsia" w:ascii="宋体" w:hAnsi="宋体" w:eastAsia="宋体" w:cs="宋体"/>
          <w:color w:val="auto"/>
          <w:sz w:val="21"/>
          <w:szCs w:val="21"/>
          <w:highlight w:val="none"/>
          <w:lang w:eastAsia="zh-CN"/>
        </w:rPr>
        <w:t>附件6.廉政合同</w:t>
      </w:r>
      <w:bookmarkEnd w:id="1694"/>
    </w:p>
    <w:p w14:paraId="61A65B19">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695" w:name="_Toc175764477"/>
      <w:r>
        <w:rPr>
          <w:rFonts w:hint="eastAsia" w:ascii="宋体" w:hAnsi="宋体" w:eastAsia="宋体" w:cs="宋体"/>
          <w:color w:val="auto"/>
          <w:sz w:val="21"/>
          <w:szCs w:val="21"/>
          <w:highlight w:val="none"/>
          <w:lang w:eastAsia="zh-CN"/>
        </w:rPr>
        <w:t>附件7.履约授权管理协议</w:t>
      </w:r>
      <w:bookmarkEnd w:id="1695"/>
    </w:p>
    <w:p w14:paraId="73012C46">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696" w:name="_Toc175764478"/>
      <w:r>
        <w:rPr>
          <w:rFonts w:hint="eastAsia" w:ascii="宋体" w:hAnsi="宋体" w:eastAsia="宋体" w:cs="宋体"/>
          <w:color w:val="auto"/>
          <w:sz w:val="21"/>
          <w:szCs w:val="21"/>
          <w:highlight w:val="none"/>
          <w:lang w:eastAsia="zh-CN"/>
        </w:rPr>
        <w:t>附件8.工程项目施工质量管理协议书</w:t>
      </w:r>
      <w:bookmarkEnd w:id="1696"/>
    </w:p>
    <w:p w14:paraId="2458E259">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697" w:name="_Toc175764479"/>
      <w:r>
        <w:rPr>
          <w:rFonts w:hint="eastAsia" w:ascii="宋体" w:hAnsi="宋体" w:eastAsia="宋体" w:cs="宋体"/>
          <w:color w:val="auto"/>
          <w:sz w:val="21"/>
          <w:szCs w:val="21"/>
          <w:highlight w:val="none"/>
          <w:lang w:eastAsia="zh-CN"/>
        </w:rPr>
        <w:t>附件9.质量保修书</w:t>
      </w:r>
      <w:bookmarkEnd w:id="1697"/>
    </w:p>
    <w:p w14:paraId="76D90C0E">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698" w:name="_Toc175764480"/>
      <w:r>
        <w:rPr>
          <w:rFonts w:hint="eastAsia" w:ascii="宋体" w:hAnsi="宋体" w:eastAsia="宋体" w:cs="宋体"/>
          <w:color w:val="auto"/>
          <w:sz w:val="21"/>
          <w:szCs w:val="21"/>
          <w:highlight w:val="none"/>
          <w:lang w:eastAsia="zh-CN"/>
        </w:rPr>
        <w:t>附件10.农民工工资管理协议</w:t>
      </w:r>
      <w:bookmarkEnd w:id="1698"/>
    </w:p>
    <w:p w14:paraId="37C4C539">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699" w:name="_Toc175764481"/>
      <w:r>
        <w:rPr>
          <w:rFonts w:hint="eastAsia" w:ascii="宋体" w:hAnsi="宋体" w:eastAsia="宋体" w:cs="宋体"/>
          <w:color w:val="auto"/>
          <w:sz w:val="21"/>
          <w:szCs w:val="21"/>
          <w:highlight w:val="none"/>
          <w:lang w:eastAsia="zh-CN"/>
        </w:rPr>
        <w:t>附件11.项目部合规权限告知书</w:t>
      </w:r>
      <w:bookmarkEnd w:id="1699"/>
    </w:p>
    <w:p w14:paraId="0DFA1811">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700" w:name="_Toc175764482"/>
      <w:r>
        <w:rPr>
          <w:rFonts w:hint="eastAsia" w:ascii="宋体" w:hAnsi="宋体" w:eastAsia="宋体" w:cs="宋体"/>
          <w:color w:val="auto"/>
          <w:sz w:val="21"/>
          <w:szCs w:val="21"/>
          <w:highlight w:val="none"/>
          <w:lang w:eastAsia="zh-CN"/>
        </w:rPr>
        <w:t>附件12.授权委托书（分包方）</w:t>
      </w:r>
      <w:bookmarkEnd w:id="1700"/>
    </w:p>
    <w:p w14:paraId="6F7D8FC0">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701" w:name="_Toc175764483"/>
      <w:r>
        <w:rPr>
          <w:rFonts w:hint="eastAsia" w:ascii="宋体" w:hAnsi="宋体" w:eastAsia="宋体" w:cs="宋体"/>
          <w:color w:val="auto"/>
          <w:sz w:val="21"/>
          <w:szCs w:val="21"/>
          <w:highlight w:val="none"/>
          <w:lang w:eastAsia="zh-CN"/>
        </w:rPr>
        <w:t>附件13.农民工工资代发授权委托书</w:t>
      </w:r>
      <w:bookmarkEnd w:id="1701"/>
    </w:p>
    <w:p w14:paraId="3633B222">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702" w:name="_Toc175764484"/>
      <w:r>
        <w:rPr>
          <w:rFonts w:hint="eastAsia" w:ascii="宋体" w:hAnsi="宋体" w:eastAsia="宋体" w:cs="宋体"/>
          <w:color w:val="auto"/>
          <w:sz w:val="21"/>
          <w:szCs w:val="21"/>
          <w:highlight w:val="none"/>
          <w:lang w:eastAsia="zh-CN"/>
        </w:rPr>
        <w:t>附件14.农民工当期工资支付完毕声明书</w:t>
      </w:r>
      <w:bookmarkEnd w:id="1702"/>
    </w:p>
    <w:p w14:paraId="04131083">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703" w:name="_Toc175764485"/>
      <w:r>
        <w:rPr>
          <w:rFonts w:hint="eastAsia" w:ascii="宋体" w:hAnsi="宋体" w:eastAsia="宋体" w:cs="宋体"/>
          <w:color w:val="auto"/>
          <w:sz w:val="21"/>
          <w:szCs w:val="21"/>
          <w:highlight w:val="none"/>
          <w:lang w:eastAsia="zh-CN"/>
        </w:rPr>
        <w:t>附件15.违约金扣款通知单</w:t>
      </w:r>
      <w:bookmarkEnd w:id="1703"/>
    </w:p>
    <w:p w14:paraId="4115A354">
      <w:pPr>
        <w:kinsoku w:val="0"/>
        <w:spacing w:after="0" w:line="360" w:lineRule="auto"/>
        <w:ind w:firstLine="420" w:firstLineChars="200"/>
        <w:outlineLvl w:val="0"/>
        <w:rPr>
          <w:rFonts w:hint="eastAsia" w:asciiTheme="minorEastAsia" w:hAnsiTheme="minorEastAsia" w:eastAsiaTheme="minorEastAsia" w:cstheme="minorEastAsia"/>
          <w:color w:val="auto"/>
          <w:sz w:val="21"/>
          <w:szCs w:val="21"/>
          <w:highlight w:val="none"/>
          <w:lang w:eastAsia="zh-CN"/>
        </w:rPr>
      </w:pPr>
      <w:bookmarkStart w:id="1704" w:name="_Toc30284"/>
      <w:r>
        <w:rPr>
          <w:rFonts w:hint="eastAsia" w:asciiTheme="minorEastAsia" w:hAnsiTheme="minorEastAsia" w:eastAsiaTheme="minorEastAsia" w:cstheme="minorEastAsia"/>
          <w:color w:val="auto"/>
          <w:sz w:val="21"/>
          <w:szCs w:val="21"/>
          <w:highlight w:val="none"/>
          <w:lang w:eastAsia="zh-CN"/>
        </w:rPr>
        <w:t>附件16.签证工作内容记录单</w:t>
      </w:r>
      <w:bookmarkEnd w:id="1704"/>
    </w:p>
    <w:p w14:paraId="58EEC70D">
      <w:pPr>
        <w:kinsoku w:val="0"/>
        <w:spacing w:after="0" w:line="360" w:lineRule="auto"/>
        <w:ind w:firstLine="420" w:firstLineChars="200"/>
        <w:outlineLvl w:val="0"/>
        <w:rPr>
          <w:rFonts w:hint="eastAsia" w:asciiTheme="minorEastAsia" w:hAnsiTheme="minorEastAsia" w:eastAsiaTheme="minorEastAsia" w:cstheme="minorEastAsia"/>
          <w:color w:val="auto"/>
          <w:sz w:val="21"/>
          <w:szCs w:val="21"/>
          <w:highlight w:val="none"/>
          <w:lang w:val="en-US" w:eastAsia="zh-CN"/>
        </w:rPr>
      </w:pPr>
      <w:bookmarkStart w:id="1705" w:name="_Toc19670"/>
      <w:r>
        <w:rPr>
          <w:rFonts w:hint="eastAsia" w:asciiTheme="minorEastAsia" w:hAnsiTheme="minorEastAsia" w:eastAsiaTheme="minorEastAsia" w:cstheme="minorEastAsia"/>
          <w:color w:val="auto"/>
          <w:sz w:val="21"/>
          <w:szCs w:val="21"/>
          <w:highlight w:val="none"/>
          <w:lang w:val="en-US" w:eastAsia="zh-CN"/>
        </w:rPr>
        <w:t>附件17：临时用电安全管理协议</w:t>
      </w:r>
      <w:bookmarkEnd w:id="1705"/>
    </w:p>
    <w:p w14:paraId="4C57B3CC">
      <w:pPr>
        <w:kinsoku w:val="0"/>
        <w:spacing w:after="0" w:line="360" w:lineRule="auto"/>
        <w:ind w:firstLine="420" w:firstLineChars="200"/>
        <w:outlineLvl w:val="0"/>
        <w:rPr>
          <w:rFonts w:hint="eastAsia" w:asciiTheme="minorEastAsia" w:hAnsiTheme="minorEastAsia" w:eastAsiaTheme="minorEastAsia" w:cstheme="minorEastAsia"/>
          <w:color w:val="auto"/>
          <w:sz w:val="21"/>
          <w:szCs w:val="21"/>
          <w:highlight w:val="none"/>
          <w:lang w:val="en-US" w:eastAsia="zh-CN"/>
        </w:rPr>
      </w:pPr>
      <w:bookmarkStart w:id="1706" w:name="_Toc23735"/>
      <w:r>
        <w:rPr>
          <w:rFonts w:hint="eastAsia" w:asciiTheme="minorEastAsia" w:hAnsiTheme="minorEastAsia" w:eastAsiaTheme="minorEastAsia" w:cstheme="minorEastAsia"/>
          <w:color w:val="auto"/>
          <w:sz w:val="21"/>
          <w:szCs w:val="21"/>
          <w:highlight w:val="none"/>
          <w:lang w:val="en-US" w:eastAsia="zh-CN"/>
        </w:rPr>
        <w:t>附件18：消防安全管理协议</w:t>
      </w:r>
      <w:bookmarkEnd w:id="1706"/>
    </w:p>
    <w:p w14:paraId="1A04865C">
      <w:pPr>
        <w:kinsoku w:val="0"/>
        <w:spacing w:after="0" w:line="360" w:lineRule="auto"/>
        <w:ind w:firstLine="420" w:firstLineChars="200"/>
        <w:outlineLvl w:val="0"/>
        <w:rPr>
          <w:rFonts w:hint="eastAsia" w:ascii="宋体" w:hAnsi="宋体" w:eastAsia="宋体" w:cs="宋体"/>
          <w:color w:val="auto"/>
          <w:sz w:val="21"/>
          <w:szCs w:val="21"/>
          <w:highlight w:val="none"/>
          <w:lang w:eastAsia="zh-CN"/>
        </w:rPr>
      </w:pPr>
      <w:bookmarkStart w:id="1707" w:name="_Toc3910"/>
      <w:r>
        <w:rPr>
          <w:rFonts w:hint="eastAsia" w:asciiTheme="minorEastAsia" w:hAnsiTheme="minorEastAsia" w:eastAsiaTheme="minorEastAsia" w:cstheme="minorEastAsia"/>
          <w:color w:val="auto"/>
          <w:sz w:val="21"/>
          <w:szCs w:val="21"/>
          <w:highlight w:val="none"/>
          <w:lang w:val="en-US" w:eastAsia="zh-CN"/>
        </w:rPr>
        <w:t>附件19：保密义务告知书</w:t>
      </w:r>
      <w:bookmarkEnd w:id="1707"/>
    </w:p>
    <w:p w14:paraId="730BF077">
      <w:pPr>
        <w:spacing w:line="360" w:lineRule="auto"/>
        <w:ind w:firstLine="562" w:firstLineChars="200"/>
        <w:jc w:val="center"/>
        <w:rPr>
          <w:b/>
          <w:color w:val="auto"/>
          <w:sz w:val="28"/>
          <w:szCs w:val="28"/>
          <w:highlight w:val="none"/>
        </w:rPr>
        <w:sectPr>
          <w:pgSz w:w="11907" w:h="16840"/>
          <w:pgMar w:top="1417" w:right="1701" w:bottom="1417" w:left="1701" w:header="850" w:footer="1134" w:gutter="0"/>
          <w:pgNumType w:fmt="decimal"/>
          <w:cols w:space="0" w:num="1"/>
          <w:rtlGutter w:val="0"/>
          <w:docGrid w:linePitch="312" w:charSpace="0"/>
        </w:sectPr>
      </w:pPr>
    </w:p>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14:paraId="3033C78C">
      <w:pPr>
        <w:pStyle w:val="2"/>
        <w:rPr>
          <w:color w:val="auto"/>
          <w:highlight w:val="none"/>
        </w:rPr>
      </w:pPr>
      <w:bookmarkStart w:id="1708" w:name="_Toc54291520"/>
      <w:bookmarkStart w:id="1709" w:name="_Toc53946178"/>
      <w:bookmarkStart w:id="1710" w:name="_Toc144872174"/>
      <w:bookmarkStart w:id="1711" w:name="_Toc284135616"/>
      <w:bookmarkStart w:id="1712" w:name="_Toc54281616"/>
      <w:bookmarkStart w:id="1713" w:name="_Toc53949154"/>
      <w:bookmarkStart w:id="1714" w:name="_Toc53949575"/>
      <w:bookmarkStart w:id="1715" w:name="_Toc54281190"/>
      <w:bookmarkStart w:id="1716" w:name="_Toc54278955"/>
      <w:bookmarkStart w:id="1717" w:name="_Toc54280338"/>
      <w:bookmarkStart w:id="1718" w:name="_Toc145499828"/>
      <w:bookmarkStart w:id="1719" w:name="_Toc53948733"/>
      <w:bookmarkStart w:id="1720" w:name="_Toc54280764"/>
      <w:bookmarkStart w:id="1721" w:name="_Toc145426866"/>
      <w:bookmarkStart w:id="1722" w:name="_Toc18209292"/>
      <w:bookmarkStart w:id="1723" w:name="_Toc16353853"/>
      <w:r>
        <w:rPr>
          <w:color w:val="auto"/>
          <w:highlight w:val="none"/>
        </w:rPr>
        <w:t>第</w:t>
      </w:r>
      <w:r>
        <w:rPr>
          <w:rFonts w:hint="eastAsia"/>
          <w:color w:val="auto"/>
          <w:highlight w:val="none"/>
        </w:rPr>
        <w:t>四</w:t>
      </w:r>
      <w:r>
        <w:rPr>
          <w:color w:val="auto"/>
          <w:highlight w:val="none"/>
        </w:rPr>
        <w:t>篇  图纸</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14:paraId="4D7B052C">
      <w:pPr>
        <w:rPr>
          <w:color w:val="auto"/>
          <w:highlight w:val="none"/>
        </w:rPr>
      </w:pPr>
    </w:p>
    <w:p w14:paraId="3A162A1F">
      <w:pPr>
        <w:jc w:val="center"/>
        <w:rPr>
          <w:color w:val="auto"/>
          <w:highlight w:val="none"/>
        </w:rPr>
      </w:pPr>
    </w:p>
    <w:p w14:paraId="59106435">
      <w:pPr>
        <w:jc w:val="center"/>
        <w:rPr>
          <w:rFonts w:hint="eastAsia"/>
          <w:b/>
          <w:color w:val="auto"/>
          <w:sz w:val="24"/>
          <w:highlight w:val="none"/>
        </w:rPr>
      </w:pPr>
      <w:r>
        <w:rPr>
          <w:rFonts w:hint="eastAsia"/>
          <w:b/>
          <w:color w:val="auto"/>
          <w:sz w:val="24"/>
          <w:highlight w:val="none"/>
        </w:rPr>
        <w:t>图纸目录</w:t>
      </w:r>
    </w:p>
    <w:p w14:paraId="73E5B162">
      <w:pPr>
        <w:jc w:val="center"/>
        <w:rPr>
          <w:rFonts w:hint="eastAsia"/>
          <w:b/>
          <w:color w:val="auto"/>
          <w:sz w:val="24"/>
          <w:highlight w:val="none"/>
        </w:rPr>
      </w:pPr>
    </w:p>
    <w:tbl>
      <w:tblPr>
        <w:tblStyle w:val="31"/>
        <w:tblW w:w="8670" w:type="dxa"/>
        <w:tblInd w:w="15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95"/>
        <w:gridCol w:w="6510"/>
        <w:gridCol w:w="1365"/>
      </w:tblGrid>
      <w:tr w14:paraId="104A47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64E13CEA">
            <w:pPr>
              <w:jc w:val="center"/>
              <w:rPr>
                <w:color w:val="auto"/>
                <w:szCs w:val="21"/>
                <w:highlight w:val="none"/>
              </w:rPr>
            </w:pPr>
            <w:r>
              <w:rPr>
                <w:rFonts w:hint="eastAsia"/>
                <w:color w:val="auto"/>
                <w:szCs w:val="21"/>
                <w:highlight w:val="none"/>
              </w:rPr>
              <w:t>序号</w:t>
            </w:r>
          </w:p>
        </w:tc>
        <w:tc>
          <w:tcPr>
            <w:tcW w:w="6510" w:type="dxa"/>
            <w:vAlign w:val="center"/>
          </w:tcPr>
          <w:p w14:paraId="2FEAB9EC">
            <w:pPr>
              <w:jc w:val="center"/>
              <w:rPr>
                <w:color w:val="auto"/>
                <w:szCs w:val="21"/>
                <w:highlight w:val="none"/>
              </w:rPr>
            </w:pPr>
            <w:r>
              <w:rPr>
                <w:rFonts w:hint="eastAsia"/>
                <w:color w:val="auto"/>
                <w:szCs w:val="21"/>
                <w:highlight w:val="none"/>
              </w:rPr>
              <w:t>图纸名称</w:t>
            </w:r>
          </w:p>
        </w:tc>
        <w:tc>
          <w:tcPr>
            <w:tcW w:w="1365" w:type="dxa"/>
            <w:vAlign w:val="center"/>
          </w:tcPr>
          <w:p w14:paraId="5AEB4F33">
            <w:pPr>
              <w:jc w:val="center"/>
              <w:rPr>
                <w:color w:val="auto"/>
                <w:szCs w:val="21"/>
                <w:highlight w:val="none"/>
              </w:rPr>
            </w:pPr>
            <w:r>
              <w:rPr>
                <w:rFonts w:hint="eastAsia" w:ascii="宋体" w:hAnsi="宋体" w:cs="宋体"/>
                <w:color w:val="auto"/>
                <w:kern w:val="0"/>
                <w:sz w:val="20"/>
                <w:szCs w:val="20"/>
                <w:highlight w:val="none"/>
              </w:rPr>
              <w:t>日期</w:t>
            </w:r>
          </w:p>
        </w:tc>
      </w:tr>
      <w:tr w14:paraId="2F5EF9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0CB02E28">
            <w:pPr>
              <w:numPr>
                <w:ilvl w:val="0"/>
                <w:numId w:val="13"/>
              </w:numPr>
              <w:jc w:val="center"/>
              <w:rPr>
                <w:color w:val="auto"/>
                <w:szCs w:val="21"/>
                <w:highlight w:val="none"/>
              </w:rPr>
            </w:pPr>
          </w:p>
        </w:tc>
        <w:tc>
          <w:tcPr>
            <w:tcW w:w="6510" w:type="dxa"/>
            <w:vAlign w:val="center"/>
          </w:tcPr>
          <w:p w14:paraId="5DE762FC">
            <w:pPr>
              <w:jc w:val="left"/>
              <w:rPr>
                <w:rFonts w:hint="default" w:eastAsia="宋体"/>
                <w:color w:val="auto"/>
                <w:szCs w:val="21"/>
                <w:highlight w:val="none"/>
                <w:lang w:val="en-US" w:eastAsia="zh-CN"/>
              </w:rPr>
            </w:pPr>
            <w:r>
              <w:rPr>
                <w:rFonts w:hint="eastAsia"/>
                <w:color w:val="auto"/>
                <w:szCs w:val="21"/>
                <w:highlight w:val="none"/>
                <w:lang w:val="en-US" w:eastAsia="zh-CN"/>
              </w:rPr>
              <w:t>海兴盐场特大桥施工图纸</w:t>
            </w:r>
          </w:p>
        </w:tc>
        <w:tc>
          <w:tcPr>
            <w:tcW w:w="1365" w:type="dxa"/>
            <w:vAlign w:val="center"/>
          </w:tcPr>
          <w:p w14:paraId="10CD4F11">
            <w:pPr>
              <w:jc w:val="center"/>
              <w:rPr>
                <w:color w:val="auto"/>
                <w:szCs w:val="21"/>
                <w:highlight w:val="none"/>
              </w:rPr>
            </w:pPr>
          </w:p>
        </w:tc>
      </w:tr>
      <w:tr w14:paraId="468986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69A0D60D">
            <w:pPr>
              <w:numPr>
                <w:ilvl w:val="0"/>
                <w:numId w:val="13"/>
              </w:numPr>
              <w:jc w:val="center"/>
              <w:rPr>
                <w:color w:val="auto"/>
                <w:szCs w:val="21"/>
                <w:highlight w:val="none"/>
              </w:rPr>
            </w:pPr>
          </w:p>
        </w:tc>
        <w:tc>
          <w:tcPr>
            <w:tcW w:w="6510" w:type="dxa"/>
            <w:vAlign w:val="center"/>
          </w:tcPr>
          <w:p w14:paraId="5A40A89B">
            <w:pPr>
              <w:jc w:val="left"/>
              <w:rPr>
                <w:color w:val="auto"/>
                <w:szCs w:val="21"/>
                <w:highlight w:val="none"/>
              </w:rPr>
            </w:pPr>
          </w:p>
        </w:tc>
        <w:tc>
          <w:tcPr>
            <w:tcW w:w="1365" w:type="dxa"/>
            <w:vAlign w:val="center"/>
          </w:tcPr>
          <w:p w14:paraId="7D91341F">
            <w:pPr>
              <w:jc w:val="center"/>
              <w:rPr>
                <w:color w:val="auto"/>
                <w:szCs w:val="21"/>
                <w:highlight w:val="none"/>
              </w:rPr>
            </w:pPr>
          </w:p>
        </w:tc>
      </w:tr>
      <w:tr w14:paraId="7B9F2E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24EA11E0">
            <w:pPr>
              <w:numPr>
                <w:ilvl w:val="0"/>
                <w:numId w:val="13"/>
              </w:numPr>
              <w:jc w:val="center"/>
              <w:rPr>
                <w:color w:val="auto"/>
                <w:szCs w:val="21"/>
                <w:highlight w:val="none"/>
              </w:rPr>
            </w:pPr>
          </w:p>
        </w:tc>
        <w:tc>
          <w:tcPr>
            <w:tcW w:w="6510" w:type="dxa"/>
            <w:vAlign w:val="center"/>
          </w:tcPr>
          <w:p w14:paraId="42BC78F8">
            <w:pPr>
              <w:jc w:val="left"/>
              <w:rPr>
                <w:color w:val="auto"/>
                <w:szCs w:val="21"/>
                <w:highlight w:val="none"/>
              </w:rPr>
            </w:pPr>
          </w:p>
        </w:tc>
        <w:tc>
          <w:tcPr>
            <w:tcW w:w="1365" w:type="dxa"/>
            <w:vAlign w:val="center"/>
          </w:tcPr>
          <w:p w14:paraId="53799D95">
            <w:pPr>
              <w:jc w:val="center"/>
              <w:rPr>
                <w:color w:val="auto"/>
                <w:szCs w:val="21"/>
                <w:highlight w:val="none"/>
              </w:rPr>
            </w:pPr>
          </w:p>
        </w:tc>
      </w:tr>
      <w:tr w14:paraId="45F6F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795" w:type="dxa"/>
            <w:vAlign w:val="center"/>
          </w:tcPr>
          <w:p w14:paraId="24CD881F">
            <w:pPr>
              <w:numPr>
                <w:ilvl w:val="0"/>
                <w:numId w:val="13"/>
              </w:numPr>
              <w:jc w:val="center"/>
              <w:rPr>
                <w:color w:val="auto"/>
                <w:szCs w:val="21"/>
                <w:highlight w:val="none"/>
              </w:rPr>
            </w:pPr>
          </w:p>
        </w:tc>
        <w:tc>
          <w:tcPr>
            <w:tcW w:w="6510" w:type="dxa"/>
            <w:vAlign w:val="center"/>
          </w:tcPr>
          <w:p w14:paraId="7BEBE3CD">
            <w:pPr>
              <w:jc w:val="left"/>
              <w:rPr>
                <w:color w:val="auto"/>
                <w:szCs w:val="21"/>
                <w:highlight w:val="none"/>
              </w:rPr>
            </w:pPr>
          </w:p>
        </w:tc>
        <w:tc>
          <w:tcPr>
            <w:tcW w:w="1365" w:type="dxa"/>
            <w:vAlign w:val="center"/>
          </w:tcPr>
          <w:p w14:paraId="238F27CF">
            <w:pPr>
              <w:jc w:val="center"/>
              <w:rPr>
                <w:color w:val="auto"/>
                <w:szCs w:val="21"/>
                <w:highlight w:val="none"/>
              </w:rPr>
            </w:pPr>
          </w:p>
        </w:tc>
      </w:tr>
    </w:tbl>
    <w:p w14:paraId="2FAB05EE">
      <w:pPr>
        <w:spacing w:line="360" w:lineRule="auto"/>
        <w:rPr>
          <w:rFonts w:hint="eastAsia" w:ascii="宋体" w:hAnsi="宋体" w:cs="宋体"/>
          <w:b/>
          <w:bCs/>
          <w:color w:val="auto"/>
          <w:kern w:val="0"/>
          <w:sz w:val="22"/>
          <w:szCs w:val="22"/>
          <w:highlight w:val="none"/>
        </w:rPr>
      </w:pPr>
    </w:p>
    <w:p w14:paraId="4F0F4078">
      <w:pPr>
        <w:spacing w:line="360" w:lineRule="auto"/>
        <w:rPr>
          <w:color w:val="auto"/>
          <w:highlight w:val="none"/>
        </w:rPr>
      </w:pPr>
    </w:p>
    <w:p w14:paraId="109EB26A">
      <w:pPr>
        <w:spacing w:line="360" w:lineRule="auto"/>
        <w:rPr>
          <w:color w:val="auto"/>
          <w:highlight w:val="none"/>
        </w:rPr>
        <w:sectPr>
          <w:headerReference r:id="rId14" w:type="default"/>
          <w:pgSz w:w="11907" w:h="16840"/>
          <w:pgMar w:top="1417" w:right="1701" w:bottom="1417" w:left="1701" w:header="850" w:footer="1134" w:gutter="0"/>
          <w:pgNumType w:fmt="decimal"/>
          <w:cols w:space="0" w:num="1"/>
          <w:rtlGutter w:val="0"/>
          <w:docGrid w:linePitch="312" w:charSpace="0"/>
        </w:sectPr>
      </w:pPr>
    </w:p>
    <w:p w14:paraId="1FD461BB">
      <w:pPr>
        <w:pStyle w:val="2"/>
        <w:rPr>
          <w:color w:val="auto"/>
          <w:highlight w:val="none"/>
        </w:rPr>
      </w:pPr>
      <w:bookmarkStart w:id="1724" w:name="_Toc284135617"/>
      <w:r>
        <w:rPr>
          <w:color w:val="auto"/>
          <w:highlight w:val="none"/>
        </w:rPr>
        <w:t>第</w:t>
      </w:r>
      <w:r>
        <w:rPr>
          <w:rFonts w:hint="eastAsia"/>
          <w:color w:val="auto"/>
          <w:highlight w:val="none"/>
        </w:rPr>
        <w:t>五</w:t>
      </w:r>
      <w:r>
        <w:rPr>
          <w:color w:val="auto"/>
          <w:highlight w:val="none"/>
        </w:rPr>
        <w:t>篇  工程量清单</w:t>
      </w:r>
      <w:bookmarkEnd w:id="1724"/>
    </w:p>
    <w:p w14:paraId="31B5F5BC">
      <w:pPr>
        <w:pStyle w:val="3"/>
        <w:spacing w:before="240" w:beforeLines="100" w:after="120" w:afterLines="50" w:line="360" w:lineRule="auto"/>
        <w:jc w:val="center"/>
        <w:rPr>
          <w:rStyle w:val="46"/>
          <w:rFonts w:ascii="Times New Roman" w:hAnsi="Times New Roman" w:eastAsia="宋体"/>
          <w:b/>
          <w:bCs w:val="0"/>
          <w:color w:val="auto"/>
          <w:sz w:val="32"/>
          <w:highlight w:val="none"/>
        </w:rPr>
      </w:pPr>
      <w:bookmarkStart w:id="1725" w:name="_Toc53946163"/>
      <w:bookmarkStart w:id="1726" w:name="_Toc20578214"/>
      <w:bookmarkStart w:id="1727" w:name="_Toc54280749"/>
      <w:bookmarkStart w:id="1728" w:name="_Toc145499813"/>
      <w:bookmarkStart w:id="1729" w:name="_Toc54281175"/>
      <w:bookmarkStart w:id="1730" w:name="_Toc144872159"/>
      <w:bookmarkStart w:id="1731" w:name="_Toc53948718"/>
      <w:bookmarkStart w:id="1732" w:name="_Toc53949139"/>
      <w:bookmarkStart w:id="1733" w:name="_Toc54280323"/>
      <w:bookmarkStart w:id="1734" w:name="_Toc284135618"/>
      <w:bookmarkStart w:id="1735" w:name="_Toc54291505"/>
      <w:bookmarkStart w:id="1736" w:name="_Toc54278940"/>
      <w:bookmarkStart w:id="1737" w:name="_Toc54281601"/>
      <w:bookmarkStart w:id="1738" w:name="_Toc53949560"/>
      <w:r>
        <w:rPr>
          <w:rStyle w:val="46"/>
          <w:rFonts w:ascii="Times New Roman" w:hAnsi="Times New Roman" w:eastAsia="宋体"/>
          <w:b/>
          <w:bCs w:val="0"/>
          <w:color w:val="auto"/>
          <w:sz w:val="32"/>
          <w:highlight w:val="none"/>
        </w:rPr>
        <w:t>第一章  工程量清单一般要求</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14:paraId="2CA10CFB">
      <w:pPr>
        <w:pStyle w:val="53"/>
        <w:spacing w:before="120"/>
        <w:rPr>
          <w:rStyle w:val="46"/>
          <w:rFonts w:ascii="Times New Roman" w:hAnsi="Times New Roman" w:eastAsia="宋体" w:cs="Times New Roman"/>
          <w:b/>
          <w:bCs w:val="0"/>
          <w:color w:val="auto"/>
          <w:szCs w:val="24"/>
          <w:highlight w:val="none"/>
        </w:rPr>
      </w:pPr>
      <w:bookmarkStart w:id="1739" w:name="_Toc54281176"/>
      <w:bookmarkStart w:id="1740" w:name="_Toc54281602"/>
      <w:bookmarkStart w:id="1741" w:name="_Toc53946164"/>
      <w:bookmarkStart w:id="1742" w:name="_Toc53936890"/>
      <w:bookmarkStart w:id="1743" w:name="_Toc54280324"/>
      <w:bookmarkStart w:id="1744" w:name="_Toc53919178"/>
      <w:bookmarkStart w:id="1745" w:name="_Toc53948719"/>
      <w:bookmarkStart w:id="1746" w:name="_Toc53939961"/>
      <w:bookmarkStart w:id="1747" w:name="_Toc20578215"/>
      <w:bookmarkStart w:id="1748" w:name="_Toc53949140"/>
      <w:bookmarkStart w:id="1749" w:name="_Toc53949561"/>
      <w:bookmarkStart w:id="1750" w:name="_Toc144872160"/>
      <w:bookmarkStart w:id="1751" w:name="_Toc145499814"/>
      <w:bookmarkStart w:id="1752" w:name="_Toc54278941"/>
      <w:bookmarkStart w:id="1753" w:name="_Toc54280750"/>
      <w:bookmarkStart w:id="1754" w:name="_Toc53916580"/>
      <w:bookmarkStart w:id="1755" w:name="_Toc54291506"/>
      <w:r>
        <w:rPr>
          <w:rStyle w:val="46"/>
          <w:rFonts w:ascii="Times New Roman" w:hAnsi="Times New Roman" w:eastAsia="宋体" w:cs="Times New Roman"/>
          <w:b/>
          <w:bCs w:val="0"/>
          <w:color w:val="auto"/>
          <w:szCs w:val="24"/>
          <w:highlight w:val="none"/>
        </w:rPr>
        <w:t>1.设置范围</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14:paraId="397BD14D">
      <w:pPr>
        <w:spacing w:line="360" w:lineRule="auto"/>
        <w:ind w:left="735" w:leftChars="200" w:hanging="315" w:hangingChars="150"/>
        <w:rPr>
          <w:color w:val="auto"/>
          <w:szCs w:val="21"/>
          <w:highlight w:val="none"/>
        </w:rPr>
      </w:pPr>
      <w:r>
        <w:rPr>
          <w:color w:val="auto"/>
          <w:szCs w:val="21"/>
          <w:highlight w:val="none"/>
        </w:rPr>
        <w:t>1.1工程量清单</w:t>
      </w:r>
      <w:r>
        <w:rPr>
          <w:rFonts w:hint="eastAsia"/>
          <w:color w:val="auto"/>
          <w:szCs w:val="21"/>
          <w:highlight w:val="none"/>
        </w:rPr>
        <w:t>依据现行国家、行业规范标准，按照图纸和工程情况进行编制</w:t>
      </w:r>
      <w:r>
        <w:rPr>
          <w:color w:val="auto"/>
          <w:szCs w:val="21"/>
          <w:highlight w:val="none"/>
        </w:rPr>
        <w:t>。</w:t>
      </w:r>
    </w:p>
    <w:p w14:paraId="5E1941D3">
      <w:pPr>
        <w:spacing w:line="360" w:lineRule="auto"/>
        <w:ind w:left="735" w:leftChars="200" w:hanging="315" w:hangingChars="150"/>
        <w:rPr>
          <w:color w:val="auto"/>
          <w:szCs w:val="21"/>
          <w:highlight w:val="none"/>
        </w:rPr>
      </w:pPr>
      <w:r>
        <w:rPr>
          <w:color w:val="auto"/>
          <w:szCs w:val="21"/>
          <w:highlight w:val="none"/>
        </w:rPr>
        <w:t>1.</w:t>
      </w:r>
      <w:r>
        <w:rPr>
          <w:rFonts w:hint="eastAsia"/>
          <w:color w:val="auto"/>
          <w:szCs w:val="21"/>
          <w:highlight w:val="none"/>
        </w:rPr>
        <w:t>2</w:t>
      </w:r>
      <w:r>
        <w:rPr>
          <w:color w:val="auto"/>
          <w:szCs w:val="21"/>
          <w:highlight w:val="none"/>
        </w:rPr>
        <w:t>本合同分部分项工程量清单各细目所报单价除非合同另有规定，均应包括了为实施和完成合同工程所需的</w:t>
      </w:r>
      <w:r>
        <w:rPr>
          <w:rFonts w:hint="eastAsia"/>
          <w:color w:val="auto"/>
          <w:szCs w:val="21"/>
          <w:highlight w:val="none"/>
        </w:rPr>
        <w:t>劳务、材料、机械、措施、检测、质检、安装、缺陷修复、资料、保险、管理费、利润、规费、税金等费用、以及采购文件明示或暗示的所有责任、义务和合同约定的风险。</w:t>
      </w:r>
    </w:p>
    <w:p w14:paraId="09FF271A">
      <w:pPr>
        <w:spacing w:line="360" w:lineRule="auto"/>
        <w:ind w:left="735" w:leftChars="200" w:hanging="315" w:hangingChars="150"/>
        <w:rPr>
          <w:color w:val="auto"/>
          <w:szCs w:val="21"/>
          <w:highlight w:val="none"/>
        </w:rPr>
      </w:pPr>
      <w:r>
        <w:rPr>
          <w:rFonts w:hint="eastAsia"/>
          <w:color w:val="auto"/>
          <w:szCs w:val="21"/>
          <w:highlight w:val="none"/>
        </w:rPr>
        <w:t>1.3</w:t>
      </w:r>
      <w:r>
        <w:rPr>
          <w:color w:val="auto"/>
          <w:szCs w:val="21"/>
          <w:highlight w:val="none"/>
        </w:rPr>
        <w:t>安全防护、文明施工措施费</w:t>
      </w:r>
      <w:r>
        <w:rPr>
          <w:rFonts w:hint="eastAsia"/>
          <w:color w:val="auto"/>
          <w:szCs w:val="21"/>
          <w:highlight w:val="none"/>
        </w:rPr>
        <w:t>（</w:t>
      </w:r>
      <w:r>
        <w:rPr>
          <w:color w:val="auto"/>
          <w:szCs w:val="21"/>
          <w:highlight w:val="none"/>
        </w:rPr>
        <w:t>包括环境保护、文明施工、安全施工、临时设施</w:t>
      </w:r>
      <w:r>
        <w:rPr>
          <w:rFonts w:hint="eastAsia"/>
          <w:color w:val="auto"/>
          <w:szCs w:val="21"/>
          <w:highlight w:val="none"/>
        </w:rPr>
        <w:t>和施工围挡共五项</w:t>
      </w:r>
      <w:r>
        <w:rPr>
          <w:color w:val="auto"/>
          <w:szCs w:val="21"/>
          <w:highlight w:val="none"/>
        </w:rPr>
        <w:t>措施</w:t>
      </w:r>
      <w:r>
        <w:rPr>
          <w:rFonts w:hint="eastAsia"/>
          <w:color w:val="auto"/>
          <w:szCs w:val="21"/>
          <w:highlight w:val="none"/>
        </w:rPr>
        <w:t>）是乙方根据施工情况投入到本工程的安全生产、环保及文明施工费用，以完成工作量的</w:t>
      </w:r>
      <w:r>
        <w:rPr>
          <w:color w:val="auto"/>
          <w:szCs w:val="21"/>
          <w:highlight w:val="none"/>
          <w:u w:val="single"/>
        </w:rPr>
        <w:t xml:space="preserve"> </w:t>
      </w:r>
      <w:r>
        <w:rPr>
          <w:rFonts w:hint="eastAsia"/>
          <w:color w:val="auto"/>
          <w:szCs w:val="21"/>
          <w:highlight w:val="none"/>
          <w:u w:val="single"/>
          <w:lang w:val="en-US" w:eastAsia="zh-CN"/>
        </w:rPr>
        <w:t>1.5</w:t>
      </w:r>
      <w:r>
        <w:rPr>
          <w:color w:val="auto"/>
          <w:szCs w:val="21"/>
          <w:highlight w:val="none"/>
          <w:u w:val="single"/>
        </w:rPr>
        <w:t xml:space="preserve"> </w:t>
      </w:r>
      <w:r>
        <w:rPr>
          <w:rFonts w:hint="eastAsia"/>
          <w:color w:val="auto"/>
          <w:szCs w:val="21"/>
          <w:highlight w:val="none"/>
        </w:rPr>
        <w:t>%</w:t>
      </w:r>
      <w:r>
        <w:rPr>
          <w:rFonts w:hint="eastAsia"/>
          <w:color w:val="auto"/>
          <w:szCs w:val="21"/>
          <w:highlight w:val="none"/>
        </w:rPr>
        <w:t>作为最高限计算，具体计量以采购人安全部与合约部共同确定的方法为准。</w:t>
      </w:r>
    </w:p>
    <w:p w14:paraId="1C8BD60E">
      <w:pPr>
        <w:pStyle w:val="53"/>
        <w:spacing w:before="120"/>
        <w:rPr>
          <w:rStyle w:val="46"/>
          <w:rFonts w:ascii="Times New Roman" w:hAnsi="Times New Roman" w:eastAsia="宋体" w:cs="Times New Roman"/>
          <w:b/>
          <w:bCs w:val="0"/>
          <w:color w:val="auto"/>
          <w:szCs w:val="24"/>
          <w:highlight w:val="none"/>
        </w:rPr>
      </w:pPr>
      <w:bookmarkStart w:id="1756" w:name="_Toc54280326"/>
      <w:bookmarkStart w:id="1757" w:name="_Toc145499816"/>
      <w:bookmarkStart w:id="1758" w:name="_Toc53919180"/>
      <w:bookmarkStart w:id="1759" w:name="_Toc54291508"/>
      <w:bookmarkStart w:id="1760" w:name="_Toc54280752"/>
      <w:bookmarkStart w:id="1761" w:name="_Toc54281178"/>
      <w:bookmarkStart w:id="1762" w:name="_Toc53949142"/>
      <w:bookmarkStart w:id="1763" w:name="_Toc53939963"/>
      <w:bookmarkStart w:id="1764" w:name="_Toc144872162"/>
      <w:bookmarkStart w:id="1765" w:name="_Toc53936892"/>
      <w:bookmarkStart w:id="1766" w:name="_Toc54278943"/>
      <w:bookmarkStart w:id="1767" w:name="_Toc53916582"/>
      <w:bookmarkStart w:id="1768" w:name="_Toc53946166"/>
      <w:bookmarkStart w:id="1769" w:name="_Toc20578217"/>
      <w:bookmarkStart w:id="1770" w:name="_Toc54281604"/>
      <w:bookmarkStart w:id="1771" w:name="_Toc53948721"/>
      <w:bookmarkStart w:id="1772" w:name="_Toc53949563"/>
      <w:r>
        <w:rPr>
          <w:rStyle w:val="46"/>
          <w:rFonts w:hint="eastAsia" w:ascii="Times New Roman" w:hAnsi="Times New Roman" w:eastAsia="宋体" w:cs="Times New Roman"/>
          <w:b/>
          <w:bCs w:val="0"/>
          <w:color w:val="auto"/>
          <w:szCs w:val="24"/>
          <w:highlight w:val="none"/>
        </w:rPr>
        <w:t>2</w:t>
      </w:r>
      <w:r>
        <w:rPr>
          <w:rStyle w:val="46"/>
          <w:rFonts w:ascii="Times New Roman" w:hAnsi="Times New Roman" w:eastAsia="宋体" w:cs="Times New Roman"/>
          <w:b/>
          <w:bCs w:val="0"/>
          <w:color w:val="auto"/>
          <w:szCs w:val="24"/>
          <w:highlight w:val="none"/>
        </w:rPr>
        <w:t>.工程量的确定</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14:paraId="3B9FA71C">
      <w:pPr>
        <w:spacing w:line="360" w:lineRule="auto"/>
        <w:ind w:left="735" w:leftChars="200" w:hanging="315" w:hangingChars="150"/>
        <w:rPr>
          <w:color w:val="auto"/>
          <w:szCs w:val="21"/>
          <w:highlight w:val="none"/>
        </w:rPr>
      </w:pPr>
      <w:r>
        <w:rPr>
          <w:color w:val="auto"/>
          <w:szCs w:val="21"/>
          <w:highlight w:val="none"/>
        </w:rPr>
        <w:t>2.1工程量清单中所列工程数量</w:t>
      </w:r>
      <w:r>
        <w:rPr>
          <w:rFonts w:hint="eastAsia"/>
          <w:color w:val="auto"/>
          <w:szCs w:val="21"/>
          <w:highlight w:val="none"/>
        </w:rPr>
        <w:t>为暂估量</w:t>
      </w:r>
      <w:r>
        <w:rPr>
          <w:color w:val="auto"/>
          <w:szCs w:val="21"/>
          <w:highlight w:val="none"/>
        </w:rPr>
        <w:t>，仅作为</w:t>
      </w:r>
      <w:r>
        <w:rPr>
          <w:rFonts w:hint="eastAsia"/>
          <w:color w:val="auto"/>
          <w:szCs w:val="21"/>
          <w:highlight w:val="none"/>
        </w:rPr>
        <w:t>报价</w:t>
      </w:r>
      <w:r>
        <w:rPr>
          <w:color w:val="auto"/>
          <w:szCs w:val="21"/>
          <w:highlight w:val="none"/>
        </w:rPr>
        <w:t>的共同基础，不作为最终结算与支付的依据。</w:t>
      </w:r>
    </w:p>
    <w:p w14:paraId="76DAB6B5">
      <w:pPr>
        <w:spacing w:line="360" w:lineRule="auto"/>
        <w:ind w:left="735" w:leftChars="200" w:hanging="315" w:hangingChars="150"/>
        <w:rPr>
          <w:color w:val="auto"/>
          <w:szCs w:val="21"/>
          <w:highlight w:val="none"/>
        </w:rPr>
      </w:pPr>
      <w:r>
        <w:rPr>
          <w:rFonts w:hint="eastAsia"/>
          <w:color w:val="auto"/>
          <w:szCs w:val="21"/>
          <w:highlight w:val="none"/>
        </w:rPr>
        <w:t>2</w:t>
      </w:r>
      <w:r>
        <w:rPr>
          <w:color w:val="auto"/>
          <w:szCs w:val="21"/>
          <w:highlight w:val="none"/>
        </w:rPr>
        <w:t>.2实际支付应</w:t>
      </w:r>
      <w:r>
        <w:rPr>
          <w:rFonts w:hint="eastAsia"/>
          <w:color w:val="auto"/>
          <w:szCs w:val="21"/>
          <w:highlight w:val="none"/>
        </w:rPr>
        <w:t>以</w:t>
      </w:r>
      <w:r>
        <w:rPr>
          <w:color w:val="auto"/>
          <w:szCs w:val="21"/>
          <w:highlight w:val="none"/>
        </w:rPr>
        <w:t>承包人实际完成的工程量，按合同约定的计量方法和计量规则，经</w:t>
      </w:r>
      <w:r>
        <w:rPr>
          <w:rFonts w:hint="eastAsia"/>
          <w:color w:val="auto"/>
          <w:szCs w:val="21"/>
          <w:highlight w:val="none"/>
        </w:rPr>
        <w:t>采购</w:t>
      </w:r>
      <w:r>
        <w:rPr>
          <w:color w:val="auto"/>
          <w:szCs w:val="21"/>
          <w:highlight w:val="none"/>
        </w:rPr>
        <w:t>人认可或同意为准。</w:t>
      </w:r>
    </w:p>
    <w:p w14:paraId="3FA04048">
      <w:pPr>
        <w:pStyle w:val="53"/>
        <w:spacing w:before="120"/>
        <w:rPr>
          <w:rStyle w:val="46"/>
          <w:rFonts w:ascii="Times New Roman" w:hAnsi="Times New Roman" w:eastAsia="宋体" w:cs="Times New Roman"/>
          <w:b/>
          <w:bCs w:val="0"/>
          <w:color w:val="auto"/>
          <w:szCs w:val="24"/>
          <w:highlight w:val="none"/>
        </w:rPr>
      </w:pPr>
      <w:bookmarkStart w:id="1773" w:name="_Toc53946167"/>
      <w:bookmarkStart w:id="1774" w:name="_Toc54281179"/>
      <w:bookmarkStart w:id="1775" w:name="_Toc144872163"/>
      <w:bookmarkStart w:id="1776" w:name="_Toc54280327"/>
      <w:bookmarkStart w:id="1777" w:name="_Toc53949564"/>
      <w:bookmarkStart w:id="1778" w:name="_Toc53916583"/>
      <w:bookmarkStart w:id="1779" w:name="_Toc20578218"/>
      <w:bookmarkStart w:id="1780" w:name="_Toc54280753"/>
      <w:bookmarkStart w:id="1781" w:name="_Toc53939964"/>
      <w:bookmarkStart w:id="1782" w:name="_Toc53919181"/>
      <w:bookmarkStart w:id="1783" w:name="_Toc53948722"/>
      <w:bookmarkStart w:id="1784" w:name="_Toc53936893"/>
      <w:bookmarkStart w:id="1785" w:name="_Toc54281605"/>
      <w:bookmarkStart w:id="1786" w:name="_Toc145499817"/>
      <w:bookmarkStart w:id="1787" w:name="_Toc54291509"/>
      <w:bookmarkStart w:id="1788" w:name="_Toc53949143"/>
      <w:bookmarkStart w:id="1789" w:name="_Toc54278944"/>
      <w:r>
        <w:rPr>
          <w:rStyle w:val="46"/>
          <w:rFonts w:hint="eastAsia" w:ascii="Times New Roman" w:hAnsi="Times New Roman" w:eastAsia="宋体" w:cs="Times New Roman"/>
          <w:b/>
          <w:bCs w:val="0"/>
          <w:color w:val="auto"/>
          <w:szCs w:val="24"/>
          <w:highlight w:val="none"/>
        </w:rPr>
        <w:t>3</w:t>
      </w:r>
      <w:r>
        <w:rPr>
          <w:rStyle w:val="46"/>
          <w:rFonts w:ascii="Times New Roman" w:hAnsi="Times New Roman" w:eastAsia="宋体" w:cs="Times New Roman"/>
          <w:b/>
          <w:bCs w:val="0"/>
          <w:color w:val="auto"/>
          <w:szCs w:val="24"/>
          <w:highlight w:val="none"/>
        </w:rPr>
        <w:t>.计量规则</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14:paraId="01CECDD2">
      <w:pPr>
        <w:spacing w:line="360" w:lineRule="auto"/>
        <w:ind w:left="735" w:leftChars="200" w:hanging="315" w:hangingChars="150"/>
        <w:rPr>
          <w:color w:val="auto"/>
          <w:szCs w:val="21"/>
          <w:highlight w:val="none"/>
        </w:rPr>
      </w:pPr>
      <w:bookmarkStart w:id="1790" w:name="_Toc38359629"/>
      <w:bookmarkStart w:id="1791" w:name="_Toc41820523"/>
      <w:bookmarkStart w:id="1792" w:name="_Toc53936894"/>
      <w:bookmarkStart w:id="1793" w:name="_Toc53919182"/>
      <w:bookmarkStart w:id="1794" w:name="_Toc53939965"/>
      <w:bookmarkStart w:id="1795" w:name="_Toc20578219"/>
      <w:bookmarkStart w:id="1796" w:name="_Toc53916584"/>
      <w:r>
        <w:rPr>
          <w:rFonts w:hint="eastAsia"/>
          <w:color w:val="auto"/>
          <w:szCs w:val="21"/>
          <w:highlight w:val="none"/>
        </w:rPr>
        <w:t>3</w:t>
      </w:r>
      <w:r>
        <w:rPr>
          <w:color w:val="auto"/>
          <w:szCs w:val="21"/>
          <w:highlight w:val="none"/>
        </w:rPr>
        <w:t>.1计量工作应按合同条款约定的程序进行，所计量的分部分项工程质量必须达到合同约定及国家现行规范要求。</w:t>
      </w:r>
    </w:p>
    <w:p w14:paraId="75BAA596">
      <w:pPr>
        <w:spacing w:line="360" w:lineRule="auto"/>
        <w:ind w:left="735" w:leftChars="200" w:hanging="315" w:hangingChars="150"/>
        <w:rPr>
          <w:color w:val="auto"/>
          <w:szCs w:val="21"/>
          <w:highlight w:val="none"/>
        </w:rPr>
      </w:pPr>
      <w:r>
        <w:rPr>
          <w:rFonts w:hint="eastAsia"/>
          <w:color w:val="auto"/>
          <w:szCs w:val="21"/>
          <w:highlight w:val="none"/>
        </w:rPr>
        <w:t>3</w:t>
      </w:r>
      <w:r>
        <w:rPr>
          <w:color w:val="auto"/>
          <w:szCs w:val="21"/>
          <w:highlight w:val="none"/>
        </w:rPr>
        <w:t>.2各工程项目中已包括的所有材料</w:t>
      </w:r>
      <w:r>
        <w:rPr>
          <w:rFonts w:hint="eastAsia"/>
          <w:color w:val="auto"/>
          <w:szCs w:val="21"/>
          <w:highlight w:val="none"/>
        </w:rPr>
        <w:t>（</w:t>
      </w:r>
      <w:r>
        <w:rPr>
          <w:color w:val="auto"/>
          <w:szCs w:val="21"/>
          <w:highlight w:val="none"/>
        </w:rPr>
        <w:t>包括钢筋搭接</w:t>
      </w:r>
      <w:r>
        <w:rPr>
          <w:rFonts w:hint="eastAsia"/>
          <w:color w:val="auto"/>
          <w:szCs w:val="21"/>
          <w:highlight w:val="none"/>
        </w:rPr>
        <w:t>）</w:t>
      </w:r>
      <w:r>
        <w:rPr>
          <w:color w:val="auto"/>
          <w:szCs w:val="21"/>
          <w:highlight w:val="none"/>
        </w:rPr>
        <w:t>及工作损耗均不单独计量</w:t>
      </w:r>
      <w:r>
        <w:rPr>
          <w:rFonts w:hint="eastAsia"/>
          <w:color w:val="auto"/>
          <w:szCs w:val="21"/>
          <w:highlight w:val="none"/>
        </w:rPr>
        <w:t>，应综合考虑在报价的单价中</w:t>
      </w:r>
      <w:r>
        <w:rPr>
          <w:color w:val="auto"/>
          <w:szCs w:val="21"/>
          <w:highlight w:val="none"/>
        </w:rPr>
        <w:t>。</w:t>
      </w:r>
    </w:p>
    <w:bookmarkEnd w:id="1790"/>
    <w:bookmarkEnd w:id="1791"/>
    <w:p w14:paraId="146F6375">
      <w:pPr>
        <w:pStyle w:val="53"/>
        <w:spacing w:before="120"/>
        <w:rPr>
          <w:rStyle w:val="46"/>
          <w:rFonts w:ascii="Times New Roman" w:hAnsi="Times New Roman" w:eastAsia="宋体" w:cs="Times New Roman"/>
          <w:b/>
          <w:bCs w:val="0"/>
          <w:color w:val="auto"/>
          <w:szCs w:val="24"/>
          <w:highlight w:val="none"/>
        </w:rPr>
      </w:pPr>
      <w:bookmarkStart w:id="1797" w:name="_Toc53949144"/>
      <w:bookmarkStart w:id="1798" w:name="_Toc54291510"/>
      <w:bookmarkStart w:id="1799" w:name="_Toc145499818"/>
      <w:bookmarkStart w:id="1800" w:name="_Toc54278945"/>
      <w:bookmarkStart w:id="1801" w:name="_Toc53946168"/>
      <w:bookmarkStart w:id="1802" w:name="_Toc53948723"/>
      <w:bookmarkStart w:id="1803" w:name="_Toc54281606"/>
      <w:bookmarkStart w:id="1804" w:name="_Toc54281180"/>
      <w:bookmarkStart w:id="1805" w:name="_Toc54280754"/>
      <w:bookmarkStart w:id="1806" w:name="_Toc53949565"/>
      <w:bookmarkStart w:id="1807" w:name="_Toc144872164"/>
      <w:bookmarkStart w:id="1808" w:name="_Toc54280328"/>
      <w:r>
        <w:rPr>
          <w:rStyle w:val="46"/>
          <w:rFonts w:hint="eastAsia" w:ascii="Times New Roman" w:hAnsi="Times New Roman" w:eastAsia="宋体" w:cs="Times New Roman"/>
          <w:b/>
          <w:bCs w:val="0"/>
          <w:color w:val="auto"/>
          <w:szCs w:val="24"/>
          <w:highlight w:val="none"/>
        </w:rPr>
        <w:t>4</w:t>
      </w:r>
      <w:r>
        <w:rPr>
          <w:rStyle w:val="46"/>
          <w:rFonts w:ascii="Times New Roman" w:hAnsi="Times New Roman" w:eastAsia="宋体" w:cs="Times New Roman"/>
          <w:b/>
          <w:bCs w:val="0"/>
          <w:color w:val="auto"/>
          <w:szCs w:val="24"/>
          <w:highlight w:val="none"/>
        </w:rPr>
        <w:t>.计量精度</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14:paraId="10474291">
      <w:pPr>
        <w:spacing w:line="360" w:lineRule="auto"/>
        <w:ind w:left="735" w:leftChars="200" w:hanging="315" w:hangingChars="150"/>
        <w:rPr>
          <w:color w:val="auto"/>
          <w:szCs w:val="21"/>
          <w:highlight w:val="none"/>
        </w:rPr>
      </w:pPr>
      <w:r>
        <w:rPr>
          <w:rFonts w:hint="eastAsia"/>
          <w:color w:val="auto"/>
          <w:szCs w:val="21"/>
          <w:highlight w:val="none"/>
        </w:rPr>
        <w:t>4</w:t>
      </w:r>
      <w:r>
        <w:rPr>
          <w:color w:val="auto"/>
          <w:szCs w:val="21"/>
          <w:highlight w:val="none"/>
        </w:rPr>
        <w:t>.</w:t>
      </w:r>
      <w:r>
        <w:rPr>
          <w:rFonts w:hint="eastAsia"/>
          <w:color w:val="auto"/>
          <w:szCs w:val="21"/>
          <w:highlight w:val="none"/>
        </w:rPr>
        <w:t>1</w:t>
      </w:r>
      <w:r>
        <w:rPr>
          <w:color w:val="auto"/>
          <w:szCs w:val="21"/>
          <w:highlight w:val="none"/>
        </w:rPr>
        <w:t>单价精确到人民币“分”。</w:t>
      </w:r>
    </w:p>
    <w:p w14:paraId="18D17DF5">
      <w:pPr>
        <w:spacing w:line="360" w:lineRule="auto"/>
        <w:ind w:left="735" w:leftChars="200" w:hanging="315" w:hangingChars="150"/>
        <w:rPr>
          <w:color w:val="auto"/>
          <w:szCs w:val="21"/>
          <w:highlight w:val="none"/>
        </w:rPr>
      </w:pPr>
      <w:r>
        <w:rPr>
          <w:rFonts w:hint="eastAsia"/>
          <w:color w:val="auto"/>
          <w:szCs w:val="21"/>
          <w:highlight w:val="none"/>
        </w:rPr>
        <w:t>4</w:t>
      </w:r>
      <w:r>
        <w:rPr>
          <w:color w:val="auto"/>
          <w:szCs w:val="21"/>
          <w:highlight w:val="none"/>
        </w:rPr>
        <w:t>.</w:t>
      </w:r>
      <w:r>
        <w:rPr>
          <w:rFonts w:hint="eastAsia"/>
          <w:color w:val="auto"/>
          <w:szCs w:val="21"/>
          <w:highlight w:val="none"/>
        </w:rPr>
        <w:t>2</w:t>
      </w:r>
      <w:r>
        <w:rPr>
          <w:color w:val="auto"/>
          <w:szCs w:val="21"/>
          <w:highlight w:val="none"/>
        </w:rPr>
        <w:t>合价</w:t>
      </w:r>
      <w:r>
        <w:rPr>
          <w:rFonts w:hint="eastAsia"/>
          <w:color w:val="auto"/>
          <w:szCs w:val="21"/>
          <w:highlight w:val="none"/>
        </w:rPr>
        <w:t>（</w:t>
      </w:r>
      <w:r>
        <w:rPr>
          <w:color w:val="auto"/>
          <w:szCs w:val="21"/>
          <w:highlight w:val="none"/>
        </w:rPr>
        <w:t>工程数量与单价的乘积</w:t>
      </w:r>
      <w:r>
        <w:rPr>
          <w:rFonts w:hint="eastAsia"/>
          <w:color w:val="auto"/>
          <w:szCs w:val="21"/>
          <w:highlight w:val="none"/>
        </w:rPr>
        <w:t>）</w:t>
      </w:r>
      <w:r>
        <w:rPr>
          <w:color w:val="auto"/>
          <w:szCs w:val="21"/>
          <w:highlight w:val="none"/>
        </w:rPr>
        <w:t>精确到人民币“元”。</w:t>
      </w:r>
    </w:p>
    <w:p w14:paraId="17CA8889">
      <w:pPr>
        <w:pStyle w:val="3"/>
        <w:spacing w:before="240" w:beforeLines="100" w:after="120" w:afterLines="50" w:line="360" w:lineRule="auto"/>
        <w:jc w:val="center"/>
        <w:rPr>
          <w:rStyle w:val="46"/>
          <w:rFonts w:ascii="Times New Roman" w:hAnsi="Times New Roman" w:eastAsia="宋体"/>
          <w:b/>
          <w:bCs/>
          <w:color w:val="auto"/>
          <w:sz w:val="28"/>
          <w:szCs w:val="28"/>
          <w:highlight w:val="none"/>
        </w:rPr>
        <w:sectPr>
          <w:headerReference r:id="rId15" w:type="default"/>
          <w:pgSz w:w="11907" w:h="16840"/>
          <w:pgMar w:top="1417" w:right="1701" w:bottom="1417" w:left="1701" w:header="850" w:footer="1134" w:gutter="0"/>
          <w:pgNumType w:fmt="decimal"/>
          <w:cols w:space="0" w:num="1"/>
          <w:rtlGutter w:val="0"/>
          <w:docGrid w:linePitch="312" w:charSpace="0"/>
        </w:sectPr>
      </w:pPr>
      <w:bookmarkStart w:id="1809" w:name="_Toc284135619"/>
    </w:p>
    <w:p w14:paraId="3E477CAE">
      <w:pPr>
        <w:pStyle w:val="3"/>
        <w:spacing w:before="240" w:beforeLines="100" w:after="120" w:afterLines="50" w:line="360" w:lineRule="auto"/>
        <w:jc w:val="center"/>
        <w:rPr>
          <w:rStyle w:val="46"/>
          <w:rFonts w:ascii="Times New Roman" w:hAnsi="Times New Roman" w:eastAsia="宋体"/>
          <w:b/>
          <w:bCs w:val="0"/>
          <w:color w:val="auto"/>
          <w:sz w:val="32"/>
          <w:highlight w:val="none"/>
        </w:rPr>
      </w:pPr>
      <w:r>
        <w:rPr>
          <w:rStyle w:val="46"/>
          <w:rFonts w:ascii="Times New Roman" w:hAnsi="Times New Roman" w:eastAsia="宋体"/>
          <w:b/>
          <w:bCs w:val="0"/>
          <w:color w:val="auto"/>
          <w:sz w:val="32"/>
          <w:highlight w:val="none"/>
        </w:rPr>
        <w:t>第</w:t>
      </w:r>
      <w:r>
        <w:rPr>
          <w:rStyle w:val="46"/>
          <w:rFonts w:hint="eastAsia" w:ascii="Times New Roman" w:hAnsi="Times New Roman" w:eastAsia="宋体"/>
          <w:b/>
          <w:bCs w:val="0"/>
          <w:color w:val="auto"/>
          <w:sz w:val="32"/>
          <w:highlight w:val="none"/>
        </w:rPr>
        <w:t>二</w:t>
      </w:r>
      <w:r>
        <w:rPr>
          <w:rStyle w:val="46"/>
          <w:rFonts w:ascii="Times New Roman" w:hAnsi="Times New Roman" w:eastAsia="宋体"/>
          <w:b/>
          <w:bCs w:val="0"/>
          <w:color w:val="auto"/>
          <w:sz w:val="32"/>
          <w:highlight w:val="none"/>
        </w:rPr>
        <w:t>章  工程量清单</w:t>
      </w:r>
      <w:bookmarkEnd w:id="1809"/>
    </w:p>
    <w:p w14:paraId="5786E75E">
      <w:pPr>
        <w:pStyle w:val="3"/>
        <w:spacing w:before="240" w:beforeLines="100" w:after="120" w:afterLines="50" w:line="360" w:lineRule="auto"/>
        <w:rPr>
          <w:rStyle w:val="46"/>
          <w:rFonts w:ascii="Times New Roman" w:hAnsi="Times New Roman" w:eastAsia="宋体"/>
          <w:b w:val="0"/>
          <w:bCs w:val="0"/>
          <w:color w:val="auto"/>
          <w:szCs w:val="24"/>
          <w:highlight w:val="none"/>
        </w:rPr>
      </w:pPr>
      <w:bookmarkStart w:id="1810" w:name="OLE_LINK3"/>
      <w:r>
        <w:rPr>
          <w:rStyle w:val="46"/>
          <w:rFonts w:hint="eastAsia" w:ascii="Times New Roman" w:hAnsi="Times New Roman" w:eastAsia="宋体"/>
          <w:b/>
          <w:bCs w:val="0"/>
          <w:color w:val="auto"/>
          <w:szCs w:val="24"/>
          <w:highlight w:val="none"/>
        </w:rPr>
        <w:t>5</w:t>
      </w:r>
      <w:r>
        <w:rPr>
          <w:rStyle w:val="46"/>
          <w:rFonts w:ascii="Times New Roman" w:hAnsi="Times New Roman" w:eastAsia="宋体"/>
          <w:b/>
          <w:bCs w:val="0"/>
          <w:color w:val="auto"/>
          <w:szCs w:val="24"/>
          <w:highlight w:val="none"/>
        </w:rPr>
        <w:t>.工程量清单</w:t>
      </w:r>
      <w:r>
        <w:rPr>
          <w:rStyle w:val="46"/>
          <w:rFonts w:hint="eastAsia" w:ascii="Times New Roman" w:hAnsi="Times New Roman" w:eastAsia="宋体"/>
          <w:b w:val="0"/>
          <w:bCs w:val="0"/>
          <w:color w:val="auto"/>
          <w:szCs w:val="24"/>
          <w:highlight w:val="none"/>
        </w:rPr>
        <w:t>（各项目按此格式编制，必须为excel格式）</w:t>
      </w:r>
    </w:p>
    <w:p w14:paraId="6D66D7EA">
      <w:pPr>
        <w:spacing w:line="360" w:lineRule="auto"/>
        <w:ind w:left="422" w:hanging="422" w:hangingChars="150"/>
        <w:jc w:val="center"/>
        <w:rPr>
          <w:b/>
          <w:bCs/>
          <w:color w:val="auto"/>
          <w:sz w:val="28"/>
          <w:szCs w:val="28"/>
          <w:highlight w:val="none"/>
        </w:rPr>
      </w:pPr>
      <w:r>
        <w:rPr>
          <w:rFonts w:hint="eastAsia"/>
          <w:b/>
          <w:bCs/>
          <w:color w:val="auto"/>
          <w:sz w:val="28"/>
          <w:szCs w:val="28"/>
          <w:highlight w:val="none"/>
        </w:rPr>
        <w:t>XX工程量清单</w:t>
      </w:r>
    </w:p>
    <w:p w14:paraId="1D7612E3">
      <w:pPr>
        <w:spacing w:line="360" w:lineRule="auto"/>
        <w:rPr>
          <w:b/>
          <w:bCs/>
          <w:color w:val="auto"/>
          <w:szCs w:val="21"/>
          <w:highlight w:val="none"/>
        </w:rPr>
      </w:pPr>
      <w:r>
        <w:rPr>
          <w:rFonts w:hint="eastAsia"/>
          <w:b/>
          <w:bCs/>
          <w:color w:val="auto"/>
          <w:szCs w:val="21"/>
          <w:highlight w:val="none"/>
        </w:rPr>
        <w:t>工程名称：</w:t>
      </w:r>
    </w:p>
    <w:bookmarkEnd w:id="1810"/>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8"/>
        <w:gridCol w:w="546"/>
        <w:gridCol w:w="603"/>
        <w:gridCol w:w="546"/>
        <w:gridCol w:w="409"/>
        <w:gridCol w:w="409"/>
        <w:gridCol w:w="603"/>
        <w:gridCol w:w="796"/>
        <w:gridCol w:w="409"/>
        <w:gridCol w:w="409"/>
        <w:gridCol w:w="796"/>
        <w:gridCol w:w="796"/>
        <w:gridCol w:w="603"/>
        <w:gridCol w:w="603"/>
        <w:gridCol w:w="559"/>
      </w:tblGrid>
      <w:tr w14:paraId="1862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3" w:type="pct"/>
            <w:vMerge w:val="restart"/>
            <w:vAlign w:val="center"/>
          </w:tcPr>
          <w:p w14:paraId="55BF5113">
            <w:pPr>
              <w:jc w:val="center"/>
              <w:rPr>
                <w:b/>
                <w:color w:val="auto"/>
                <w:szCs w:val="21"/>
                <w:highlight w:val="none"/>
              </w:rPr>
            </w:pPr>
            <w:r>
              <w:rPr>
                <w:rFonts w:hint="eastAsia"/>
                <w:b/>
                <w:color w:val="auto"/>
                <w:szCs w:val="21"/>
                <w:highlight w:val="none"/>
              </w:rPr>
              <w:t>序号</w:t>
            </w:r>
          </w:p>
        </w:tc>
        <w:tc>
          <w:tcPr>
            <w:tcW w:w="365" w:type="pct"/>
            <w:vMerge w:val="restart"/>
            <w:vAlign w:val="center"/>
          </w:tcPr>
          <w:p w14:paraId="2796321A">
            <w:pPr>
              <w:jc w:val="center"/>
              <w:rPr>
                <w:b/>
                <w:color w:val="auto"/>
                <w:szCs w:val="21"/>
                <w:highlight w:val="none"/>
              </w:rPr>
            </w:pPr>
            <w:r>
              <w:rPr>
                <w:rFonts w:hint="eastAsia"/>
                <w:b/>
                <w:color w:val="auto"/>
                <w:szCs w:val="21"/>
                <w:highlight w:val="none"/>
              </w:rPr>
              <w:t>清单项目</w:t>
            </w:r>
          </w:p>
        </w:tc>
        <w:tc>
          <w:tcPr>
            <w:tcW w:w="470" w:type="pct"/>
            <w:vMerge w:val="restart"/>
            <w:vAlign w:val="center"/>
          </w:tcPr>
          <w:p w14:paraId="480CCE03">
            <w:pPr>
              <w:jc w:val="center"/>
              <w:rPr>
                <w:b/>
                <w:color w:val="auto"/>
                <w:szCs w:val="21"/>
                <w:highlight w:val="none"/>
              </w:rPr>
            </w:pPr>
            <w:r>
              <w:rPr>
                <w:rFonts w:hint="eastAsia"/>
                <w:b/>
                <w:color w:val="auto"/>
                <w:szCs w:val="21"/>
                <w:highlight w:val="none"/>
              </w:rPr>
              <w:t>项目特征（按需填写）</w:t>
            </w:r>
          </w:p>
        </w:tc>
        <w:tc>
          <w:tcPr>
            <w:tcW w:w="472" w:type="pct"/>
            <w:vMerge w:val="restart"/>
            <w:vAlign w:val="center"/>
          </w:tcPr>
          <w:p w14:paraId="2E481644">
            <w:pPr>
              <w:jc w:val="center"/>
              <w:rPr>
                <w:b/>
                <w:color w:val="auto"/>
                <w:szCs w:val="21"/>
                <w:highlight w:val="none"/>
              </w:rPr>
            </w:pPr>
            <w:r>
              <w:rPr>
                <w:rFonts w:hint="eastAsia"/>
                <w:b/>
                <w:color w:val="auto"/>
                <w:szCs w:val="21"/>
                <w:highlight w:val="none"/>
              </w:rPr>
              <w:t>工作内容</w:t>
            </w:r>
          </w:p>
        </w:tc>
        <w:tc>
          <w:tcPr>
            <w:tcW w:w="280" w:type="pct"/>
            <w:vMerge w:val="restart"/>
            <w:vAlign w:val="center"/>
          </w:tcPr>
          <w:p w14:paraId="1E8B0BFE">
            <w:pPr>
              <w:jc w:val="center"/>
              <w:rPr>
                <w:b/>
                <w:color w:val="auto"/>
                <w:szCs w:val="21"/>
                <w:highlight w:val="none"/>
              </w:rPr>
            </w:pPr>
            <w:r>
              <w:rPr>
                <w:rFonts w:hint="eastAsia"/>
                <w:b/>
                <w:color w:val="auto"/>
                <w:szCs w:val="21"/>
                <w:highlight w:val="none"/>
              </w:rPr>
              <w:t>工程量计算规则</w:t>
            </w:r>
          </w:p>
        </w:tc>
        <w:tc>
          <w:tcPr>
            <w:tcW w:w="233" w:type="pct"/>
            <w:vMerge w:val="restart"/>
            <w:vAlign w:val="center"/>
          </w:tcPr>
          <w:p w14:paraId="5757C838">
            <w:pPr>
              <w:jc w:val="center"/>
              <w:rPr>
                <w:b/>
                <w:color w:val="auto"/>
                <w:szCs w:val="21"/>
                <w:highlight w:val="none"/>
              </w:rPr>
            </w:pPr>
            <w:r>
              <w:rPr>
                <w:rFonts w:hint="eastAsia"/>
                <w:b/>
                <w:color w:val="auto"/>
                <w:szCs w:val="21"/>
                <w:highlight w:val="none"/>
              </w:rPr>
              <w:t>计量单位</w:t>
            </w:r>
          </w:p>
        </w:tc>
        <w:tc>
          <w:tcPr>
            <w:tcW w:w="277" w:type="pct"/>
            <w:vMerge w:val="restart"/>
            <w:vAlign w:val="center"/>
          </w:tcPr>
          <w:p w14:paraId="5DA8E7FB">
            <w:pPr>
              <w:jc w:val="center"/>
              <w:rPr>
                <w:b/>
                <w:color w:val="auto"/>
                <w:szCs w:val="21"/>
                <w:highlight w:val="none"/>
              </w:rPr>
            </w:pPr>
            <w:r>
              <w:rPr>
                <w:rFonts w:hint="eastAsia"/>
                <w:b/>
                <w:color w:val="auto"/>
                <w:szCs w:val="21"/>
                <w:highlight w:val="none"/>
              </w:rPr>
              <w:t>工程量</w:t>
            </w:r>
          </w:p>
          <w:p w14:paraId="33D867A5">
            <w:pPr>
              <w:jc w:val="center"/>
              <w:rPr>
                <w:b/>
                <w:color w:val="auto"/>
                <w:szCs w:val="21"/>
                <w:highlight w:val="none"/>
              </w:rPr>
            </w:pPr>
            <w:r>
              <w:rPr>
                <w:rFonts w:hint="eastAsia"/>
                <w:b/>
                <w:color w:val="auto"/>
                <w:szCs w:val="21"/>
                <w:highlight w:val="none"/>
              </w:rPr>
              <w:t>（暂估）</w:t>
            </w:r>
          </w:p>
        </w:tc>
        <w:tc>
          <w:tcPr>
            <w:tcW w:w="778" w:type="pct"/>
            <w:gridSpan w:val="3"/>
            <w:vAlign w:val="center"/>
          </w:tcPr>
          <w:p w14:paraId="100CE828">
            <w:pPr>
              <w:jc w:val="center"/>
              <w:rPr>
                <w:b/>
                <w:color w:val="auto"/>
                <w:szCs w:val="21"/>
                <w:highlight w:val="none"/>
              </w:rPr>
            </w:pPr>
            <w:r>
              <w:rPr>
                <w:rFonts w:hint="eastAsia"/>
                <w:b/>
                <w:color w:val="auto"/>
                <w:szCs w:val="21"/>
                <w:highlight w:val="none"/>
              </w:rPr>
              <w:t>单价</w:t>
            </w:r>
          </w:p>
        </w:tc>
        <w:tc>
          <w:tcPr>
            <w:tcW w:w="299" w:type="pct"/>
            <w:vMerge w:val="restart"/>
            <w:vAlign w:val="center"/>
          </w:tcPr>
          <w:p w14:paraId="5A32F762">
            <w:pPr>
              <w:jc w:val="center"/>
              <w:rPr>
                <w:b/>
                <w:color w:val="auto"/>
                <w:szCs w:val="21"/>
                <w:highlight w:val="none"/>
              </w:rPr>
            </w:pPr>
            <w:r>
              <w:rPr>
                <w:rFonts w:hint="eastAsia"/>
                <w:b/>
                <w:color w:val="auto"/>
                <w:szCs w:val="21"/>
                <w:highlight w:val="none"/>
              </w:rPr>
              <w:t>不含增值税合价</w:t>
            </w:r>
          </w:p>
          <w:p w14:paraId="704954EC">
            <w:pPr>
              <w:jc w:val="center"/>
              <w:rPr>
                <w:b/>
                <w:color w:val="auto"/>
                <w:szCs w:val="21"/>
                <w:highlight w:val="none"/>
              </w:rPr>
            </w:pPr>
            <w:r>
              <w:rPr>
                <w:rFonts w:hint="eastAsia"/>
                <w:b/>
                <w:color w:val="auto"/>
                <w:szCs w:val="21"/>
                <w:highlight w:val="none"/>
              </w:rPr>
              <w:t>（元）</w:t>
            </w:r>
          </w:p>
        </w:tc>
        <w:tc>
          <w:tcPr>
            <w:tcW w:w="314" w:type="pct"/>
            <w:vMerge w:val="restart"/>
            <w:vAlign w:val="center"/>
          </w:tcPr>
          <w:p w14:paraId="484BD845">
            <w:pPr>
              <w:jc w:val="center"/>
              <w:rPr>
                <w:b/>
                <w:color w:val="auto"/>
                <w:szCs w:val="21"/>
                <w:highlight w:val="none"/>
              </w:rPr>
            </w:pPr>
            <w:r>
              <w:rPr>
                <w:rFonts w:hint="eastAsia"/>
                <w:b/>
                <w:color w:val="auto"/>
                <w:szCs w:val="21"/>
                <w:highlight w:val="none"/>
              </w:rPr>
              <w:t>含增值税合价</w:t>
            </w:r>
          </w:p>
          <w:p w14:paraId="20B4B6B2">
            <w:pPr>
              <w:jc w:val="center"/>
              <w:rPr>
                <w:b/>
                <w:color w:val="auto"/>
                <w:szCs w:val="21"/>
                <w:highlight w:val="none"/>
              </w:rPr>
            </w:pPr>
            <w:r>
              <w:rPr>
                <w:rFonts w:hint="eastAsia"/>
                <w:b/>
                <w:color w:val="auto"/>
                <w:szCs w:val="21"/>
                <w:highlight w:val="none"/>
              </w:rPr>
              <w:t>（元）</w:t>
            </w:r>
          </w:p>
        </w:tc>
        <w:tc>
          <w:tcPr>
            <w:tcW w:w="431" w:type="pct"/>
            <w:vMerge w:val="restart"/>
            <w:vAlign w:val="center"/>
          </w:tcPr>
          <w:p w14:paraId="4FD18628">
            <w:pPr>
              <w:jc w:val="center"/>
              <w:rPr>
                <w:b/>
                <w:color w:val="auto"/>
                <w:szCs w:val="21"/>
                <w:highlight w:val="none"/>
              </w:rPr>
            </w:pPr>
            <w:r>
              <w:rPr>
                <w:rFonts w:hint="eastAsia"/>
                <w:b/>
                <w:color w:val="auto"/>
                <w:szCs w:val="21"/>
                <w:highlight w:val="none"/>
              </w:rPr>
              <w:t>其中人工费单价（含税）</w:t>
            </w:r>
          </w:p>
        </w:tc>
        <w:tc>
          <w:tcPr>
            <w:tcW w:w="431" w:type="pct"/>
            <w:vMerge w:val="restart"/>
            <w:vAlign w:val="center"/>
          </w:tcPr>
          <w:p w14:paraId="34148EEA">
            <w:pPr>
              <w:jc w:val="center"/>
              <w:rPr>
                <w:b/>
                <w:color w:val="auto"/>
                <w:szCs w:val="21"/>
                <w:highlight w:val="none"/>
              </w:rPr>
            </w:pPr>
            <w:r>
              <w:rPr>
                <w:rFonts w:hint="eastAsia"/>
                <w:b/>
                <w:color w:val="auto"/>
                <w:szCs w:val="21"/>
                <w:highlight w:val="none"/>
              </w:rPr>
              <w:t>其中人工费合价（含税）</w:t>
            </w:r>
          </w:p>
        </w:tc>
        <w:tc>
          <w:tcPr>
            <w:tcW w:w="458" w:type="pct"/>
            <w:vMerge w:val="restart"/>
            <w:vAlign w:val="center"/>
          </w:tcPr>
          <w:p w14:paraId="13BB6D72">
            <w:pPr>
              <w:jc w:val="center"/>
              <w:rPr>
                <w:b/>
                <w:color w:val="auto"/>
                <w:szCs w:val="21"/>
                <w:highlight w:val="none"/>
              </w:rPr>
            </w:pPr>
            <w:r>
              <w:rPr>
                <w:rFonts w:hint="eastAsia"/>
                <w:b/>
                <w:color w:val="auto"/>
                <w:szCs w:val="21"/>
                <w:highlight w:val="none"/>
              </w:rPr>
              <w:t>备注</w:t>
            </w:r>
          </w:p>
        </w:tc>
      </w:tr>
      <w:tr w14:paraId="1931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93" w:type="pct"/>
            <w:vMerge w:val="continue"/>
            <w:vAlign w:val="center"/>
          </w:tcPr>
          <w:p w14:paraId="0FD6CA93">
            <w:pPr>
              <w:jc w:val="center"/>
              <w:rPr>
                <w:color w:val="auto"/>
                <w:szCs w:val="21"/>
                <w:highlight w:val="none"/>
              </w:rPr>
            </w:pPr>
          </w:p>
        </w:tc>
        <w:tc>
          <w:tcPr>
            <w:tcW w:w="365" w:type="pct"/>
            <w:vMerge w:val="continue"/>
            <w:vAlign w:val="center"/>
          </w:tcPr>
          <w:p w14:paraId="3E262353">
            <w:pPr>
              <w:jc w:val="center"/>
              <w:rPr>
                <w:color w:val="auto"/>
                <w:szCs w:val="21"/>
                <w:highlight w:val="none"/>
              </w:rPr>
            </w:pPr>
          </w:p>
        </w:tc>
        <w:tc>
          <w:tcPr>
            <w:tcW w:w="470" w:type="pct"/>
            <w:vMerge w:val="continue"/>
            <w:vAlign w:val="center"/>
          </w:tcPr>
          <w:p w14:paraId="5825EA49">
            <w:pPr>
              <w:jc w:val="center"/>
              <w:rPr>
                <w:color w:val="auto"/>
                <w:szCs w:val="21"/>
                <w:highlight w:val="none"/>
              </w:rPr>
            </w:pPr>
          </w:p>
        </w:tc>
        <w:tc>
          <w:tcPr>
            <w:tcW w:w="472" w:type="pct"/>
            <w:vMerge w:val="continue"/>
            <w:vAlign w:val="center"/>
          </w:tcPr>
          <w:p w14:paraId="4199E922">
            <w:pPr>
              <w:jc w:val="center"/>
              <w:rPr>
                <w:color w:val="auto"/>
                <w:szCs w:val="21"/>
                <w:highlight w:val="none"/>
              </w:rPr>
            </w:pPr>
          </w:p>
        </w:tc>
        <w:tc>
          <w:tcPr>
            <w:tcW w:w="280" w:type="pct"/>
            <w:vMerge w:val="continue"/>
          </w:tcPr>
          <w:p w14:paraId="4891856F">
            <w:pPr>
              <w:jc w:val="center"/>
              <w:rPr>
                <w:color w:val="auto"/>
                <w:szCs w:val="21"/>
                <w:highlight w:val="none"/>
              </w:rPr>
            </w:pPr>
          </w:p>
        </w:tc>
        <w:tc>
          <w:tcPr>
            <w:tcW w:w="233" w:type="pct"/>
            <w:vMerge w:val="continue"/>
            <w:vAlign w:val="center"/>
          </w:tcPr>
          <w:p w14:paraId="11B8C320">
            <w:pPr>
              <w:jc w:val="center"/>
              <w:rPr>
                <w:color w:val="auto"/>
                <w:szCs w:val="21"/>
                <w:highlight w:val="none"/>
              </w:rPr>
            </w:pPr>
          </w:p>
        </w:tc>
        <w:tc>
          <w:tcPr>
            <w:tcW w:w="277" w:type="pct"/>
            <w:vMerge w:val="continue"/>
            <w:vAlign w:val="center"/>
          </w:tcPr>
          <w:p w14:paraId="78226742">
            <w:pPr>
              <w:jc w:val="center"/>
              <w:rPr>
                <w:color w:val="auto"/>
                <w:szCs w:val="21"/>
                <w:highlight w:val="none"/>
              </w:rPr>
            </w:pPr>
          </w:p>
        </w:tc>
        <w:tc>
          <w:tcPr>
            <w:tcW w:w="333" w:type="pct"/>
            <w:vAlign w:val="center"/>
          </w:tcPr>
          <w:p w14:paraId="5AE03780">
            <w:pPr>
              <w:jc w:val="center"/>
              <w:rPr>
                <w:b/>
                <w:color w:val="auto"/>
                <w:szCs w:val="21"/>
                <w:highlight w:val="none"/>
              </w:rPr>
            </w:pPr>
            <w:r>
              <w:rPr>
                <w:rFonts w:hint="eastAsia"/>
                <w:b/>
                <w:color w:val="auto"/>
                <w:szCs w:val="21"/>
                <w:highlight w:val="none"/>
              </w:rPr>
              <w:t>不含增值税单价</w:t>
            </w:r>
          </w:p>
          <w:p w14:paraId="66BE1253">
            <w:pPr>
              <w:jc w:val="center"/>
              <w:rPr>
                <w:b/>
                <w:color w:val="auto"/>
                <w:szCs w:val="21"/>
                <w:highlight w:val="none"/>
              </w:rPr>
            </w:pPr>
            <w:r>
              <w:rPr>
                <w:rFonts w:hint="eastAsia"/>
                <w:b/>
                <w:color w:val="auto"/>
                <w:szCs w:val="21"/>
                <w:highlight w:val="none"/>
              </w:rPr>
              <w:t>（元）</w:t>
            </w:r>
          </w:p>
        </w:tc>
        <w:tc>
          <w:tcPr>
            <w:tcW w:w="212" w:type="pct"/>
            <w:vAlign w:val="center"/>
          </w:tcPr>
          <w:p w14:paraId="24D1D86A">
            <w:pPr>
              <w:jc w:val="center"/>
              <w:rPr>
                <w:b/>
                <w:color w:val="auto"/>
                <w:szCs w:val="21"/>
                <w:highlight w:val="none"/>
              </w:rPr>
            </w:pPr>
            <w:r>
              <w:rPr>
                <w:rFonts w:hint="eastAsia"/>
                <w:b/>
                <w:color w:val="auto"/>
                <w:szCs w:val="21"/>
                <w:highlight w:val="none"/>
              </w:rPr>
              <w:t>增值税</w:t>
            </w:r>
          </w:p>
        </w:tc>
        <w:tc>
          <w:tcPr>
            <w:tcW w:w="233" w:type="pct"/>
            <w:vAlign w:val="center"/>
          </w:tcPr>
          <w:p w14:paraId="21682151">
            <w:pPr>
              <w:widowControl/>
              <w:jc w:val="left"/>
              <w:rPr>
                <w:b/>
                <w:color w:val="auto"/>
                <w:szCs w:val="21"/>
                <w:highlight w:val="none"/>
              </w:rPr>
            </w:pPr>
            <w:r>
              <w:rPr>
                <w:rFonts w:hint="eastAsia"/>
                <w:b/>
                <w:color w:val="auto"/>
                <w:szCs w:val="21"/>
                <w:highlight w:val="none"/>
              </w:rPr>
              <w:t>合计</w:t>
            </w:r>
          </w:p>
        </w:tc>
        <w:tc>
          <w:tcPr>
            <w:tcW w:w="299" w:type="pct"/>
            <w:vMerge w:val="continue"/>
            <w:vAlign w:val="center"/>
          </w:tcPr>
          <w:p w14:paraId="32D2ECDB">
            <w:pPr>
              <w:jc w:val="center"/>
              <w:rPr>
                <w:color w:val="auto"/>
                <w:szCs w:val="21"/>
                <w:highlight w:val="none"/>
              </w:rPr>
            </w:pPr>
          </w:p>
        </w:tc>
        <w:tc>
          <w:tcPr>
            <w:tcW w:w="314" w:type="pct"/>
            <w:vMerge w:val="continue"/>
            <w:vAlign w:val="center"/>
          </w:tcPr>
          <w:p w14:paraId="60D54B86">
            <w:pPr>
              <w:jc w:val="center"/>
              <w:rPr>
                <w:color w:val="auto"/>
                <w:szCs w:val="21"/>
                <w:highlight w:val="none"/>
              </w:rPr>
            </w:pPr>
          </w:p>
        </w:tc>
        <w:tc>
          <w:tcPr>
            <w:tcW w:w="431" w:type="pct"/>
            <w:vMerge w:val="continue"/>
            <w:vAlign w:val="center"/>
          </w:tcPr>
          <w:p w14:paraId="71BF35D5">
            <w:pPr>
              <w:jc w:val="center"/>
              <w:rPr>
                <w:color w:val="auto"/>
                <w:szCs w:val="21"/>
                <w:highlight w:val="none"/>
              </w:rPr>
            </w:pPr>
          </w:p>
        </w:tc>
        <w:tc>
          <w:tcPr>
            <w:tcW w:w="431" w:type="pct"/>
            <w:vMerge w:val="continue"/>
          </w:tcPr>
          <w:p w14:paraId="4F812AA2">
            <w:pPr>
              <w:jc w:val="center"/>
              <w:rPr>
                <w:color w:val="auto"/>
                <w:szCs w:val="21"/>
                <w:highlight w:val="none"/>
              </w:rPr>
            </w:pPr>
          </w:p>
        </w:tc>
        <w:tc>
          <w:tcPr>
            <w:tcW w:w="458" w:type="pct"/>
            <w:vMerge w:val="continue"/>
            <w:vAlign w:val="center"/>
          </w:tcPr>
          <w:p w14:paraId="294D653D">
            <w:pPr>
              <w:jc w:val="center"/>
              <w:rPr>
                <w:color w:val="auto"/>
                <w:szCs w:val="21"/>
                <w:highlight w:val="none"/>
              </w:rPr>
            </w:pPr>
          </w:p>
        </w:tc>
      </w:tr>
      <w:tr w14:paraId="3689B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93" w:type="pct"/>
            <w:vAlign w:val="center"/>
          </w:tcPr>
          <w:p w14:paraId="21DCC722">
            <w:pPr>
              <w:jc w:val="center"/>
              <w:rPr>
                <w:color w:val="auto"/>
                <w:szCs w:val="21"/>
                <w:highlight w:val="none"/>
              </w:rPr>
            </w:pPr>
          </w:p>
        </w:tc>
        <w:tc>
          <w:tcPr>
            <w:tcW w:w="365" w:type="pct"/>
            <w:vAlign w:val="center"/>
          </w:tcPr>
          <w:p w14:paraId="2DD017F4">
            <w:pPr>
              <w:jc w:val="center"/>
              <w:rPr>
                <w:color w:val="auto"/>
                <w:szCs w:val="21"/>
                <w:highlight w:val="none"/>
              </w:rPr>
            </w:pPr>
          </w:p>
        </w:tc>
        <w:tc>
          <w:tcPr>
            <w:tcW w:w="470" w:type="pct"/>
          </w:tcPr>
          <w:p w14:paraId="2333B2C0">
            <w:pPr>
              <w:jc w:val="center"/>
              <w:rPr>
                <w:color w:val="auto"/>
                <w:szCs w:val="21"/>
                <w:highlight w:val="none"/>
              </w:rPr>
            </w:pPr>
          </w:p>
        </w:tc>
        <w:tc>
          <w:tcPr>
            <w:tcW w:w="472" w:type="pct"/>
            <w:vAlign w:val="center"/>
          </w:tcPr>
          <w:p w14:paraId="115D31B1">
            <w:pPr>
              <w:jc w:val="center"/>
              <w:rPr>
                <w:color w:val="auto"/>
                <w:szCs w:val="21"/>
                <w:highlight w:val="none"/>
              </w:rPr>
            </w:pPr>
          </w:p>
        </w:tc>
        <w:tc>
          <w:tcPr>
            <w:tcW w:w="280" w:type="pct"/>
          </w:tcPr>
          <w:p w14:paraId="3F4800C8">
            <w:pPr>
              <w:jc w:val="center"/>
              <w:rPr>
                <w:color w:val="auto"/>
                <w:szCs w:val="21"/>
                <w:highlight w:val="none"/>
              </w:rPr>
            </w:pPr>
          </w:p>
        </w:tc>
        <w:tc>
          <w:tcPr>
            <w:tcW w:w="233" w:type="pct"/>
            <w:vAlign w:val="center"/>
          </w:tcPr>
          <w:p w14:paraId="4852DC50">
            <w:pPr>
              <w:jc w:val="center"/>
              <w:rPr>
                <w:color w:val="auto"/>
                <w:szCs w:val="21"/>
                <w:highlight w:val="none"/>
              </w:rPr>
            </w:pPr>
          </w:p>
        </w:tc>
        <w:tc>
          <w:tcPr>
            <w:tcW w:w="277" w:type="pct"/>
            <w:vAlign w:val="center"/>
          </w:tcPr>
          <w:p w14:paraId="2DDAB2DE">
            <w:pPr>
              <w:jc w:val="center"/>
              <w:rPr>
                <w:color w:val="auto"/>
                <w:szCs w:val="21"/>
                <w:highlight w:val="none"/>
              </w:rPr>
            </w:pPr>
          </w:p>
        </w:tc>
        <w:tc>
          <w:tcPr>
            <w:tcW w:w="333" w:type="pct"/>
            <w:vAlign w:val="center"/>
          </w:tcPr>
          <w:p w14:paraId="3A0CC544">
            <w:pPr>
              <w:jc w:val="center"/>
              <w:rPr>
                <w:color w:val="auto"/>
                <w:szCs w:val="21"/>
                <w:highlight w:val="none"/>
              </w:rPr>
            </w:pPr>
          </w:p>
        </w:tc>
        <w:tc>
          <w:tcPr>
            <w:tcW w:w="212" w:type="pct"/>
            <w:vAlign w:val="center"/>
          </w:tcPr>
          <w:p w14:paraId="16F89AA5">
            <w:pPr>
              <w:jc w:val="center"/>
              <w:rPr>
                <w:color w:val="auto"/>
                <w:szCs w:val="21"/>
                <w:highlight w:val="none"/>
              </w:rPr>
            </w:pPr>
          </w:p>
        </w:tc>
        <w:tc>
          <w:tcPr>
            <w:tcW w:w="233" w:type="pct"/>
            <w:vAlign w:val="center"/>
          </w:tcPr>
          <w:p w14:paraId="5A5176B8">
            <w:pPr>
              <w:jc w:val="center"/>
              <w:rPr>
                <w:color w:val="auto"/>
                <w:szCs w:val="21"/>
                <w:highlight w:val="none"/>
              </w:rPr>
            </w:pPr>
          </w:p>
        </w:tc>
        <w:tc>
          <w:tcPr>
            <w:tcW w:w="299" w:type="pct"/>
            <w:vAlign w:val="center"/>
          </w:tcPr>
          <w:p w14:paraId="02445554">
            <w:pPr>
              <w:jc w:val="center"/>
              <w:rPr>
                <w:color w:val="auto"/>
                <w:szCs w:val="21"/>
                <w:highlight w:val="none"/>
              </w:rPr>
            </w:pPr>
          </w:p>
        </w:tc>
        <w:tc>
          <w:tcPr>
            <w:tcW w:w="314" w:type="pct"/>
            <w:vAlign w:val="center"/>
          </w:tcPr>
          <w:p w14:paraId="128A1AE3">
            <w:pPr>
              <w:jc w:val="center"/>
              <w:rPr>
                <w:color w:val="auto"/>
                <w:szCs w:val="21"/>
                <w:highlight w:val="none"/>
              </w:rPr>
            </w:pPr>
          </w:p>
        </w:tc>
        <w:tc>
          <w:tcPr>
            <w:tcW w:w="431" w:type="pct"/>
          </w:tcPr>
          <w:p w14:paraId="57361FC0">
            <w:pPr>
              <w:jc w:val="center"/>
              <w:rPr>
                <w:color w:val="auto"/>
                <w:szCs w:val="21"/>
                <w:highlight w:val="none"/>
              </w:rPr>
            </w:pPr>
          </w:p>
        </w:tc>
        <w:tc>
          <w:tcPr>
            <w:tcW w:w="431" w:type="pct"/>
          </w:tcPr>
          <w:p w14:paraId="526CFCD0">
            <w:pPr>
              <w:jc w:val="center"/>
              <w:rPr>
                <w:color w:val="auto"/>
                <w:szCs w:val="21"/>
                <w:highlight w:val="none"/>
              </w:rPr>
            </w:pPr>
          </w:p>
        </w:tc>
        <w:tc>
          <w:tcPr>
            <w:tcW w:w="458" w:type="pct"/>
            <w:vAlign w:val="center"/>
          </w:tcPr>
          <w:p w14:paraId="3A2B9F44">
            <w:pPr>
              <w:jc w:val="center"/>
              <w:rPr>
                <w:color w:val="auto"/>
                <w:szCs w:val="21"/>
                <w:highlight w:val="none"/>
              </w:rPr>
            </w:pPr>
          </w:p>
        </w:tc>
      </w:tr>
      <w:tr w14:paraId="6AFA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93" w:type="pct"/>
            <w:vAlign w:val="center"/>
          </w:tcPr>
          <w:p w14:paraId="5C1E4784">
            <w:pPr>
              <w:jc w:val="center"/>
              <w:rPr>
                <w:color w:val="auto"/>
                <w:szCs w:val="21"/>
                <w:highlight w:val="none"/>
              </w:rPr>
            </w:pPr>
          </w:p>
        </w:tc>
        <w:tc>
          <w:tcPr>
            <w:tcW w:w="365" w:type="pct"/>
            <w:vAlign w:val="center"/>
          </w:tcPr>
          <w:p w14:paraId="10AA8020">
            <w:pPr>
              <w:jc w:val="center"/>
              <w:rPr>
                <w:color w:val="auto"/>
                <w:szCs w:val="21"/>
                <w:highlight w:val="none"/>
              </w:rPr>
            </w:pPr>
          </w:p>
        </w:tc>
        <w:tc>
          <w:tcPr>
            <w:tcW w:w="470" w:type="pct"/>
          </w:tcPr>
          <w:p w14:paraId="7802180C">
            <w:pPr>
              <w:jc w:val="center"/>
              <w:rPr>
                <w:color w:val="auto"/>
                <w:szCs w:val="21"/>
                <w:highlight w:val="none"/>
              </w:rPr>
            </w:pPr>
          </w:p>
        </w:tc>
        <w:tc>
          <w:tcPr>
            <w:tcW w:w="472" w:type="pct"/>
            <w:vAlign w:val="center"/>
          </w:tcPr>
          <w:p w14:paraId="03618F0E">
            <w:pPr>
              <w:jc w:val="center"/>
              <w:rPr>
                <w:color w:val="auto"/>
                <w:szCs w:val="21"/>
                <w:highlight w:val="none"/>
              </w:rPr>
            </w:pPr>
          </w:p>
        </w:tc>
        <w:tc>
          <w:tcPr>
            <w:tcW w:w="280" w:type="pct"/>
          </w:tcPr>
          <w:p w14:paraId="50B9C7F4">
            <w:pPr>
              <w:jc w:val="center"/>
              <w:rPr>
                <w:color w:val="auto"/>
                <w:szCs w:val="21"/>
                <w:highlight w:val="none"/>
              </w:rPr>
            </w:pPr>
          </w:p>
        </w:tc>
        <w:tc>
          <w:tcPr>
            <w:tcW w:w="233" w:type="pct"/>
            <w:vAlign w:val="center"/>
          </w:tcPr>
          <w:p w14:paraId="0238BA81">
            <w:pPr>
              <w:jc w:val="center"/>
              <w:rPr>
                <w:color w:val="auto"/>
                <w:szCs w:val="21"/>
                <w:highlight w:val="none"/>
              </w:rPr>
            </w:pPr>
          </w:p>
        </w:tc>
        <w:tc>
          <w:tcPr>
            <w:tcW w:w="277" w:type="pct"/>
            <w:vAlign w:val="center"/>
          </w:tcPr>
          <w:p w14:paraId="555798B1">
            <w:pPr>
              <w:jc w:val="center"/>
              <w:rPr>
                <w:color w:val="auto"/>
                <w:szCs w:val="21"/>
                <w:highlight w:val="none"/>
              </w:rPr>
            </w:pPr>
          </w:p>
        </w:tc>
        <w:tc>
          <w:tcPr>
            <w:tcW w:w="333" w:type="pct"/>
            <w:vAlign w:val="center"/>
          </w:tcPr>
          <w:p w14:paraId="1C899021">
            <w:pPr>
              <w:jc w:val="center"/>
              <w:rPr>
                <w:color w:val="auto"/>
                <w:szCs w:val="21"/>
                <w:highlight w:val="none"/>
              </w:rPr>
            </w:pPr>
          </w:p>
        </w:tc>
        <w:tc>
          <w:tcPr>
            <w:tcW w:w="212" w:type="pct"/>
            <w:vAlign w:val="center"/>
          </w:tcPr>
          <w:p w14:paraId="646AF397">
            <w:pPr>
              <w:jc w:val="center"/>
              <w:rPr>
                <w:color w:val="auto"/>
                <w:szCs w:val="21"/>
                <w:highlight w:val="none"/>
              </w:rPr>
            </w:pPr>
          </w:p>
        </w:tc>
        <w:tc>
          <w:tcPr>
            <w:tcW w:w="233" w:type="pct"/>
            <w:vAlign w:val="center"/>
          </w:tcPr>
          <w:p w14:paraId="760FCB22">
            <w:pPr>
              <w:jc w:val="center"/>
              <w:rPr>
                <w:color w:val="auto"/>
                <w:szCs w:val="21"/>
                <w:highlight w:val="none"/>
              </w:rPr>
            </w:pPr>
          </w:p>
        </w:tc>
        <w:tc>
          <w:tcPr>
            <w:tcW w:w="299" w:type="pct"/>
            <w:vAlign w:val="center"/>
          </w:tcPr>
          <w:p w14:paraId="56F0CB0A">
            <w:pPr>
              <w:jc w:val="center"/>
              <w:rPr>
                <w:color w:val="auto"/>
                <w:szCs w:val="21"/>
                <w:highlight w:val="none"/>
              </w:rPr>
            </w:pPr>
          </w:p>
        </w:tc>
        <w:tc>
          <w:tcPr>
            <w:tcW w:w="314" w:type="pct"/>
            <w:vAlign w:val="center"/>
          </w:tcPr>
          <w:p w14:paraId="6EAA29DA">
            <w:pPr>
              <w:jc w:val="center"/>
              <w:rPr>
                <w:color w:val="auto"/>
                <w:szCs w:val="21"/>
                <w:highlight w:val="none"/>
              </w:rPr>
            </w:pPr>
          </w:p>
        </w:tc>
        <w:tc>
          <w:tcPr>
            <w:tcW w:w="431" w:type="pct"/>
          </w:tcPr>
          <w:p w14:paraId="11148DA1">
            <w:pPr>
              <w:jc w:val="center"/>
              <w:rPr>
                <w:color w:val="auto"/>
                <w:szCs w:val="21"/>
                <w:highlight w:val="none"/>
              </w:rPr>
            </w:pPr>
          </w:p>
        </w:tc>
        <w:tc>
          <w:tcPr>
            <w:tcW w:w="431" w:type="pct"/>
          </w:tcPr>
          <w:p w14:paraId="5C8A0FA9">
            <w:pPr>
              <w:jc w:val="center"/>
              <w:rPr>
                <w:color w:val="auto"/>
                <w:szCs w:val="21"/>
                <w:highlight w:val="none"/>
              </w:rPr>
            </w:pPr>
          </w:p>
        </w:tc>
        <w:tc>
          <w:tcPr>
            <w:tcW w:w="458" w:type="pct"/>
            <w:vAlign w:val="center"/>
          </w:tcPr>
          <w:p w14:paraId="3787ACBF">
            <w:pPr>
              <w:jc w:val="center"/>
              <w:rPr>
                <w:color w:val="auto"/>
                <w:szCs w:val="21"/>
                <w:highlight w:val="none"/>
              </w:rPr>
            </w:pPr>
          </w:p>
        </w:tc>
      </w:tr>
      <w:tr w14:paraId="5D7B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3" w:type="pct"/>
            <w:vAlign w:val="center"/>
          </w:tcPr>
          <w:p w14:paraId="3950BBBA">
            <w:pPr>
              <w:jc w:val="center"/>
              <w:rPr>
                <w:color w:val="auto"/>
                <w:szCs w:val="21"/>
                <w:highlight w:val="none"/>
              </w:rPr>
            </w:pPr>
          </w:p>
        </w:tc>
        <w:tc>
          <w:tcPr>
            <w:tcW w:w="365" w:type="pct"/>
            <w:vAlign w:val="center"/>
          </w:tcPr>
          <w:p w14:paraId="693E8EA2">
            <w:pPr>
              <w:jc w:val="center"/>
              <w:rPr>
                <w:color w:val="auto"/>
                <w:sz w:val="18"/>
                <w:szCs w:val="18"/>
                <w:highlight w:val="none"/>
              </w:rPr>
            </w:pPr>
            <w:r>
              <w:rPr>
                <w:color w:val="auto"/>
                <w:sz w:val="18"/>
                <w:szCs w:val="18"/>
                <w:highlight w:val="none"/>
              </w:rPr>
              <w:t>安全防护、文明施工措施费</w:t>
            </w:r>
          </w:p>
        </w:tc>
        <w:tc>
          <w:tcPr>
            <w:tcW w:w="470" w:type="pct"/>
          </w:tcPr>
          <w:p w14:paraId="1FF2C24F">
            <w:pPr>
              <w:jc w:val="center"/>
              <w:rPr>
                <w:color w:val="auto"/>
                <w:sz w:val="18"/>
                <w:szCs w:val="18"/>
                <w:highlight w:val="none"/>
              </w:rPr>
            </w:pPr>
          </w:p>
        </w:tc>
        <w:tc>
          <w:tcPr>
            <w:tcW w:w="472" w:type="pct"/>
            <w:vAlign w:val="center"/>
          </w:tcPr>
          <w:p w14:paraId="3F1501ED">
            <w:pPr>
              <w:jc w:val="center"/>
              <w:rPr>
                <w:color w:val="auto"/>
                <w:sz w:val="18"/>
                <w:szCs w:val="18"/>
                <w:highlight w:val="none"/>
              </w:rPr>
            </w:pPr>
            <w:r>
              <w:rPr>
                <w:color w:val="auto"/>
                <w:sz w:val="18"/>
                <w:szCs w:val="18"/>
                <w:highlight w:val="none"/>
              </w:rPr>
              <w:t>环境保护、文明施工、安全施工、临时设施</w:t>
            </w:r>
            <w:r>
              <w:rPr>
                <w:rFonts w:hint="eastAsia"/>
                <w:color w:val="auto"/>
                <w:sz w:val="18"/>
                <w:szCs w:val="18"/>
                <w:highlight w:val="none"/>
              </w:rPr>
              <w:t>和施工围挡</w:t>
            </w:r>
          </w:p>
        </w:tc>
        <w:tc>
          <w:tcPr>
            <w:tcW w:w="280" w:type="pct"/>
          </w:tcPr>
          <w:p w14:paraId="23F7C7E7">
            <w:pPr>
              <w:jc w:val="center"/>
              <w:rPr>
                <w:color w:val="auto"/>
                <w:szCs w:val="21"/>
                <w:highlight w:val="none"/>
              </w:rPr>
            </w:pPr>
          </w:p>
        </w:tc>
        <w:tc>
          <w:tcPr>
            <w:tcW w:w="233" w:type="pct"/>
            <w:vAlign w:val="center"/>
          </w:tcPr>
          <w:p w14:paraId="73BCA47C">
            <w:pPr>
              <w:jc w:val="center"/>
              <w:rPr>
                <w:color w:val="auto"/>
                <w:szCs w:val="21"/>
                <w:highlight w:val="none"/>
              </w:rPr>
            </w:pPr>
            <w:r>
              <w:rPr>
                <w:rFonts w:hint="eastAsia"/>
                <w:color w:val="auto"/>
                <w:szCs w:val="21"/>
                <w:highlight w:val="none"/>
              </w:rPr>
              <w:t>总额</w:t>
            </w:r>
          </w:p>
        </w:tc>
        <w:tc>
          <w:tcPr>
            <w:tcW w:w="277" w:type="pct"/>
            <w:vAlign w:val="center"/>
          </w:tcPr>
          <w:p w14:paraId="26FF1266">
            <w:pPr>
              <w:jc w:val="center"/>
              <w:rPr>
                <w:color w:val="auto"/>
                <w:szCs w:val="21"/>
                <w:highlight w:val="none"/>
              </w:rPr>
            </w:pPr>
            <w:r>
              <w:rPr>
                <w:rFonts w:hint="eastAsia"/>
                <w:color w:val="auto"/>
                <w:szCs w:val="21"/>
                <w:highlight w:val="none"/>
              </w:rPr>
              <w:t>1</w:t>
            </w:r>
          </w:p>
        </w:tc>
        <w:tc>
          <w:tcPr>
            <w:tcW w:w="333" w:type="pct"/>
            <w:vAlign w:val="center"/>
          </w:tcPr>
          <w:p w14:paraId="22719585">
            <w:pPr>
              <w:jc w:val="center"/>
              <w:rPr>
                <w:color w:val="auto"/>
                <w:szCs w:val="21"/>
                <w:highlight w:val="none"/>
              </w:rPr>
            </w:pPr>
          </w:p>
        </w:tc>
        <w:tc>
          <w:tcPr>
            <w:tcW w:w="212" w:type="pct"/>
            <w:vAlign w:val="center"/>
          </w:tcPr>
          <w:p w14:paraId="7A81C736">
            <w:pPr>
              <w:jc w:val="center"/>
              <w:rPr>
                <w:color w:val="auto"/>
                <w:szCs w:val="21"/>
                <w:highlight w:val="none"/>
              </w:rPr>
            </w:pPr>
          </w:p>
        </w:tc>
        <w:tc>
          <w:tcPr>
            <w:tcW w:w="233" w:type="pct"/>
            <w:vAlign w:val="center"/>
          </w:tcPr>
          <w:p w14:paraId="5FC44FC9">
            <w:pPr>
              <w:jc w:val="center"/>
              <w:rPr>
                <w:color w:val="auto"/>
                <w:szCs w:val="21"/>
                <w:highlight w:val="none"/>
              </w:rPr>
            </w:pPr>
          </w:p>
        </w:tc>
        <w:tc>
          <w:tcPr>
            <w:tcW w:w="299" w:type="pct"/>
            <w:vAlign w:val="center"/>
          </w:tcPr>
          <w:p w14:paraId="0935C4E3">
            <w:pPr>
              <w:jc w:val="center"/>
              <w:rPr>
                <w:color w:val="auto"/>
                <w:szCs w:val="21"/>
                <w:highlight w:val="none"/>
              </w:rPr>
            </w:pPr>
          </w:p>
        </w:tc>
        <w:tc>
          <w:tcPr>
            <w:tcW w:w="314" w:type="pct"/>
            <w:vAlign w:val="center"/>
          </w:tcPr>
          <w:p w14:paraId="6ECEFD65">
            <w:pPr>
              <w:jc w:val="center"/>
              <w:rPr>
                <w:color w:val="auto"/>
                <w:szCs w:val="21"/>
                <w:highlight w:val="none"/>
              </w:rPr>
            </w:pPr>
          </w:p>
        </w:tc>
        <w:tc>
          <w:tcPr>
            <w:tcW w:w="431" w:type="pct"/>
          </w:tcPr>
          <w:p w14:paraId="15DC1018">
            <w:pPr>
              <w:jc w:val="center"/>
              <w:rPr>
                <w:color w:val="auto"/>
                <w:szCs w:val="21"/>
                <w:highlight w:val="none"/>
              </w:rPr>
            </w:pPr>
          </w:p>
        </w:tc>
        <w:tc>
          <w:tcPr>
            <w:tcW w:w="431" w:type="pct"/>
          </w:tcPr>
          <w:p w14:paraId="36621AB2">
            <w:pPr>
              <w:jc w:val="center"/>
              <w:rPr>
                <w:color w:val="auto"/>
                <w:szCs w:val="21"/>
                <w:highlight w:val="none"/>
              </w:rPr>
            </w:pPr>
          </w:p>
        </w:tc>
        <w:tc>
          <w:tcPr>
            <w:tcW w:w="458" w:type="pct"/>
            <w:vAlign w:val="center"/>
          </w:tcPr>
          <w:p w14:paraId="6CA6FE6C">
            <w:pPr>
              <w:jc w:val="center"/>
              <w:rPr>
                <w:color w:val="auto"/>
                <w:sz w:val="18"/>
                <w:szCs w:val="18"/>
                <w:highlight w:val="none"/>
              </w:rPr>
            </w:pPr>
            <w:r>
              <w:rPr>
                <w:rFonts w:hint="eastAsia"/>
                <w:color w:val="auto"/>
                <w:sz w:val="18"/>
                <w:szCs w:val="18"/>
                <w:highlight w:val="none"/>
              </w:rPr>
              <w:t>以完成工作量的</w:t>
            </w:r>
            <w:r>
              <w:rPr>
                <w:rFonts w:hint="eastAsia"/>
                <w:color w:val="auto"/>
                <w:sz w:val="18"/>
                <w:szCs w:val="18"/>
                <w:highlight w:val="none"/>
                <w:u w:val="single"/>
                <w:lang w:val="en-US" w:eastAsia="zh-CN"/>
              </w:rPr>
              <w:t>1.5%作为</w:t>
            </w:r>
            <w:r>
              <w:rPr>
                <w:rFonts w:hint="eastAsia"/>
                <w:color w:val="auto"/>
                <w:sz w:val="18"/>
                <w:szCs w:val="18"/>
                <w:highlight w:val="none"/>
              </w:rPr>
              <w:t>最高限计算</w:t>
            </w:r>
          </w:p>
        </w:tc>
      </w:tr>
      <w:tr w14:paraId="0261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3" w:type="pct"/>
            <w:vAlign w:val="center"/>
          </w:tcPr>
          <w:p w14:paraId="5F5E9498">
            <w:pPr>
              <w:jc w:val="center"/>
              <w:rPr>
                <w:color w:val="auto"/>
                <w:szCs w:val="21"/>
                <w:highlight w:val="none"/>
              </w:rPr>
            </w:pPr>
          </w:p>
        </w:tc>
        <w:tc>
          <w:tcPr>
            <w:tcW w:w="365" w:type="pct"/>
          </w:tcPr>
          <w:p w14:paraId="4A777E02">
            <w:pPr>
              <w:jc w:val="center"/>
              <w:rPr>
                <w:b/>
                <w:color w:val="auto"/>
                <w:szCs w:val="21"/>
                <w:highlight w:val="none"/>
              </w:rPr>
            </w:pPr>
          </w:p>
        </w:tc>
        <w:tc>
          <w:tcPr>
            <w:tcW w:w="941" w:type="pct"/>
            <w:gridSpan w:val="2"/>
            <w:vAlign w:val="center"/>
          </w:tcPr>
          <w:p w14:paraId="6529F70E">
            <w:pPr>
              <w:jc w:val="center"/>
              <w:rPr>
                <w:b/>
                <w:color w:val="auto"/>
                <w:szCs w:val="21"/>
                <w:highlight w:val="none"/>
              </w:rPr>
            </w:pPr>
            <w:r>
              <w:rPr>
                <w:rFonts w:hint="eastAsia"/>
                <w:b/>
                <w:color w:val="auto"/>
                <w:szCs w:val="21"/>
                <w:highlight w:val="none"/>
              </w:rPr>
              <w:t>不含增值税造价</w:t>
            </w:r>
          </w:p>
        </w:tc>
        <w:tc>
          <w:tcPr>
            <w:tcW w:w="280" w:type="pct"/>
            <w:vAlign w:val="center"/>
          </w:tcPr>
          <w:p w14:paraId="15F7B63F">
            <w:pPr>
              <w:jc w:val="center"/>
              <w:rPr>
                <w:b/>
                <w:color w:val="auto"/>
                <w:szCs w:val="21"/>
                <w:highlight w:val="none"/>
              </w:rPr>
            </w:pPr>
          </w:p>
        </w:tc>
        <w:tc>
          <w:tcPr>
            <w:tcW w:w="233" w:type="pct"/>
            <w:vAlign w:val="center"/>
          </w:tcPr>
          <w:p w14:paraId="5B17406A">
            <w:pPr>
              <w:jc w:val="center"/>
              <w:rPr>
                <w:color w:val="auto"/>
                <w:szCs w:val="21"/>
                <w:highlight w:val="none"/>
              </w:rPr>
            </w:pPr>
            <w:r>
              <w:rPr>
                <w:rFonts w:hint="eastAsia"/>
                <w:b/>
                <w:color w:val="auto"/>
                <w:szCs w:val="21"/>
                <w:highlight w:val="none"/>
              </w:rPr>
              <w:t>元</w:t>
            </w:r>
          </w:p>
        </w:tc>
        <w:tc>
          <w:tcPr>
            <w:tcW w:w="1668" w:type="pct"/>
            <w:gridSpan w:val="6"/>
            <w:vAlign w:val="center"/>
          </w:tcPr>
          <w:p w14:paraId="260EFED2">
            <w:pPr>
              <w:jc w:val="center"/>
              <w:rPr>
                <w:color w:val="auto"/>
                <w:szCs w:val="21"/>
                <w:highlight w:val="none"/>
              </w:rPr>
            </w:pPr>
          </w:p>
        </w:tc>
        <w:tc>
          <w:tcPr>
            <w:tcW w:w="1320" w:type="pct"/>
            <w:gridSpan w:val="3"/>
            <w:vAlign w:val="center"/>
          </w:tcPr>
          <w:p w14:paraId="28528FBD">
            <w:pPr>
              <w:jc w:val="center"/>
              <w:rPr>
                <w:color w:val="auto"/>
                <w:szCs w:val="21"/>
                <w:highlight w:val="none"/>
              </w:rPr>
            </w:pPr>
          </w:p>
        </w:tc>
      </w:tr>
      <w:tr w14:paraId="066CD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3" w:type="pct"/>
            <w:vAlign w:val="center"/>
          </w:tcPr>
          <w:p w14:paraId="5FCF0807">
            <w:pPr>
              <w:jc w:val="center"/>
              <w:rPr>
                <w:color w:val="auto"/>
                <w:szCs w:val="21"/>
                <w:highlight w:val="none"/>
              </w:rPr>
            </w:pPr>
          </w:p>
        </w:tc>
        <w:tc>
          <w:tcPr>
            <w:tcW w:w="365" w:type="pct"/>
          </w:tcPr>
          <w:p w14:paraId="2473E58A">
            <w:pPr>
              <w:jc w:val="center"/>
              <w:rPr>
                <w:b/>
                <w:color w:val="auto"/>
                <w:szCs w:val="21"/>
                <w:highlight w:val="none"/>
              </w:rPr>
            </w:pPr>
          </w:p>
        </w:tc>
        <w:tc>
          <w:tcPr>
            <w:tcW w:w="941" w:type="pct"/>
            <w:gridSpan w:val="2"/>
            <w:vAlign w:val="center"/>
          </w:tcPr>
          <w:p w14:paraId="0D39A651">
            <w:pPr>
              <w:jc w:val="center"/>
              <w:rPr>
                <w:b/>
                <w:color w:val="auto"/>
                <w:szCs w:val="21"/>
                <w:highlight w:val="none"/>
              </w:rPr>
            </w:pPr>
            <w:r>
              <w:rPr>
                <w:rFonts w:hint="eastAsia"/>
                <w:b/>
                <w:color w:val="auto"/>
                <w:szCs w:val="21"/>
                <w:highlight w:val="none"/>
              </w:rPr>
              <w:t>增值税</w:t>
            </w:r>
          </w:p>
        </w:tc>
        <w:tc>
          <w:tcPr>
            <w:tcW w:w="280" w:type="pct"/>
            <w:vAlign w:val="center"/>
          </w:tcPr>
          <w:p w14:paraId="77AE3A54">
            <w:pPr>
              <w:jc w:val="center"/>
              <w:rPr>
                <w:b/>
                <w:color w:val="auto"/>
                <w:szCs w:val="21"/>
                <w:highlight w:val="none"/>
              </w:rPr>
            </w:pPr>
          </w:p>
        </w:tc>
        <w:tc>
          <w:tcPr>
            <w:tcW w:w="233" w:type="pct"/>
            <w:vAlign w:val="center"/>
          </w:tcPr>
          <w:p w14:paraId="72009E9A">
            <w:pPr>
              <w:jc w:val="center"/>
              <w:rPr>
                <w:color w:val="auto"/>
                <w:szCs w:val="21"/>
                <w:highlight w:val="none"/>
              </w:rPr>
            </w:pPr>
            <w:r>
              <w:rPr>
                <w:rFonts w:hint="eastAsia"/>
                <w:b/>
                <w:color w:val="auto"/>
                <w:szCs w:val="21"/>
                <w:highlight w:val="none"/>
              </w:rPr>
              <w:t>元</w:t>
            </w:r>
          </w:p>
        </w:tc>
        <w:tc>
          <w:tcPr>
            <w:tcW w:w="1670" w:type="pct"/>
            <w:gridSpan w:val="6"/>
            <w:vAlign w:val="center"/>
          </w:tcPr>
          <w:p w14:paraId="1CD15DFA">
            <w:pPr>
              <w:jc w:val="center"/>
              <w:rPr>
                <w:color w:val="auto"/>
                <w:szCs w:val="21"/>
                <w:highlight w:val="none"/>
              </w:rPr>
            </w:pPr>
          </w:p>
        </w:tc>
        <w:tc>
          <w:tcPr>
            <w:tcW w:w="1318" w:type="pct"/>
            <w:gridSpan w:val="3"/>
            <w:vAlign w:val="center"/>
          </w:tcPr>
          <w:p w14:paraId="270F062E">
            <w:pPr>
              <w:jc w:val="center"/>
              <w:rPr>
                <w:color w:val="auto"/>
                <w:szCs w:val="21"/>
                <w:highlight w:val="none"/>
              </w:rPr>
            </w:pPr>
          </w:p>
        </w:tc>
      </w:tr>
      <w:tr w14:paraId="34C7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3" w:type="pct"/>
            <w:vAlign w:val="center"/>
          </w:tcPr>
          <w:p w14:paraId="1934EBFF">
            <w:pPr>
              <w:jc w:val="center"/>
              <w:rPr>
                <w:b/>
                <w:color w:val="auto"/>
                <w:szCs w:val="21"/>
                <w:highlight w:val="none"/>
              </w:rPr>
            </w:pPr>
            <w:r>
              <w:rPr>
                <w:rFonts w:hint="eastAsia"/>
                <w:b/>
                <w:color w:val="auto"/>
                <w:szCs w:val="21"/>
                <w:highlight w:val="none"/>
              </w:rPr>
              <w:t>*</w:t>
            </w:r>
          </w:p>
        </w:tc>
        <w:tc>
          <w:tcPr>
            <w:tcW w:w="365" w:type="pct"/>
          </w:tcPr>
          <w:p w14:paraId="1E4E4F2F">
            <w:pPr>
              <w:jc w:val="center"/>
              <w:rPr>
                <w:b/>
                <w:color w:val="auto"/>
                <w:szCs w:val="21"/>
                <w:highlight w:val="none"/>
              </w:rPr>
            </w:pPr>
          </w:p>
        </w:tc>
        <w:tc>
          <w:tcPr>
            <w:tcW w:w="941" w:type="pct"/>
            <w:gridSpan w:val="2"/>
            <w:vAlign w:val="center"/>
          </w:tcPr>
          <w:p w14:paraId="3D4084BB">
            <w:pPr>
              <w:jc w:val="center"/>
              <w:rPr>
                <w:b/>
                <w:color w:val="auto"/>
                <w:szCs w:val="21"/>
                <w:highlight w:val="none"/>
              </w:rPr>
            </w:pPr>
            <w:r>
              <w:rPr>
                <w:rFonts w:hint="eastAsia"/>
                <w:b/>
                <w:color w:val="auto"/>
                <w:szCs w:val="21"/>
                <w:highlight w:val="none"/>
              </w:rPr>
              <w:t>合计</w:t>
            </w:r>
          </w:p>
        </w:tc>
        <w:tc>
          <w:tcPr>
            <w:tcW w:w="280" w:type="pct"/>
            <w:vAlign w:val="center"/>
          </w:tcPr>
          <w:p w14:paraId="6F30DEC9">
            <w:pPr>
              <w:jc w:val="center"/>
              <w:rPr>
                <w:b/>
                <w:color w:val="auto"/>
                <w:szCs w:val="21"/>
                <w:highlight w:val="none"/>
              </w:rPr>
            </w:pPr>
          </w:p>
        </w:tc>
        <w:tc>
          <w:tcPr>
            <w:tcW w:w="233" w:type="pct"/>
            <w:vAlign w:val="center"/>
          </w:tcPr>
          <w:p w14:paraId="40DFB197">
            <w:pPr>
              <w:jc w:val="center"/>
              <w:rPr>
                <w:b/>
                <w:color w:val="auto"/>
                <w:szCs w:val="21"/>
                <w:highlight w:val="none"/>
              </w:rPr>
            </w:pPr>
            <w:r>
              <w:rPr>
                <w:rFonts w:hint="eastAsia"/>
                <w:b/>
                <w:color w:val="auto"/>
                <w:szCs w:val="21"/>
                <w:highlight w:val="none"/>
              </w:rPr>
              <w:t>元</w:t>
            </w:r>
          </w:p>
        </w:tc>
        <w:tc>
          <w:tcPr>
            <w:tcW w:w="1670" w:type="pct"/>
            <w:gridSpan w:val="6"/>
            <w:vAlign w:val="center"/>
          </w:tcPr>
          <w:p w14:paraId="60ACCF56">
            <w:pPr>
              <w:jc w:val="center"/>
              <w:rPr>
                <w:b/>
                <w:color w:val="auto"/>
                <w:szCs w:val="21"/>
                <w:highlight w:val="none"/>
              </w:rPr>
            </w:pPr>
          </w:p>
        </w:tc>
        <w:tc>
          <w:tcPr>
            <w:tcW w:w="1318" w:type="pct"/>
            <w:gridSpan w:val="3"/>
            <w:vAlign w:val="center"/>
          </w:tcPr>
          <w:p w14:paraId="609AFC25">
            <w:pPr>
              <w:jc w:val="center"/>
              <w:rPr>
                <w:b/>
                <w:color w:val="auto"/>
                <w:szCs w:val="21"/>
                <w:highlight w:val="none"/>
              </w:rPr>
            </w:pPr>
          </w:p>
        </w:tc>
      </w:tr>
    </w:tbl>
    <w:p w14:paraId="75AE26C2">
      <w:pPr>
        <w:spacing w:line="360" w:lineRule="auto"/>
        <w:rPr>
          <w:color w:val="auto"/>
          <w:szCs w:val="21"/>
          <w:highlight w:val="none"/>
        </w:rPr>
      </w:pPr>
    </w:p>
    <w:p w14:paraId="391B408B">
      <w:pPr>
        <w:pStyle w:val="53"/>
        <w:spacing w:before="120"/>
        <w:rPr>
          <w:rStyle w:val="46"/>
          <w:rFonts w:ascii="Times New Roman" w:hAnsi="Times New Roman" w:eastAsia="宋体" w:cs="Times New Roman"/>
          <w:b/>
          <w:bCs/>
          <w:color w:val="auto"/>
          <w:szCs w:val="24"/>
          <w:highlight w:val="none"/>
        </w:rPr>
        <w:sectPr>
          <w:pgSz w:w="11907" w:h="16840"/>
          <w:pgMar w:top="1417" w:right="1701" w:bottom="1417" w:left="1701" w:header="850" w:footer="1134" w:gutter="0"/>
          <w:pgNumType w:fmt="decimal"/>
          <w:cols w:space="0" w:num="1"/>
          <w:rtlGutter w:val="0"/>
          <w:docGrid w:linePitch="312" w:charSpace="0"/>
        </w:sectPr>
      </w:pPr>
      <w:bookmarkStart w:id="1811" w:name="_Toc284135594"/>
    </w:p>
    <w:p w14:paraId="05B23554">
      <w:pPr>
        <w:pStyle w:val="53"/>
        <w:spacing w:before="120"/>
        <w:rPr>
          <w:rStyle w:val="46"/>
          <w:rFonts w:ascii="Times New Roman" w:hAnsi="Times New Roman" w:eastAsia="宋体" w:cs="Times New Roman"/>
          <w:b/>
          <w:bCs w:val="0"/>
          <w:color w:val="auto"/>
          <w:szCs w:val="24"/>
          <w:highlight w:val="none"/>
        </w:rPr>
      </w:pPr>
      <w:r>
        <w:rPr>
          <w:rStyle w:val="46"/>
          <w:rFonts w:hint="eastAsia" w:ascii="Times New Roman" w:hAnsi="Times New Roman" w:eastAsia="宋体" w:cs="Times New Roman"/>
          <w:b/>
          <w:bCs w:val="0"/>
          <w:color w:val="auto"/>
          <w:szCs w:val="24"/>
          <w:highlight w:val="none"/>
        </w:rPr>
        <w:t>6.综合单价分析表</w:t>
      </w:r>
    </w:p>
    <w:p w14:paraId="20B49842">
      <w:pPr>
        <w:spacing w:line="360" w:lineRule="auto"/>
        <w:ind w:left="842" w:leftChars="200" w:hanging="422" w:hangingChars="150"/>
        <w:jc w:val="center"/>
        <w:rPr>
          <w:b/>
          <w:bCs/>
          <w:color w:val="auto"/>
          <w:sz w:val="28"/>
          <w:szCs w:val="28"/>
          <w:highlight w:val="none"/>
        </w:rPr>
      </w:pPr>
    </w:p>
    <w:p w14:paraId="4B41CD0E">
      <w:pPr>
        <w:spacing w:line="360" w:lineRule="auto"/>
        <w:ind w:left="842" w:leftChars="200" w:hanging="422" w:hangingChars="150"/>
        <w:jc w:val="center"/>
        <w:rPr>
          <w:b/>
          <w:bCs/>
          <w:color w:val="auto"/>
          <w:sz w:val="28"/>
          <w:szCs w:val="28"/>
          <w:highlight w:val="none"/>
        </w:rPr>
      </w:pPr>
      <w:r>
        <w:rPr>
          <w:rFonts w:hint="eastAsia"/>
          <w:b/>
          <w:bCs/>
          <w:color w:val="auto"/>
          <w:sz w:val="28"/>
          <w:szCs w:val="28"/>
          <w:highlight w:val="none"/>
        </w:rPr>
        <w:t>XX不含增值税综合单价分析表</w:t>
      </w:r>
    </w:p>
    <w:p w14:paraId="36646AF4">
      <w:pPr>
        <w:spacing w:line="360" w:lineRule="auto"/>
        <w:rPr>
          <w:b/>
          <w:bCs/>
          <w:color w:val="auto"/>
          <w:szCs w:val="21"/>
          <w:highlight w:val="none"/>
        </w:rPr>
      </w:pPr>
      <w:r>
        <w:rPr>
          <w:rFonts w:hint="eastAsia"/>
          <w:b/>
          <w:bCs/>
          <w:color w:val="auto"/>
          <w:szCs w:val="21"/>
          <w:highlight w:val="none"/>
        </w:rPr>
        <w:t>工程名称：</w:t>
      </w:r>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1417"/>
        <w:gridCol w:w="829"/>
        <w:gridCol w:w="829"/>
        <w:gridCol w:w="829"/>
        <w:gridCol w:w="1104"/>
        <w:gridCol w:w="787"/>
        <w:gridCol w:w="931"/>
        <w:gridCol w:w="935"/>
      </w:tblGrid>
      <w:tr w14:paraId="45B1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restart"/>
            <w:vAlign w:val="center"/>
          </w:tcPr>
          <w:p w14:paraId="4567D673">
            <w:pPr>
              <w:jc w:val="center"/>
              <w:rPr>
                <w:b/>
                <w:bCs/>
                <w:color w:val="auto"/>
                <w:szCs w:val="21"/>
                <w:highlight w:val="none"/>
              </w:rPr>
            </w:pPr>
            <w:r>
              <w:rPr>
                <w:rFonts w:hint="eastAsia"/>
                <w:b/>
                <w:bCs/>
                <w:color w:val="auto"/>
                <w:szCs w:val="21"/>
                <w:highlight w:val="none"/>
              </w:rPr>
              <w:t>序号</w:t>
            </w:r>
          </w:p>
        </w:tc>
        <w:tc>
          <w:tcPr>
            <w:tcW w:w="834" w:type="pct"/>
            <w:vMerge w:val="restart"/>
            <w:vAlign w:val="center"/>
          </w:tcPr>
          <w:p w14:paraId="3B9AE261">
            <w:pPr>
              <w:jc w:val="center"/>
              <w:rPr>
                <w:b/>
                <w:bCs/>
                <w:color w:val="auto"/>
                <w:szCs w:val="21"/>
                <w:highlight w:val="none"/>
              </w:rPr>
            </w:pPr>
            <w:r>
              <w:rPr>
                <w:rFonts w:hint="eastAsia"/>
                <w:b/>
                <w:color w:val="auto"/>
                <w:szCs w:val="21"/>
                <w:highlight w:val="none"/>
              </w:rPr>
              <w:t>清单项目</w:t>
            </w:r>
          </w:p>
        </w:tc>
        <w:tc>
          <w:tcPr>
            <w:tcW w:w="3675" w:type="pct"/>
            <w:gridSpan w:val="7"/>
            <w:vAlign w:val="center"/>
          </w:tcPr>
          <w:p w14:paraId="3FEB6C98">
            <w:pPr>
              <w:jc w:val="center"/>
              <w:rPr>
                <w:b/>
                <w:bCs/>
                <w:color w:val="auto"/>
                <w:szCs w:val="21"/>
                <w:highlight w:val="none"/>
              </w:rPr>
            </w:pPr>
            <w:r>
              <w:rPr>
                <w:rFonts w:hint="eastAsia"/>
                <w:b/>
                <w:bCs/>
                <w:color w:val="auto"/>
                <w:szCs w:val="21"/>
                <w:highlight w:val="none"/>
              </w:rPr>
              <w:t>不含增值税综合单价（元）</w:t>
            </w:r>
          </w:p>
        </w:tc>
      </w:tr>
      <w:tr w14:paraId="22A2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vMerge w:val="continue"/>
            <w:vAlign w:val="center"/>
          </w:tcPr>
          <w:p w14:paraId="527A85A1">
            <w:pPr>
              <w:jc w:val="center"/>
              <w:rPr>
                <w:bCs/>
                <w:color w:val="auto"/>
                <w:szCs w:val="21"/>
                <w:highlight w:val="none"/>
              </w:rPr>
            </w:pPr>
          </w:p>
        </w:tc>
        <w:tc>
          <w:tcPr>
            <w:tcW w:w="834" w:type="pct"/>
            <w:vMerge w:val="continue"/>
            <w:vAlign w:val="center"/>
          </w:tcPr>
          <w:p w14:paraId="41656062">
            <w:pPr>
              <w:jc w:val="center"/>
              <w:rPr>
                <w:bCs/>
                <w:color w:val="auto"/>
                <w:szCs w:val="21"/>
                <w:highlight w:val="none"/>
              </w:rPr>
            </w:pPr>
          </w:p>
        </w:tc>
        <w:tc>
          <w:tcPr>
            <w:tcW w:w="488" w:type="pct"/>
            <w:vAlign w:val="center"/>
          </w:tcPr>
          <w:p w14:paraId="692F62D8">
            <w:pPr>
              <w:jc w:val="center"/>
              <w:rPr>
                <w:bCs/>
                <w:color w:val="auto"/>
                <w:szCs w:val="21"/>
                <w:highlight w:val="none"/>
              </w:rPr>
            </w:pPr>
            <w:r>
              <w:rPr>
                <w:rFonts w:hint="eastAsia"/>
                <w:bCs/>
                <w:color w:val="auto"/>
                <w:szCs w:val="21"/>
                <w:highlight w:val="none"/>
              </w:rPr>
              <w:t>人工</w:t>
            </w:r>
          </w:p>
        </w:tc>
        <w:tc>
          <w:tcPr>
            <w:tcW w:w="488" w:type="pct"/>
            <w:vAlign w:val="center"/>
          </w:tcPr>
          <w:p w14:paraId="59EFF11A">
            <w:pPr>
              <w:jc w:val="center"/>
              <w:rPr>
                <w:bCs/>
                <w:color w:val="auto"/>
                <w:szCs w:val="21"/>
                <w:highlight w:val="none"/>
              </w:rPr>
            </w:pPr>
            <w:r>
              <w:rPr>
                <w:rFonts w:hint="eastAsia"/>
                <w:bCs/>
                <w:color w:val="auto"/>
                <w:szCs w:val="21"/>
                <w:highlight w:val="none"/>
              </w:rPr>
              <w:t>材料</w:t>
            </w:r>
          </w:p>
        </w:tc>
        <w:tc>
          <w:tcPr>
            <w:tcW w:w="488" w:type="pct"/>
            <w:vAlign w:val="center"/>
          </w:tcPr>
          <w:p w14:paraId="65015D37">
            <w:pPr>
              <w:jc w:val="center"/>
              <w:rPr>
                <w:bCs/>
                <w:color w:val="auto"/>
                <w:szCs w:val="21"/>
                <w:highlight w:val="none"/>
              </w:rPr>
            </w:pPr>
            <w:r>
              <w:rPr>
                <w:rFonts w:hint="eastAsia"/>
                <w:bCs/>
                <w:color w:val="auto"/>
                <w:szCs w:val="21"/>
                <w:highlight w:val="none"/>
              </w:rPr>
              <w:t>机械</w:t>
            </w:r>
          </w:p>
        </w:tc>
        <w:tc>
          <w:tcPr>
            <w:tcW w:w="650" w:type="pct"/>
            <w:vAlign w:val="center"/>
          </w:tcPr>
          <w:p w14:paraId="006200F8">
            <w:pPr>
              <w:jc w:val="center"/>
              <w:rPr>
                <w:bCs/>
                <w:color w:val="auto"/>
                <w:szCs w:val="21"/>
                <w:highlight w:val="none"/>
              </w:rPr>
            </w:pPr>
            <w:r>
              <w:rPr>
                <w:rFonts w:hint="eastAsia"/>
                <w:bCs/>
                <w:color w:val="auto"/>
                <w:szCs w:val="21"/>
                <w:highlight w:val="none"/>
              </w:rPr>
              <w:t>管理费</w:t>
            </w:r>
          </w:p>
        </w:tc>
        <w:tc>
          <w:tcPr>
            <w:tcW w:w="463" w:type="pct"/>
            <w:vAlign w:val="center"/>
          </w:tcPr>
          <w:p w14:paraId="4ACBD27B">
            <w:pPr>
              <w:jc w:val="center"/>
              <w:rPr>
                <w:bCs/>
                <w:color w:val="auto"/>
                <w:szCs w:val="21"/>
                <w:highlight w:val="none"/>
              </w:rPr>
            </w:pPr>
            <w:r>
              <w:rPr>
                <w:rFonts w:hint="eastAsia"/>
                <w:bCs/>
                <w:color w:val="auto"/>
                <w:szCs w:val="21"/>
                <w:highlight w:val="none"/>
              </w:rPr>
              <w:t>利润</w:t>
            </w:r>
          </w:p>
        </w:tc>
        <w:tc>
          <w:tcPr>
            <w:tcW w:w="548" w:type="pct"/>
            <w:vAlign w:val="center"/>
          </w:tcPr>
          <w:p w14:paraId="08568EDB">
            <w:pPr>
              <w:jc w:val="center"/>
              <w:rPr>
                <w:bCs/>
                <w:color w:val="auto"/>
                <w:szCs w:val="21"/>
                <w:highlight w:val="none"/>
              </w:rPr>
            </w:pPr>
            <w:r>
              <w:rPr>
                <w:rFonts w:hint="eastAsia"/>
                <w:bCs/>
                <w:color w:val="auto"/>
                <w:szCs w:val="21"/>
                <w:highlight w:val="none"/>
              </w:rPr>
              <w:t>规费</w:t>
            </w:r>
          </w:p>
        </w:tc>
        <w:tc>
          <w:tcPr>
            <w:tcW w:w="550" w:type="pct"/>
            <w:vAlign w:val="center"/>
          </w:tcPr>
          <w:p w14:paraId="7BB32512">
            <w:pPr>
              <w:jc w:val="center"/>
              <w:rPr>
                <w:bCs/>
                <w:color w:val="auto"/>
                <w:szCs w:val="21"/>
                <w:highlight w:val="none"/>
              </w:rPr>
            </w:pPr>
            <w:r>
              <w:rPr>
                <w:rFonts w:hint="eastAsia"/>
                <w:bCs/>
                <w:color w:val="auto"/>
                <w:szCs w:val="21"/>
                <w:highlight w:val="none"/>
              </w:rPr>
              <w:t>小计</w:t>
            </w:r>
          </w:p>
        </w:tc>
      </w:tr>
      <w:tr w14:paraId="01D8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491" w:type="pct"/>
            <w:vAlign w:val="center"/>
          </w:tcPr>
          <w:p w14:paraId="41FCD94A">
            <w:pPr>
              <w:jc w:val="center"/>
              <w:rPr>
                <w:bCs/>
                <w:color w:val="auto"/>
                <w:szCs w:val="21"/>
                <w:highlight w:val="none"/>
              </w:rPr>
            </w:pPr>
          </w:p>
        </w:tc>
        <w:tc>
          <w:tcPr>
            <w:tcW w:w="834" w:type="pct"/>
            <w:vAlign w:val="center"/>
          </w:tcPr>
          <w:p w14:paraId="1C28C5F3">
            <w:pPr>
              <w:jc w:val="center"/>
              <w:rPr>
                <w:bCs/>
                <w:color w:val="auto"/>
                <w:szCs w:val="21"/>
                <w:highlight w:val="none"/>
              </w:rPr>
            </w:pPr>
          </w:p>
        </w:tc>
        <w:tc>
          <w:tcPr>
            <w:tcW w:w="488" w:type="pct"/>
            <w:vAlign w:val="center"/>
          </w:tcPr>
          <w:p w14:paraId="633EBB7D">
            <w:pPr>
              <w:jc w:val="center"/>
              <w:rPr>
                <w:bCs/>
                <w:color w:val="auto"/>
                <w:szCs w:val="21"/>
                <w:highlight w:val="none"/>
              </w:rPr>
            </w:pPr>
          </w:p>
        </w:tc>
        <w:tc>
          <w:tcPr>
            <w:tcW w:w="488" w:type="pct"/>
            <w:vAlign w:val="center"/>
          </w:tcPr>
          <w:p w14:paraId="78AB9DCC">
            <w:pPr>
              <w:jc w:val="center"/>
              <w:rPr>
                <w:bCs/>
                <w:color w:val="auto"/>
                <w:szCs w:val="21"/>
                <w:highlight w:val="none"/>
              </w:rPr>
            </w:pPr>
          </w:p>
        </w:tc>
        <w:tc>
          <w:tcPr>
            <w:tcW w:w="488" w:type="pct"/>
            <w:vAlign w:val="center"/>
          </w:tcPr>
          <w:p w14:paraId="6AD190D2">
            <w:pPr>
              <w:jc w:val="center"/>
              <w:rPr>
                <w:bCs/>
                <w:color w:val="auto"/>
                <w:szCs w:val="21"/>
                <w:highlight w:val="none"/>
              </w:rPr>
            </w:pPr>
          </w:p>
        </w:tc>
        <w:tc>
          <w:tcPr>
            <w:tcW w:w="650" w:type="pct"/>
            <w:vAlign w:val="center"/>
          </w:tcPr>
          <w:p w14:paraId="04ADAFEB">
            <w:pPr>
              <w:jc w:val="center"/>
              <w:rPr>
                <w:bCs/>
                <w:color w:val="auto"/>
                <w:szCs w:val="21"/>
                <w:highlight w:val="none"/>
              </w:rPr>
            </w:pPr>
          </w:p>
        </w:tc>
        <w:tc>
          <w:tcPr>
            <w:tcW w:w="463" w:type="pct"/>
            <w:vAlign w:val="center"/>
          </w:tcPr>
          <w:p w14:paraId="164285F1">
            <w:pPr>
              <w:jc w:val="center"/>
              <w:rPr>
                <w:bCs/>
                <w:color w:val="auto"/>
                <w:szCs w:val="21"/>
                <w:highlight w:val="none"/>
              </w:rPr>
            </w:pPr>
          </w:p>
        </w:tc>
        <w:tc>
          <w:tcPr>
            <w:tcW w:w="548" w:type="pct"/>
            <w:vAlign w:val="center"/>
          </w:tcPr>
          <w:p w14:paraId="1119318A">
            <w:pPr>
              <w:jc w:val="center"/>
              <w:rPr>
                <w:bCs/>
                <w:color w:val="auto"/>
                <w:szCs w:val="21"/>
                <w:highlight w:val="none"/>
              </w:rPr>
            </w:pPr>
          </w:p>
        </w:tc>
        <w:tc>
          <w:tcPr>
            <w:tcW w:w="550" w:type="pct"/>
            <w:vAlign w:val="center"/>
          </w:tcPr>
          <w:p w14:paraId="0E8E3D73">
            <w:pPr>
              <w:jc w:val="center"/>
              <w:rPr>
                <w:bCs/>
                <w:color w:val="auto"/>
                <w:szCs w:val="21"/>
                <w:highlight w:val="none"/>
              </w:rPr>
            </w:pPr>
          </w:p>
        </w:tc>
      </w:tr>
      <w:tr w14:paraId="2C390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491" w:type="pct"/>
            <w:vAlign w:val="center"/>
          </w:tcPr>
          <w:p w14:paraId="58BA37B5">
            <w:pPr>
              <w:jc w:val="center"/>
              <w:rPr>
                <w:bCs/>
                <w:color w:val="auto"/>
                <w:szCs w:val="21"/>
                <w:highlight w:val="none"/>
              </w:rPr>
            </w:pPr>
          </w:p>
        </w:tc>
        <w:tc>
          <w:tcPr>
            <w:tcW w:w="834" w:type="pct"/>
            <w:vAlign w:val="center"/>
          </w:tcPr>
          <w:p w14:paraId="7AF80CCB">
            <w:pPr>
              <w:jc w:val="center"/>
              <w:rPr>
                <w:bCs/>
                <w:color w:val="auto"/>
                <w:szCs w:val="21"/>
                <w:highlight w:val="none"/>
              </w:rPr>
            </w:pPr>
          </w:p>
        </w:tc>
        <w:tc>
          <w:tcPr>
            <w:tcW w:w="488" w:type="pct"/>
            <w:vAlign w:val="center"/>
          </w:tcPr>
          <w:p w14:paraId="190FCA20">
            <w:pPr>
              <w:jc w:val="center"/>
              <w:rPr>
                <w:bCs/>
                <w:color w:val="auto"/>
                <w:szCs w:val="21"/>
                <w:highlight w:val="none"/>
              </w:rPr>
            </w:pPr>
          </w:p>
        </w:tc>
        <w:tc>
          <w:tcPr>
            <w:tcW w:w="488" w:type="pct"/>
            <w:vAlign w:val="center"/>
          </w:tcPr>
          <w:p w14:paraId="0DC9E334">
            <w:pPr>
              <w:jc w:val="center"/>
              <w:rPr>
                <w:bCs/>
                <w:color w:val="auto"/>
                <w:szCs w:val="21"/>
                <w:highlight w:val="none"/>
              </w:rPr>
            </w:pPr>
          </w:p>
        </w:tc>
        <w:tc>
          <w:tcPr>
            <w:tcW w:w="488" w:type="pct"/>
            <w:vAlign w:val="center"/>
          </w:tcPr>
          <w:p w14:paraId="151DF080">
            <w:pPr>
              <w:jc w:val="center"/>
              <w:rPr>
                <w:bCs/>
                <w:color w:val="auto"/>
                <w:szCs w:val="21"/>
                <w:highlight w:val="none"/>
              </w:rPr>
            </w:pPr>
          </w:p>
        </w:tc>
        <w:tc>
          <w:tcPr>
            <w:tcW w:w="650" w:type="pct"/>
            <w:vAlign w:val="center"/>
          </w:tcPr>
          <w:p w14:paraId="38A0113A">
            <w:pPr>
              <w:jc w:val="center"/>
              <w:rPr>
                <w:bCs/>
                <w:color w:val="auto"/>
                <w:szCs w:val="21"/>
                <w:highlight w:val="none"/>
              </w:rPr>
            </w:pPr>
          </w:p>
        </w:tc>
        <w:tc>
          <w:tcPr>
            <w:tcW w:w="463" w:type="pct"/>
            <w:vAlign w:val="center"/>
          </w:tcPr>
          <w:p w14:paraId="6FC1B6C8">
            <w:pPr>
              <w:jc w:val="center"/>
              <w:rPr>
                <w:bCs/>
                <w:color w:val="auto"/>
                <w:szCs w:val="21"/>
                <w:highlight w:val="none"/>
              </w:rPr>
            </w:pPr>
          </w:p>
        </w:tc>
        <w:tc>
          <w:tcPr>
            <w:tcW w:w="548" w:type="pct"/>
            <w:vAlign w:val="center"/>
          </w:tcPr>
          <w:p w14:paraId="758E1941">
            <w:pPr>
              <w:jc w:val="center"/>
              <w:rPr>
                <w:bCs/>
                <w:color w:val="auto"/>
                <w:szCs w:val="21"/>
                <w:highlight w:val="none"/>
              </w:rPr>
            </w:pPr>
          </w:p>
        </w:tc>
        <w:tc>
          <w:tcPr>
            <w:tcW w:w="550" w:type="pct"/>
            <w:vAlign w:val="center"/>
          </w:tcPr>
          <w:p w14:paraId="676BC387">
            <w:pPr>
              <w:jc w:val="center"/>
              <w:rPr>
                <w:bCs/>
                <w:color w:val="auto"/>
                <w:szCs w:val="21"/>
                <w:highlight w:val="none"/>
              </w:rPr>
            </w:pPr>
          </w:p>
        </w:tc>
      </w:tr>
      <w:tr w14:paraId="44C2D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491" w:type="pct"/>
            <w:vAlign w:val="center"/>
          </w:tcPr>
          <w:p w14:paraId="22F6DE26">
            <w:pPr>
              <w:jc w:val="center"/>
              <w:rPr>
                <w:bCs/>
                <w:color w:val="auto"/>
                <w:szCs w:val="21"/>
                <w:highlight w:val="none"/>
              </w:rPr>
            </w:pPr>
          </w:p>
        </w:tc>
        <w:tc>
          <w:tcPr>
            <w:tcW w:w="834" w:type="pct"/>
            <w:vAlign w:val="center"/>
          </w:tcPr>
          <w:p w14:paraId="73B52235">
            <w:pPr>
              <w:jc w:val="center"/>
              <w:rPr>
                <w:bCs/>
                <w:color w:val="auto"/>
                <w:szCs w:val="21"/>
                <w:highlight w:val="none"/>
              </w:rPr>
            </w:pPr>
          </w:p>
        </w:tc>
        <w:tc>
          <w:tcPr>
            <w:tcW w:w="488" w:type="pct"/>
            <w:vAlign w:val="center"/>
          </w:tcPr>
          <w:p w14:paraId="06EE3342">
            <w:pPr>
              <w:jc w:val="center"/>
              <w:rPr>
                <w:bCs/>
                <w:color w:val="auto"/>
                <w:szCs w:val="21"/>
                <w:highlight w:val="none"/>
              </w:rPr>
            </w:pPr>
          </w:p>
        </w:tc>
        <w:tc>
          <w:tcPr>
            <w:tcW w:w="488" w:type="pct"/>
            <w:vAlign w:val="center"/>
          </w:tcPr>
          <w:p w14:paraId="7B3122F2">
            <w:pPr>
              <w:jc w:val="center"/>
              <w:rPr>
                <w:bCs/>
                <w:color w:val="auto"/>
                <w:szCs w:val="21"/>
                <w:highlight w:val="none"/>
              </w:rPr>
            </w:pPr>
          </w:p>
        </w:tc>
        <w:tc>
          <w:tcPr>
            <w:tcW w:w="488" w:type="pct"/>
            <w:vAlign w:val="center"/>
          </w:tcPr>
          <w:p w14:paraId="2716920E">
            <w:pPr>
              <w:jc w:val="center"/>
              <w:rPr>
                <w:bCs/>
                <w:color w:val="auto"/>
                <w:szCs w:val="21"/>
                <w:highlight w:val="none"/>
              </w:rPr>
            </w:pPr>
          </w:p>
        </w:tc>
        <w:tc>
          <w:tcPr>
            <w:tcW w:w="650" w:type="pct"/>
            <w:vAlign w:val="center"/>
          </w:tcPr>
          <w:p w14:paraId="27EDEB8B">
            <w:pPr>
              <w:jc w:val="center"/>
              <w:rPr>
                <w:bCs/>
                <w:color w:val="auto"/>
                <w:szCs w:val="21"/>
                <w:highlight w:val="none"/>
              </w:rPr>
            </w:pPr>
          </w:p>
        </w:tc>
        <w:tc>
          <w:tcPr>
            <w:tcW w:w="463" w:type="pct"/>
            <w:vAlign w:val="center"/>
          </w:tcPr>
          <w:p w14:paraId="6D71FFC5">
            <w:pPr>
              <w:jc w:val="center"/>
              <w:rPr>
                <w:bCs/>
                <w:color w:val="auto"/>
                <w:szCs w:val="21"/>
                <w:highlight w:val="none"/>
              </w:rPr>
            </w:pPr>
          </w:p>
        </w:tc>
        <w:tc>
          <w:tcPr>
            <w:tcW w:w="548" w:type="pct"/>
            <w:vAlign w:val="center"/>
          </w:tcPr>
          <w:p w14:paraId="496E2552">
            <w:pPr>
              <w:jc w:val="center"/>
              <w:rPr>
                <w:bCs/>
                <w:color w:val="auto"/>
                <w:szCs w:val="21"/>
                <w:highlight w:val="none"/>
              </w:rPr>
            </w:pPr>
          </w:p>
        </w:tc>
        <w:tc>
          <w:tcPr>
            <w:tcW w:w="550" w:type="pct"/>
            <w:vAlign w:val="center"/>
          </w:tcPr>
          <w:p w14:paraId="219AA544">
            <w:pPr>
              <w:jc w:val="center"/>
              <w:rPr>
                <w:bCs/>
                <w:color w:val="auto"/>
                <w:szCs w:val="21"/>
                <w:highlight w:val="none"/>
              </w:rPr>
            </w:pPr>
          </w:p>
        </w:tc>
      </w:tr>
      <w:tr w14:paraId="12EEE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0" w:hRule="atLeast"/>
        </w:trPr>
        <w:tc>
          <w:tcPr>
            <w:tcW w:w="491" w:type="pct"/>
            <w:vAlign w:val="center"/>
          </w:tcPr>
          <w:p w14:paraId="021CF004">
            <w:pPr>
              <w:jc w:val="center"/>
              <w:rPr>
                <w:bCs/>
                <w:color w:val="auto"/>
                <w:szCs w:val="21"/>
                <w:highlight w:val="none"/>
              </w:rPr>
            </w:pPr>
          </w:p>
        </w:tc>
        <w:tc>
          <w:tcPr>
            <w:tcW w:w="834" w:type="pct"/>
            <w:vAlign w:val="center"/>
          </w:tcPr>
          <w:p w14:paraId="2B3077C3">
            <w:pPr>
              <w:jc w:val="center"/>
              <w:rPr>
                <w:bCs/>
                <w:color w:val="auto"/>
                <w:szCs w:val="21"/>
                <w:highlight w:val="none"/>
              </w:rPr>
            </w:pPr>
          </w:p>
        </w:tc>
        <w:tc>
          <w:tcPr>
            <w:tcW w:w="488" w:type="pct"/>
            <w:vAlign w:val="center"/>
          </w:tcPr>
          <w:p w14:paraId="7D6F310E">
            <w:pPr>
              <w:jc w:val="center"/>
              <w:rPr>
                <w:bCs/>
                <w:color w:val="auto"/>
                <w:szCs w:val="21"/>
                <w:highlight w:val="none"/>
              </w:rPr>
            </w:pPr>
          </w:p>
        </w:tc>
        <w:tc>
          <w:tcPr>
            <w:tcW w:w="488" w:type="pct"/>
            <w:vAlign w:val="center"/>
          </w:tcPr>
          <w:p w14:paraId="2DB9E64A">
            <w:pPr>
              <w:jc w:val="center"/>
              <w:rPr>
                <w:bCs/>
                <w:color w:val="auto"/>
                <w:szCs w:val="21"/>
                <w:highlight w:val="none"/>
              </w:rPr>
            </w:pPr>
          </w:p>
        </w:tc>
        <w:tc>
          <w:tcPr>
            <w:tcW w:w="488" w:type="pct"/>
            <w:vAlign w:val="center"/>
          </w:tcPr>
          <w:p w14:paraId="4FC476A1">
            <w:pPr>
              <w:jc w:val="center"/>
              <w:rPr>
                <w:bCs/>
                <w:color w:val="auto"/>
                <w:szCs w:val="21"/>
                <w:highlight w:val="none"/>
              </w:rPr>
            </w:pPr>
          </w:p>
        </w:tc>
        <w:tc>
          <w:tcPr>
            <w:tcW w:w="650" w:type="pct"/>
            <w:vAlign w:val="center"/>
          </w:tcPr>
          <w:p w14:paraId="3F07DED9">
            <w:pPr>
              <w:jc w:val="center"/>
              <w:rPr>
                <w:bCs/>
                <w:color w:val="auto"/>
                <w:szCs w:val="21"/>
                <w:highlight w:val="none"/>
              </w:rPr>
            </w:pPr>
          </w:p>
        </w:tc>
        <w:tc>
          <w:tcPr>
            <w:tcW w:w="463" w:type="pct"/>
            <w:vAlign w:val="center"/>
          </w:tcPr>
          <w:p w14:paraId="2BFCF4F0">
            <w:pPr>
              <w:jc w:val="center"/>
              <w:rPr>
                <w:bCs/>
                <w:color w:val="auto"/>
                <w:szCs w:val="21"/>
                <w:highlight w:val="none"/>
              </w:rPr>
            </w:pPr>
          </w:p>
        </w:tc>
        <w:tc>
          <w:tcPr>
            <w:tcW w:w="548" w:type="pct"/>
            <w:vAlign w:val="center"/>
          </w:tcPr>
          <w:p w14:paraId="224D6751">
            <w:pPr>
              <w:jc w:val="center"/>
              <w:rPr>
                <w:bCs/>
                <w:color w:val="auto"/>
                <w:szCs w:val="21"/>
                <w:highlight w:val="none"/>
              </w:rPr>
            </w:pPr>
          </w:p>
        </w:tc>
        <w:tc>
          <w:tcPr>
            <w:tcW w:w="550" w:type="pct"/>
            <w:vAlign w:val="center"/>
          </w:tcPr>
          <w:p w14:paraId="0E8156E3">
            <w:pPr>
              <w:jc w:val="center"/>
              <w:rPr>
                <w:bCs/>
                <w:color w:val="auto"/>
                <w:szCs w:val="21"/>
                <w:highlight w:val="none"/>
              </w:rPr>
            </w:pPr>
          </w:p>
        </w:tc>
      </w:tr>
      <w:tr w14:paraId="792A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7255A7A1">
            <w:pPr>
              <w:jc w:val="center"/>
              <w:rPr>
                <w:bCs/>
                <w:color w:val="auto"/>
                <w:szCs w:val="21"/>
                <w:highlight w:val="none"/>
              </w:rPr>
            </w:pPr>
          </w:p>
        </w:tc>
        <w:tc>
          <w:tcPr>
            <w:tcW w:w="834" w:type="pct"/>
            <w:vAlign w:val="center"/>
          </w:tcPr>
          <w:p w14:paraId="5B0CB5E3">
            <w:pPr>
              <w:jc w:val="center"/>
              <w:rPr>
                <w:bCs/>
                <w:color w:val="auto"/>
                <w:szCs w:val="21"/>
                <w:highlight w:val="none"/>
              </w:rPr>
            </w:pPr>
          </w:p>
        </w:tc>
        <w:tc>
          <w:tcPr>
            <w:tcW w:w="488" w:type="pct"/>
            <w:vAlign w:val="center"/>
          </w:tcPr>
          <w:p w14:paraId="11AA9C9C">
            <w:pPr>
              <w:jc w:val="center"/>
              <w:rPr>
                <w:bCs/>
                <w:color w:val="auto"/>
                <w:szCs w:val="21"/>
                <w:highlight w:val="none"/>
              </w:rPr>
            </w:pPr>
          </w:p>
        </w:tc>
        <w:tc>
          <w:tcPr>
            <w:tcW w:w="488" w:type="pct"/>
            <w:vAlign w:val="center"/>
          </w:tcPr>
          <w:p w14:paraId="5946C9AA">
            <w:pPr>
              <w:jc w:val="center"/>
              <w:rPr>
                <w:bCs/>
                <w:color w:val="auto"/>
                <w:szCs w:val="21"/>
                <w:highlight w:val="none"/>
              </w:rPr>
            </w:pPr>
          </w:p>
        </w:tc>
        <w:tc>
          <w:tcPr>
            <w:tcW w:w="488" w:type="pct"/>
            <w:vAlign w:val="center"/>
          </w:tcPr>
          <w:p w14:paraId="0BB3530E">
            <w:pPr>
              <w:jc w:val="center"/>
              <w:rPr>
                <w:bCs/>
                <w:color w:val="auto"/>
                <w:szCs w:val="21"/>
                <w:highlight w:val="none"/>
              </w:rPr>
            </w:pPr>
          </w:p>
        </w:tc>
        <w:tc>
          <w:tcPr>
            <w:tcW w:w="650" w:type="pct"/>
            <w:vAlign w:val="center"/>
          </w:tcPr>
          <w:p w14:paraId="798600D2">
            <w:pPr>
              <w:jc w:val="center"/>
              <w:rPr>
                <w:bCs/>
                <w:color w:val="auto"/>
                <w:szCs w:val="21"/>
                <w:highlight w:val="none"/>
              </w:rPr>
            </w:pPr>
          </w:p>
        </w:tc>
        <w:tc>
          <w:tcPr>
            <w:tcW w:w="463" w:type="pct"/>
            <w:vAlign w:val="center"/>
          </w:tcPr>
          <w:p w14:paraId="24DA7618">
            <w:pPr>
              <w:jc w:val="center"/>
              <w:rPr>
                <w:bCs/>
                <w:color w:val="auto"/>
                <w:szCs w:val="21"/>
                <w:highlight w:val="none"/>
              </w:rPr>
            </w:pPr>
          </w:p>
        </w:tc>
        <w:tc>
          <w:tcPr>
            <w:tcW w:w="548" w:type="pct"/>
            <w:vAlign w:val="center"/>
          </w:tcPr>
          <w:p w14:paraId="6BF14FA8">
            <w:pPr>
              <w:jc w:val="center"/>
              <w:rPr>
                <w:bCs/>
                <w:color w:val="auto"/>
                <w:szCs w:val="21"/>
                <w:highlight w:val="none"/>
              </w:rPr>
            </w:pPr>
          </w:p>
        </w:tc>
        <w:tc>
          <w:tcPr>
            <w:tcW w:w="550" w:type="pct"/>
            <w:vAlign w:val="center"/>
          </w:tcPr>
          <w:p w14:paraId="2389D12D">
            <w:pPr>
              <w:jc w:val="center"/>
              <w:rPr>
                <w:bCs/>
                <w:color w:val="auto"/>
                <w:szCs w:val="21"/>
                <w:highlight w:val="none"/>
              </w:rPr>
            </w:pPr>
          </w:p>
        </w:tc>
      </w:tr>
      <w:tr w14:paraId="71FA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6B2283B3">
            <w:pPr>
              <w:jc w:val="center"/>
              <w:rPr>
                <w:bCs/>
                <w:color w:val="auto"/>
                <w:szCs w:val="21"/>
                <w:highlight w:val="none"/>
              </w:rPr>
            </w:pPr>
          </w:p>
        </w:tc>
        <w:tc>
          <w:tcPr>
            <w:tcW w:w="834" w:type="pct"/>
            <w:vAlign w:val="center"/>
          </w:tcPr>
          <w:p w14:paraId="262357F3">
            <w:pPr>
              <w:jc w:val="center"/>
              <w:rPr>
                <w:bCs/>
                <w:color w:val="auto"/>
                <w:szCs w:val="21"/>
                <w:highlight w:val="none"/>
              </w:rPr>
            </w:pPr>
          </w:p>
        </w:tc>
        <w:tc>
          <w:tcPr>
            <w:tcW w:w="488" w:type="pct"/>
            <w:vAlign w:val="center"/>
          </w:tcPr>
          <w:p w14:paraId="34F1CABD">
            <w:pPr>
              <w:jc w:val="center"/>
              <w:rPr>
                <w:bCs/>
                <w:color w:val="auto"/>
                <w:szCs w:val="21"/>
                <w:highlight w:val="none"/>
              </w:rPr>
            </w:pPr>
          </w:p>
        </w:tc>
        <w:tc>
          <w:tcPr>
            <w:tcW w:w="488" w:type="pct"/>
            <w:vAlign w:val="center"/>
          </w:tcPr>
          <w:p w14:paraId="3AFB76BF">
            <w:pPr>
              <w:jc w:val="center"/>
              <w:rPr>
                <w:bCs/>
                <w:color w:val="auto"/>
                <w:szCs w:val="21"/>
                <w:highlight w:val="none"/>
              </w:rPr>
            </w:pPr>
          </w:p>
        </w:tc>
        <w:tc>
          <w:tcPr>
            <w:tcW w:w="488" w:type="pct"/>
            <w:vAlign w:val="center"/>
          </w:tcPr>
          <w:p w14:paraId="5C075F2B">
            <w:pPr>
              <w:jc w:val="center"/>
              <w:rPr>
                <w:bCs/>
                <w:color w:val="auto"/>
                <w:szCs w:val="21"/>
                <w:highlight w:val="none"/>
              </w:rPr>
            </w:pPr>
          </w:p>
        </w:tc>
        <w:tc>
          <w:tcPr>
            <w:tcW w:w="650" w:type="pct"/>
            <w:vAlign w:val="center"/>
          </w:tcPr>
          <w:p w14:paraId="21DAD009">
            <w:pPr>
              <w:jc w:val="center"/>
              <w:rPr>
                <w:bCs/>
                <w:color w:val="auto"/>
                <w:szCs w:val="21"/>
                <w:highlight w:val="none"/>
              </w:rPr>
            </w:pPr>
          </w:p>
        </w:tc>
        <w:tc>
          <w:tcPr>
            <w:tcW w:w="463" w:type="pct"/>
            <w:vAlign w:val="center"/>
          </w:tcPr>
          <w:p w14:paraId="626BB3D2">
            <w:pPr>
              <w:jc w:val="center"/>
              <w:rPr>
                <w:bCs/>
                <w:color w:val="auto"/>
                <w:szCs w:val="21"/>
                <w:highlight w:val="none"/>
              </w:rPr>
            </w:pPr>
          </w:p>
        </w:tc>
        <w:tc>
          <w:tcPr>
            <w:tcW w:w="548" w:type="pct"/>
            <w:vAlign w:val="center"/>
          </w:tcPr>
          <w:p w14:paraId="58DE753A">
            <w:pPr>
              <w:jc w:val="center"/>
              <w:rPr>
                <w:bCs/>
                <w:color w:val="auto"/>
                <w:szCs w:val="21"/>
                <w:highlight w:val="none"/>
              </w:rPr>
            </w:pPr>
          </w:p>
        </w:tc>
        <w:tc>
          <w:tcPr>
            <w:tcW w:w="550" w:type="pct"/>
            <w:vAlign w:val="center"/>
          </w:tcPr>
          <w:p w14:paraId="69440829">
            <w:pPr>
              <w:jc w:val="center"/>
              <w:rPr>
                <w:bCs/>
                <w:color w:val="auto"/>
                <w:szCs w:val="21"/>
                <w:highlight w:val="none"/>
              </w:rPr>
            </w:pPr>
          </w:p>
        </w:tc>
      </w:tr>
      <w:tr w14:paraId="5DF3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1F233D49">
            <w:pPr>
              <w:jc w:val="center"/>
              <w:rPr>
                <w:bCs/>
                <w:color w:val="auto"/>
                <w:szCs w:val="21"/>
                <w:highlight w:val="none"/>
              </w:rPr>
            </w:pPr>
          </w:p>
        </w:tc>
        <w:tc>
          <w:tcPr>
            <w:tcW w:w="834" w:type="pct"/>
            <w:vAlign w:val="center"/>
          </w:tcPr>
          <w:p w14:paraId="25F2D517">
            <w:pPr>
              <w:jc w:val="center"/>
              <w:rPr>
                <w:bCs/>
                <w:color w:val="auto"/>
                <w:szCs w:val="21"/>
                <w:highlight w:val="none"/>
              </w:rPr>
            </w:pPr>
          </w:p>
        </w:tc>
        <w:tc>
          <w:tcPr>
            <w:tcW w:w="488" w:type="pct"/>
            <w:vAlign w:val="center"/>
          </w:tcPr>
          <w:p w14:paraId="6FE59657">
            <w:pPr>
              <w:jc w:val="center"/>
              <w:rPr>
                <w:bCs/>
                <w:color w:val="auto"/>
                <w:szCs w:val="21"/>
                <w:highlight w:val="none"/>
              </w:rPr>
            </w:pPr>
          </w:p>
        </w:tc>
        <w:tc>
          <w:tcPr>
            <w:tcW w:w="488" w:type="pct"/>
            <w:vAlign w:val="center"/>
          </w:tcPr>
          <w:p w14:paraId="55C57047">
            <w:pPr>
              <w:jc w:val="center"/>
              <w:rPr>
                <w:bCs/>
                <w:color w:val="auto"/>
                <w:szCs w:val="21"/>
                <w:highlight w:val="none"/>
              </w:rPr>
            </w:pPr>
          </w:p>
        </w:tc>
        <w:tc>
          <w:tcPr>
            <w:tcW w:w="488" w:type="pct"/>
            <w:vAlign w:val="center"/>
          </w:tcPr>
          <w:p w14:paraId="12714A8F">
            <w:pPr>
              <w:jc w:val="center"/>
              <w:rPr>
                <w:bCs/>
                <w:color w:val="auto"/>
                <w:szCs w:val="21"/>
                <w:highlight w:val="none"/>
              </w:rPr>
            </w:pPr>
          </w:p>
        </w:tc>
        <w:tc>
          <w:tcPr>
            <w:tcW w:w="650" w:type="pct"/>
            <w:vAlign w:val="center"/>
          </w:tcPr>
          <w:p w14:paraId="1F45FF9B">
            <w:pPr>
              <w:jc w:val="center"/>
              <w:rPr>
                <w:bCs/>
                <w:color w:val="auto"/>
                <w:szCs w:val="21"/>
                <w:highlight w:val="none"/>
              </w:rPr>
            </w:pPr>
          </w:p>
        </w:tc>
        <w:tc>
          <w:tcPr>
            <w:tcW w:w="463" w:type="pct"/>
            <w:vAlign w:val="center"/>
          </w:tcPr>
          <w:p w14:paraId="5B6BA4DD">
            <w:pPr>
              <w:jc w:val="center"/>
              <w:rPr>
                <w:bCs/>
                <w:color w:val="auto"/>
                <w:szCs w:val="21"/>
                <w:highlight w:val="none"/>
              </w:rPr>
            </w:pPr>
          </w:p>
        </w:tc>
        <w:tc>
          <w:tcPr>
            <w:tcW w:w="548" w:type="pct"/>
            <w:vAlign w:val="center"/>
          </w:tcPr>
          <w:p w14:paraId="4BA09E08">
            <w:pPr>
              <w:jc w:val="center"/>
              <w:rPr>
                <w:bCs/>
                <w:color w:val="auto"/>
                <w:szCs w:val="21"/>
                <w:highlight w:val="none"/>
              </w:rPr>
            </w:pPr>
          </w:p>
        </w:tc>
        <w:tc>
          <w:tcPr>
            <w:tcW w:w="550" w:type="pct"/>
            <w:vAlign w:val="center"/>
          </w:tcPr>
          <w:p w14:paraId="6BDB7A63">
            <w:pPr>
              <w:jc w:val="center"/>
              <w:rPr>
                <w:bCs/>
                <w:color w:val="auto"/>
                <w:szCs w:val="21"/>
                <w:highlight w:val="none"/>
              </w:rPr>
            </w:pPr>
          </w:p>
        </w:tc>
      </w:tr>
      <w:tr w14:paraId="0BA0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5067D8B0">
            <w:pPr>
              <w:jc w:val="center"/>
              <w:rPr>
                <w:bCs/>
                <w:color w:val="auto"/>
                <w:szCs w:val="21"/>
                <w:highlight w:val="none"/>
              </w:rPr>
            </w:pPr>
          </w:p>
        </w:tc>
        <w:tc>
          <w:tcPr>
            <w:tcW w:w="834" w:type="pct"/>
            <w:vAlign w:val="center"/>
          </w:tcPr>
          <w:p w14:paraId="3AF0A603">
            <w:pPr>
              <w:jc w:val="center"/>
              <w:rPr>
                <w:bCs/>
                <w:color w:val="auto"/>
                <w:szCs w:val="21"/>
                <w:highlight w:val="none"/>
              </w:rPr>
            </w:pPr>
          </w:p>
        </w:tc>
        <w:tc>
          <w:tcPr>
            <w:tcW w:w="488" w:type="pct"/>
            <w:vAlign w:val="center"/>
          </w:tcPr>
          <w:p w14:paraId="3D1DA545">
            <w:pPr>
              <w:jc w:val="center"/>
              <w:rPr>
                <w:bCs/>
                <w:color w:val="auto"/>
                <w:szCs w:val="21"/>
                <w:highlight w:val="none"/>
              </w:rPr>
            </w:pPr>
          </w:p>
        </w:tc>
        <w:tc>
          <w:tcPr>
            <w:tcW w:w="488" w:type="pct"/>
            <w:vAlign w:val="center"/>
          </w:tcPr>
          <w:p w14:paraId="355A1C49">
            <w:pPr>
              <w:jc w:val="center"/>
              <w:rPr>
                <w:bCs/>
                <w:color w:val="auto"/>
                <w:szCs w:val="21"/>
                <w:highlight w:val="none"/>
              </w:rPr>
            </w:pPr>
          </w:p>
        </w:tc>
        <w:tc>
          <w:tcPr>
            <w:tcW w:w="488" w:type="pct"/>
            <w:vAlign w:val="center"/>
          </w:tcPr>
          <w:p w14:paraId="5CFBFCA7">
            <w:pPr>
              <w:jc w:val="center"/>
              <w:rPr>
                <w:bCs/>
                <w:color w:val="auto"/>
                <w:szCs w:val="21"/>
                <w:highlight w:val="none"/>
              </w:rPr>
            </w:pPr>
          </w:p>
        </w:tc>
        <w:tc>
          <w:tcPr>
            <w:tcW w:w="650" w:type="pct"/>
            <w:vAlign w:val="center"/>
          </w:tcPr>
          <w:p w14:paraId="4A186E3B">
            <w:pPr>
              <w:jc w:val="center"/>
              <w:rPr>
                <w:bCs/>
                <w:color w:val="auto"/>
                <w:szCs w:val="21"/>
                <w:highlight w:val="none"/>
              </w:rPr>
            </w:pPr>
          </w:p>
        </w:tc>
        <w:tc>
          <w:tcPr>
            <w:tcW w:w="463" w:type="pct"/>
            <w:vAlign w:val="center"/>
          </w:tcPr>
          <w:p w14:paraId="2649A5ED">
            <w:pPr>
              <w:jc w:val="center"/>
              <w:rPr>
                <w:bCs/>
                <w:color w:val="auto"/>
                <w:szCs w:val="21"/>
                <w:highlight w:val="none"/>
              </w:rPr>
            </w:pPr>
          </w:p>
        </w:tc>
        <w:tc>
          <w:tcPr>
            <w:tcW w:w="548" w:type="pct"/>
            <w:vAlign w:val="center"/>
          </w:tcPr>
          <w:p w14:paraId="726F3C6D">
            <w:pPr>
              <w:jc w:val="center"/>
              <w:rPr>
                <w:bCs/>
                <w:color w:val="auto"/>
                <w:szCs w:val="21"/>
                <w:highlight w:val="none"/>
              </w:rPr>
            </w:pPr>
          </w:p>
        </w:tc>
        <w:tc>
          <w:tcPr>
            <w:tcW w:w="550" w:type="pct"/>
            <w:vAlign w:val="center"/>
          </w:tcPr>
          <w:p w14:paraId="306E1ECE">
            <w:pPr>
              <w:jc w:val="center"/>
              <w:rPr>
                <w:bCs/>
                <w:color w:val="auto"/>
                <w:szCs w:val="21"/>
                <w:highlight w:val="none"/>
              </w:rPr>
            </w:pPr>
          </w:p>
        </w:tc>
      </w:tr>
      <w:tr w14:paraId="1CE9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2936C414">
            <w:pPr>
              <w:jc w:val="center"/>
              <w:rPr>
                <w:bCs/>
                <w:color w:val="auto"/>
                <w:szCs w:val="21"/>
                <w:highlight w:val="none"/>
              </w:rPr>
            </w:pPr>
          </w:p>
        </w:tc>
        <w:tc>
          <w:tcPr>
            <w:tcW w:w="834" w:type="pct"/>
            <w:vAlign w:val="center"/>
          </w:tcPr>
          <w:p w14:paraId="350CEE63">
            <w:pPr>
              <w:jc w:val="center"/>
              <w:rPr>
                <w:bCs/>
                <w:color w:val="auto"/>
                <w:szCs w:val="21"/>
                <w:highlight w:val="none"/>
              </w:rPr>
            </w:pPr>
          </w:p>
        </w:tc>
        <w:tc>
          <w:tcPr>
            <w:tcW w:w="488" w:type="pct"/>
            <w:vAlign w:val="center"/>
          </w:tcPr>
          <w:p w14:paraId="4C220B81">
            <w:pPr>
              <w:jc w:val="center"/>
              <w:rPr>
                <w:bCs/>
                <w:color w:val="auto"/>
                <w:szCs w:val="21"/>
                <w:highlight w:val="none"/>
              </w:rPr>
            </w:pPr>
          </w:p>
        </w:tc>
        <w:tc>
          <w:tcPr>
            <w:tcW w:w="488" w:type="pct"/>
            <w:vAlign w:val="center"/>
          </w:tcPr>
          <w:p w14:paraId="51202EE7">
            <w:pPr>
              <w:jc w:val="center"/>
              <w:rPr>
                <w:bCs/>
                <w:color w:val="auto"/>
                <w:szCs w:val="21"/>
                <w:highlight w:val="none"/>
              </w:rPr>
            </w:pPr>
          </w:p>
        </w:tc>
        <w:tc>
          <w:tcPr>
            <w:tcW w:w="488" w:type="pct"/>
            <w:vAlign w:val="center"/>
          </w:tcPr>
          <w:p w14:paraId="5AB421FE">
            <w:pPr>
              <w:jc w:val="center"/>
              <w:rPr>
                <w:bCs/>
                <w:color w:val="auto"/>
                <w:szCs w:val="21"/>
                <w:highlight w:val="none"/>
              </w:rPr>
            </w:pPr>
          </w:p>
        </w:tc>
        <w:tc>
          <w:tcPr>
            <w:tcW w:w="650" w:type="pct"/>
            <w:vAlign w:val="center"/>
          </w:tcPr>
          <w:p w14:paraId="4B88F174">
            <w:pPr>
              <w:jc w:val="center"/>
              <w:rPr>
                <w:bCs/>
                <w:color w:val="auto"/>
                <w:szCs w:val="21"/>
                <w:highlight w:val="none"/>
              </w:rPr>
            </w:pPr>
          </w:p>
        </w:tc>
        <w:tc>
          <w:tcPr>
            <w:tcW w:w="463" w:type="pct"/>
            <w:vAlign w:val="center"/>
          </w:tcPr>
          <w:p w14:paraId="5FA3C35C">
            <w:pPr>
              <w:jc w:val="center"/>
              <w:rPr>
                <w:bCs/>
                <w:color w:val="auto"/>
                <w:szCs w:val="21"/>
                <w:highlight w:val="none"/>
              </w:rPr>
            </w:pPr>
          </w:p>
        </w:tc>
        <w:tc>
          <w:tcPr>
            <w:tcW w:w="548" w:type="pct"/>
            <w:vAlign w:val="center"/>
          </w:tcPr>
          <w:p w14:paraId="288A808E">
            <w:pPr>
              <w:jc w:val="center"/>
              <w:rPr>
                <w:bCs/>
                <w:color w:val="auto"/>
                <w:szCs w:val="21"/>
                <w:highlight w:val="none"/>
              </w:rPr>
            </w:pPr>
          </w:p>
        </w:tc>
        <w:tc>
          <w:tcPr>
            <w:tcW w:w="550" w:type="pct"/>
            <w:vAlign w:val="center"/>
          </w:tcPr>
          <w:p w14:paraId="6472A325">
            <w:pPr>
              <w:jc w:val="center"/>
              <w:rPr>
                <w:bCs/>
                <w:color w:val="auto"/>
                <w:szCs w:val="21"/>
                <w:highlight w:val="none"/>
              </w:rPr>
            </w:pPr>
          </w:p>
        </w:tc>
      </w:tr>
      <w:tr w14:paraId="2EA99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4EA947F1">
            <w:pPr>
              <w:jc w:val="center"/>
              <w:rPr>
                <w:bCs/>
                <w:color w:val="auto"/>
                <w:szCs w:val="21"/>
                <w:highlight w:val="none"/>
              </w:rPr>
            </w:pPr>
          </w:p>
        </w:tc>
        <w:tc>
          <w:tcPr>
            <w:tcW w:w="834" w:type="pct"/>
            <w:vAlign w:val="center"/>
          </w:tcPr>
          <w:p w14:paraId="4F39BF64">
            <w:pPr>
              <w:jc w:val="center"/>
              <w:rPr>
                <w:bCs/>
                <w:color w:val="auto"/>
                <w:szCs w:val="21"/>
                <w:highlight w:val="none"/>
              </w:rPr>
            </w:pPr>
          </w:p>
        </w:tc>
        <w:tc>
          <w:tcPr>
            <w:tcW w:w="488" w:type="pct"/>
            <w:vAlign w:val="center"/>
          </w:tcPr>
          <w:p w14:paraId="75704D2C">
            <w:pPr>
              <w:jc w:val="center"/>
              <w:rPr>
                <w:bCs/>
                <w:color w:val="auto"/>
                <w:szCs w:val="21"/>
                <w:highlight w:val="none"/>
              </w:rPr>
            </w:pPr>
          </w:p>
        </w:tc>
        <w:tc>
          <w:tcPr>
            <w:tcW w:w="488" w:type="pct"/>
            <w:vAlign w:val="center"/>
          </w:tcPr>
          <w:p w14:paraId="704D75C3">
            <w:pPr>
              <w:jc w:val="center"/>
              <w:rPr>
                <w:bCs/>
                <w:color w:val="auto"/>
                <w:szCs w:val="21"/>
                <w:highlight w:val="none"/>
              </w:rPr>
            </w:pPr>
          </w:p>
        </w:tc>
        <w:tc>
          <w:tcPr>
            <w:tcW w:w="488" w:type="pct"/>
            <w:vAlign w:val="center"/>
          </w:tcPr>
          <w:p w14:paraId="66AB9F84">
            <w:pPr>
              <w:jc w:val="center"/>
              <w:rPr>
                <w:bCs/>
                <w:color w:val="auto"/>
                <w:szCs w:val="21"/>
                <w:highlight w:val="none"/>
              </w:rPr>
            </w:pPr>
          </w:p>
        </w:tc>
        <w:tc>
          <w:tcPr>
            <w:tcW w:w="650" w:type="pct"/>
            <w:vAlign w:val="center"/>
          </w:tcPr>
          <w:p w14:paraId="61137786">
            <w:pPr>
              <w:jc w:val="center"/>
              <w:rPr>
                <w:bCs/>
                <w:color w:val="auto"/>
                <w:szCs w:val="21"/>
                <w:highlight w:val="none"/>
              </w:rPr>
            </w:pPr>
          </w:p>
        </w:tc>
        <w:tc>
          <w:tcPr>
            <w:tcW w:w="463" w:type="pct"/>
            <w:vAlign w:val="center"/>
          </w:tcPr>
          <w:p w14:paraId="42DD3116">
            <w:pPr>
              <w:jc w:val="center"/>
              <w:rPr>
                <w:bCs/>
                <w:color w:val="auto"/>
                <w:szCs w:val="21"/>
                <w:highlight w:val="none"/>
              </w:rPr>
            </w:pPr>
          </w:p>
        </w:tc>
        <w:tc>
          <w:tcPr>
            <w:tcW w:w="548" w:type="pct"/>
            <w:vAlign w:val="center"/>
          </w:tcPr>
          <w:p w14:paraId="3AB0F7ED">
            <w:pPr>
              <w:jc w:val="center"/>
              <w:rPr>
                <w:bCs/>
                <w:color w:val="auto"/>
                <w:szCs w:val="21"/>
                <w:highlight w:val="none"/>
              </w:rPr>
            </w:pPr>
          </w:p>
        </w:tc>
        <w:tc>
          <w:tcPr>
            <w:tcW w:w="550" w:type="pct"/>
            <w:vAlign w:val="center"/>
          </w:tcPr>
          <w:p w14:paraId="32241E42">
            <w:pPr>
              <w:jc w:val="center"/>
              <w:rPr>
                <w:bCs/>
                <w:color w:val="auto"/>
                <w:szCs w:val="21"/>
                <w:highlight w:val="none"/>
              </w:rPr>
            </w:pPr>
          </w:p>
        </w:tc>
      </w:tr>
      <w:tr w14:paraId="5632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3B2CAF8D">
            <w:pPr>
              <w:jc w:val="center"/>
              <w:rPr>
                <w:bCs/>
                <w:color w:val="auto"/>
                <w:szCs w:val="21"/>
                <w:highlight w:val="none"/>
              </w:rPr>
            </w:pPr>
          </w:p>
        </w:tc>
        <w:tc>
          <w:tcPr>
            <w:tcW w:w="834" w:type="pct"/>
            <w:vAlign w:val="center"/>
          </w:tcPr>
          <w:p w14:paraId="3C5776AF">
            <w:pPr>
              <w:jc w:val="center"/>
              <w:rPr>
                <w:bCs/>
                <w:color w:val="auto"/>
                <w:szCs w:val="21"/>
                <w:highlight w:val="none"/>
              </w:rPr>
            </w:pPr>
          </w:p>
        </w:tc>
        <w:tc>
          <w:tcPr>
            <w:tcW w:w="488" w:type="pct"/>
            <w:vAlign w:val="center"/>
          </w:tcPr>
          <w:p w14:paraId="0270F5D7">
            <w:pPr>
              <w:jc w:val="center"/>
              <w:rPr>
                <w:bCs/>
                <w:color w:val="auto"/>
                <w:szCs w:val="21"/>
                <w:highlight w:val="none"/>
              </w:rPr>
            </w:pPr>
          </w:p>
        </w:tc>
        <w:tc>
          <w:tcPr>
            <w:tcW w:w="488" w:type="pct"/>
            <w:vAlign w:val="center"/>
          </w:tcPr>
          <w:p w14:paraId="4293D98D">
            <w:pPr>
              <w:jc w:val="center"/>
              <w:rPr>
                <w:bCs/>
                <w:color w:val="auto"/>
                <w:szCs w:val="21"/>
                <w:highlight w:val="none"/>
              </w:rPr>
            </w:pPr>
          </w:p>
        </w:tc>
        <w:tc>
          <w:tcPr>
            <w:tcW w:w="488" w:type="pct"/>
            <w:vAlign w:val="center"/>
          </w:tcPr>
          <w:p w14:paraId="3D0DC2A7">
            <w:pPr>
              <w:jc w:val="center"/>
              <w:rPr>
                <w:bCs/>
                <w:color w:val="auto"/>
                <w:szCs w:val="21"/>
                <w:highlight w:val="none"/>
              </w:rPr>
            </w:pPr>
          </w:p>
        </w:tc>
        <w:tc>
          <w:tcPr>
            <w:tcW w:w="650" w:type="pct"/>
            <w:vAlign w:val="center"/>
          </w:tcPr>
          <w:p w14:paraId="53F155A3">
            <w:pPr>
              <w:jc w:val="center"/>
              <w:rPr>
                <w:bCs/>
                <w:color w:val="auto"/>
                <w:szCs w:val="21"/>
                <w:highlight w:val="none"/>
              </w:rPr>
            </w:pPr>
          </w:p>
        </w:tc>
        <w:tc>
          <w:tcPr>
            <w:tcW w:w="463" w:type="pct"/>
            <w:vAlign w:val="center"/>
          </w:tcPr>
          <w:p w14:paraId="6C6F274D">
            <w:pPr>
              <w:jc w:val="center"/>
              <w:rPr>
                <w:bCs/>
                <w:color w:val="auto"/>
                <w:szCs w:val="21"/>
                <w:highlight w:val="none"/>
              </w:rPr>
            </w:pPr>
          </w:p>
        </w:tc>
        <w:tc>
          <w:tcPr>
            <w:tcW w:w="548" w:type="pct"/>
            <w:vAlign w:val="center"/>
          </w:tcPr>
          <w:p w14:paraId="7F43B40C">
            <w:pPr>
              <w:jc w:val="center"/>
              <w:rPr>
                <w:bCs/>
                <w:color w:val="auto"/>
                <w:szCs w:val="21"/>
                <w:highlight w:val="none"/>
              </w:rPr>
            </w:pPr>
          </w:p>
        </w:tc>
        <w:tc>
          <w:tcPr>
            <w:tcW w:w="550" w:type="pct"/>
            <w:vAlign w:val="center"/>
          </w:tcPr>
          <w:p w14:paraId="635F32F5">
            <w:pPr>
              <w:jc w:val="center"/>
              <w:rPr>
                <w:bCs/>
                <w:color w:val="auto"/>
                <w:szCs w:val="21"/>
                <w:highlight w:val="none"/>
              </w:rPr>
            </w:pPr>
          </w:p>
        </w:tc>
      </w:tr>
      <w:tr w14:paraId="2BE3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76AC1A4E">
            <w:pPr>
              <w:jc w:val="center"/>
              <w:rPr>
                <w:bCs/>
                <w:color w:val="auto"/>
                <w:szCs w:val="21"/>
                <w:highlight w:val="none"/>
              </w:rPr>
            </w:pPr>
          </w:p>
        </w:tc>
        <w:tc>
          <w:tcPr>
            <w:tcW w:w="834" w:type="pct"/>
            <w:vAlign w:val="center"/>
          </w:tcPr>
          <w:p w14:paraId="437A1ECB">
            <w:pPr>
              <w:jc w:val="center"/>
              <w:rPr>
                <w:bCs/>
                <w:color w:val="auto"/>
                <w:szCs w:val="21"/>
                <w:highlight w:val="none"/>
              </w:rPr>
            </w:pPr>
          </w:p>
        </w:tc>
        <w:tc>
          <w:tcPr>
            <w:tcW w:w="488" w:type="pct"/>
            <w:vAlign w:val="center"/>
          </w:tcPr>
          <w:p w14:paraId="3EFC2059">
            <w:pPr>
              <w:jc w:val="center"/>
              <w:rPr>
                <w:bCs/>
                <w:color w:val="auto"/>
                <w:szCs w:val="21"/>
                <w:highlight w:val="none"/>
              </w:rPr>
            </w:pPr>
          </w:p>
        </w:tc>
        <w:tc>
          <w:tcPr>
            <w:tcW w:w="488" w:type="pct"/>
            <w:vAlign w:val="center"/>
          </w:tcPr>
          <w:p w14:paraId="6971BE90">
            <w:pPr>
              <w:jc w:val="center"/>
              <w:rPr>
                <w:bCs/>
                <w:color w:val="auto"/>
                <w:szCs w:val="21"/>
                <w:highlight w:val="none"/>
              </w:rPr>
            </w:pPr>
          </w:p>
        </w:tc>
        <w:tc>
          <w:tcPr>
            <w:tcW w:w="488" w:type="pct"/>
            <w:vAlign w:val="center"/>
          </w:tcPr>
          <w:p w14:paraId="4BA8780C">
            <w:pPr>
              <w:jc w:val="center"/>
              <w:rPr>
                <w:bCs/>
                <w:color w:val="auto"/>
                <w:szCs w:val="21"/>
                <w:highlight w:val="none"/>
              </w:rPr>
            </w:pPr>
          </w:p>
        </w:tc>
        <w:tc>
          <w:tcPr>
            <w:tcW w:w="650" w:type="pct"/>
            <w:vAlign w:val="center"/>
          </w:tcPr>
          <w:p w14:paraId="1912471E">
            <w:pPr>
              <w:jc w:val="center"/>
              <w:rPr>
                <w:bCs/>
                <w:color w:val="auto"/>
                <w:szCs w:val="21"/>
                <w:highlight w:val="none"/>
              </w:rPr>
            </w:pPr>
          </w:p>
        </w:tc>
        <w:tc>
          <w:tcPr>
            <w:tcW w:w="463" w:type="pct"/>
            <w:vAlign w:val="center"/>
          </w:tcPr>
          <w:p w14:paraId="6D3F0CCF">
            <w:pPr>
              <w:jc w:val="center"/>
              <w:rPr>
                <w:bCs/>
                <w:color w:val="auto"/>
                <w:szCs w:val="21"/>
                <w:highlight w:val="none"/>
              </w:rPr>
            </w:pPr>
          </w:p>
        </w:tc>
        <w:tc>
          <w:tcPr>
            <w:tcW w:w="548" w:type="pct"/>
            <w:vAlign w:val="center"/>
          </w:tcPr>
          <w:p w14:paraId="26DB42E8">
            <w:pPr>
              <w:jc w:val="center"/>
              <w:rPr>
                <w:bCs/>
                <w:color w:val="auto"/>
                <w:szCs w:val="21"/>
                <w:highlight w:val="none"/>
              </w:rPr>
            </w:pPr>
          </w:p>
        </w:tc>
        <w:tc>
          <w:tcPr>
            <w:tcW w:w="550" w:type="pct"/>
            <w:vAlign w:val="center"/>
          </w:tcPr>
          <w:p w14:paraId="44A292BA">
            <w:pPr>
              <w:jc w:val="center"/>
              <w:rPr>
                <w:bCs/>
                <w:color w:val="auto"/>
                <w:szCs w:val="21"/>
                <w:highlight w:val="none"/>
              </w:rPr>
            </w:pPr>
          </w:p>
        </w:tc>
      </w:tr>
      <w:tr w14:paraId="5400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5A201816">
            <w:pPr>
              <w:jc w:val="center"/>
              <w:rPr>
                <w:bCs/>
                <w:color w:val="auto"/>
                <w:szCs w:val="21"/>
                <w:highlight w:val="none"/>
              </w:rPr>
            </w:pPr>
          </w:p>
        </w:tc>
        <w:tc>
          <w:tcPr>
            <w:tcW w:w="834" w:type="pct"/>
            <w:vAlign w:val="center"/>
          </w:tcPr>
          <w:p w14:paraId="1C48DD9C">
            <w:pPr>
              <w:jc w:val="center"/>
              <w:rPr>
                <w:bCs/>
                <w:color w:val="auto"/>
                <w:szCs w:val="21"/>
                <w:highlight w:val="none"/>
              </w:rPr>
            </w:pPr>
          </w:p>
        </w:tc>
        <w:tc>
          <w:tcPr>
            <w:tcW w:w="488" w:type="pct"/>
            <w:vAlign w:val="center"/>
          </w:tcPr>
          <w:p w14:paraId="326A6671">
            <w:pPr>
              <w:jc w:val="center"/>
              <w:rPr>
                <w:bCs/>
                <w:color w:val="auto"/>
                <w:szCs w:val="21"/>
                <w:highlight w:val="none"/>
              </w:rPr>
            </w:pPr>
          </w:p>
        </w:tc>
        <w:tc>
          <w:tcPr>
            <w:tcW w:w="488" w:type="pct"/>
            <w:vAlign w:val="center"/>
          </w:tcPr>
          <w:p w14:paraId="36E8BC71">
            <w:pPr>
              <w:jc w:val="center"/>
              <w:rPr>
                <w:bCs/>
                <w:color w:val="auto"/>
                <w:szCs w:val="21"/>
                <w:highlight w:val="none"/>
              </w:rPr>
            </w:pPr>
          </w:p>
        </w:tc>
        <w:tc>
          <w:tcPr>
            <w:tcW w:w="488" w:type="pct"/>
            <w:vAlign w:val="center"/>
          </w:tcPr>
          <w:p w14:paraId="19920828">
            <w:pPr>
              <w:jc w:val="center"/>
              <w:rPr>
                <w:bCs/>
                <w:color w:val="auto"/>
                <w:szCs w:val="21"/>
                <w:highlight w:val="none"/>
              </w:rPr>
            </w:pPr>
          </w:p>
        </w:tc>
        <w:tc>
          <w:tcPr>
            <w:tcW w:w="650" w:type="pct"/>
            <w:vAlign w:val="center"/>
          </w:tcPr>
          <w:p w14:paraId="124F967D">
            <w:pPr>
              <w:jc w:val="center"/>
              <w:rPr>
                <w:bCs/>
                <w:color w:val="auto"/>
                <w:szCs w:val="21"/>
                <w:highlight w:val="none"/>
              </w:rPr>
            </w:pPr>
          </w:p>
        </w:tc>
        <w:tc>
          <w:tcPr>
            <w:tcW w:w="463" w:type="pct"/>
            <w:vAlign w:val="center"/>
          </w:tcPr>
          <w:p w14:paraId="124CF67B">
            <w:pPr>
              <w:jc w:val="center"/>
              <w:rPr>
                <w:bCs/>
                <w:color w:val="auto"/>
                <w:szCs w:val="21"/>
                <w:highlight w:val="none"/>
              </w:rPr>
            </w:pPr>
          </w:p>
        </w:tc>
        <w:tc>
          <w:tcPr>
            <w:tcW w:w="548" w:type="pct"/>
            <w:vAlign w:val="center"/>
          </w:tcPr>
          <w:p w14:paraId="2D988196">
            <w:pPr>
              <w:jc w:val="center"/>
              <w:rPr>
                <w:bCs/>
                <w:color w:val="auto"/>
                <w:szCs w:val="21"/>
                <w:highlight w:val="none"/>
              </w:rPr>
            </w:pPr>
          </w:p>
        </w:tc>
        <w:tc>
          <w:tcPr>
            <w:tcW w:w="550" w:type="pct"/>
            <w:vAlign w:val="center"/>
          </w:tcPr>
          <w:p w14:paraId="4EB0141C">
            <w:pPr>
              <w:jc w:val="center"/>
              <w:rPr>
                <w:bCs/>
                <w:color w:val="auto"/>
                <w:szCs w:val="21"/>
                <w:highlight w:val="none"/>
              </w:rPr>
            </w:pPr>
          </w:p>
        </w:tc>
      </w:tr>
      <w:tr w14:paraId="27B56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491" w:type="pct"/>
            <w:vAlign w:val="center"/>
          </w:tcPr>
          <w:p w14:paraId="2ABCB841">
            <w:pPr>
              <w:jc w:val="center"/>
              <w:rPr>
                <w:bCs/>
                <w:color w:val="auto"/>
                <w:szCs w:val="21"/>
                <w:highlight w:val="none"/>
              </w:rPr>
            </w:pPr>
          </w:p>
        </w:tc>
        <w:tc>
          <w:tcPr>
            <w:tcW w:w="834" w:type="pct"/>
            <w:vAlign w:val="center"/>
          </w:tcPr>
          <w:p w14:paraId="24F56B2F">
            <w:pPr>
              <w:jc w:val="center"/>
              <w:rPr>
                <w:bCs/>
                <w:color w:val="auto"/>
                <w:szCs w:val="21"/>
                <w:highlight w:val="none"/>
              </w:rPr>
            </w:pPr>
          </w:p>
        </w:tc>
        <w:tc>
          <w:tcPr>
            <w:tcW w:w="488" w:type="pct"/>
            <w:vAlign w:val="center"/>
          </w:tcPr>
          <w:p w14:paraId="761DAE2E">
            <w:pPr>
              <w:jc w:val="center"/>
              <w:rPr>
                <w:bCs/>
                <w:color w:val="auto"/>
                <w:szCs w:val="21"/>
                <w:highlight w:val="none"/>
              </w:rPr>
            </w:pPr>
          </w:p>
        </w:tc>
        <w:tc>
          <w:tcPr>
            <w:tcW w:w="488" w:type="pct"/>
            <w:vAlign w:val="center"/>
          </w:tcPr>
          <w:p w14:paraId="6BB01F2F">
            <w:pPr>
              <w:jc w:val="center"/>
              <w:rPr>
                <w:bCs/>
                <w:color w:val="auto"/>
                <w:szCs w:val="21"/>
                <w:highlight w:val="none"/>
              </w:rPr>
            </w:pPr>
          </w:p>
        </w:tc>
        <w:tc>
          <w:tcPr>
            <w:tcW w:w="488" w:type="pct"/>
            <w:vAlign w:val="center"/>
          </w:tcPr>
          <w:p w14:paraId="5EA92D4E">
            <w:pPr>
              <w:jc w:val="center"/>
              <w:rPr>
                <w:bCs/>
                <w:color w:val="auto"/>
                <w:szCs w:val="21"/>
                <w:highlight w:val="none"/>
              </w:rPr>
            </w:pPr>
          </w:p>
        </w:tc>
        <w:tc>
          <w:tcPr>
            <w:tcW w:w="650" w:type="pct"/>
            <w:vAlign w:val="center"/>
          </w:tcPr>
          <w:p w14:paraId="1B3C0472">
            <w:pPr>
              <w:jc w:val="center"/>
              <w:rPr>
                <w:bCs/>
                <w:color w:val="auto"/>
                <w:szCs w:val="21"/>
                <w:highlight w:val="none"/>
              </w:rPr>
            </w:pPr>
          </w:p>
        </w:tc>
        <w:tc>
          <w:tcPr>
            <w:tcW w:w="463" w:type="pct"/>
            <w:vAlign w:val="center"/>
          </w:tcPr>
          <w:p w14:paraId="68834D99">
            <w:pPr>
              <w:jc w:val="center"/>
              <w:rPr>
                <w:bCs/>
                <w:color w:val="auto"/>
                <w:szCs w:val="21"/>
                <w:highlight w:val="none"/>
              </w:rPr>
            </w:pPr>
          </w:p>
        </w:tc>
        <w:tc>
          <w:tcPr>
            <w:tcW w:w="548" w:type="pct"/>
            <w:vAlign w:val="center"/>
          </w:tcPr>
          <w:p w14:paraId="1044CBAA">
            <w:pPr>
              <w:jc w:val="center"/>
              <w:rPr>
                <w:bCs/>
                <w:color w:val="auto"/>
                <w:szCs w:val="21"/>
                <w:highlight w:val="none"/>
              </w:rPr>
            </w:pPr>
          </w:p>
        </w:tc>
        <w:tc>
          <w:tcPr>
            <w:tcW w:w="550" w:type="pct"/>
            <w:vAlign w:val="center"/>
          </w:tcPr>
          <w:p w14:paraId="3A45ED82">
            <w:pPr>
              <w:jc w:val="center"/>
              <w:rPr>
                <w:bCs/>
                <w:color w:val="auto"/>
                <w:szCs w:val="21"/>
                <w:highlight w:val="none"/>
              </w:rPr>
            </w:pPr>
          </w:p>
        </w:tc>
      </w:tr>
    </w:tbl>
    <w:p w14:paraId="75945C1F">
      <w:pPr>
        <w:spacing w:line="360" w:lineRule="auto"/>
        <w:ind w:left="735" w:leftChars="200" w:hanging="315" w:hangingChars="150"/>
        <w:rPr>
          <w:bCs/>
          <w:color w:val="auto"/>
          <w:szCs w:val="21"/>
          <w:highlight w:val="none"/>
        </w:rPr>
      </w:pPr>
    </w:p>
    <w:bookmarkEnd w:id="1811"/>
    <w:p w14:paraId="579F0C38">
      <w:pPr>
        <w:spacing w:line="360" w:lineRule="auto"/>
        <w:ind w:left="735" w:leftChars="200" w:hanging="315" w:hangingChars="150"/>
        <w:rPr>
          <w:bCs/>
          <w:color w:val="auto"/>
          <w:szCs w:val="21"/>
          <w:highlight w:val="none"/>
        </w:rPr>
      </w:pPr>
    </w:p>
    <w:p w14:paraId="7D06B0DB">
      <w:pPr>
        <w:spacing w:line="360" w:lineRule="auto"/>
        <w:ind w:left="735" w:leftChars="200" w:hanging="315" w:hangingChars="150"/>
        <w:rPr>
          <w:color w:val="auto"/>
          <w:szCs w:val="21"/>
          <w:highlight w:val="none"/>
        </w:rPr>
        <w:sectPr>
          <w:pgSz w:w="11907" w:h="16840"/>
          <w:pgMar w:top="1417" w:right="1701" w:bottom="1417" w:left="1701" w:header="850" w:footer="1134" w:gutter="0"/>
          <w:pgNumType w:fmt="decimal"/>
          <w:cols w:space="0" w:num="1"/>
          <w:rtlGutter w:val="0"/>
          <w:docGrid w:linePitch="312" w:charSpace="0"/>
        </w:sectPr>
      </w:pPr>
    </w:p>
    <w:p w14:paraId="452909D5">
      <w:pPr>
        <w:pStyle w:val="53"/>
        <w:spacing w:before="120"/>
        <w:rPr>
          <w:rStyle w:val="46"/>
          <w:rFonts w:ascii="Times New Roman" w:hAnsi="Times New Roman" w:eastAsia="宋体" w:cs="Times New Roman"/>
          <w:b/>
          <w:bCs w:val="0"/>
          <w:color w:val="auto"/>
          <w:szCs w:val="24"/>
          <w:highlight w:val="none"/>
        </w:rPr>
      </w:pPr>
      <w:r>
        <w:rPr>
          <w:rStyle w:val="46"/>
          <w:rFonts w:hint="eastAsia" w:ascii="Times New Roman" w:hAnsi="Times New Roman" w:eastAsia="宋体" w:cs="Times New Roman"/>
          <w:b/>
          <w:bCs w:val="0"/>
          <w:color w:val="auto"/>
          <w:szCs w:val="24"/>
          <w:highlight w:val="none"/>
        </w:rPr>
        <w:t>7.</w:t>
      </w:r>
      <w:r>
        <w:rPr>
          <w:color w:val="auto"/>
          <w:sz w:val="21"/>
          <w:szCs w:val="21"/>
          <w:highlight w:val="none"/>
        </w:rPr>
        <w:t xml:space="preserve"> </w:t>
      </w:r>
      <w:r>
        <w:rPr>
          <w:rStyle w:val="46"/>
          <w:rFonts w:ascii="Times New Roman" w:hAnsi="Times New Roman" w:eastAsia="宋体" w:cs="Times New Roman"/>
          <w:b/>
          <w:bCs w:val="0"/>
          <w:color w:val="auto"/>
          <w:szCs w:val="24"/>
          <w:highlight w:val="none"/>
        </w:rPr>
        <w:t>甲供材料、构件</w:t>
      </w:r>
      <w:r>
        <w:rPr>
          <w:rStyle w:val="46"/>
          <w:rFonts w:hint="eastAsia" w:ascii="Times New Roman" w:hAnsi="Times New Roman" w:eastAsia="宋体" w:cs="Times New Roman"/>
          <w:b/>
          <w:bCs w:val="0"/>
          <w:color w:val="auto"/>
          <w:szCs w:val="24"/>
          <w:highlight w:val="none"/>
        </w:rPr>
        <w:t>、设备</w:t>
      </w:r>
      <w:r>
        <w:rPr>
          <w:rStyle w:val="46"/>
          <w:rFonts w:ascii="Times New Roman" w:hAnsi="Times New Roman" w:eastAsia="宋体" w:cs="Times New Roman"/>
          <w:b/>
          <w:bCs w:val="0"/>
          <w:color w:val="auto"/>
          <w:szCs w:val="24"/>
          <w:highlight w:val="none"/>
        </w:rPr>
        <w:t>清单</w:t>
      </w:r>
    </w:p>
    <w:p w14:paraId="526B069F">
      <w:pPr>
        <w:spacing w:line="360" w:lineRule="auto"/>
        <w:jc w:val="center"/>
        <w:rPr>
          <w:b/>
          <w:color w:val="auto"/>
          <w:szCs w:val="21"/>
          <w:highlight w:val="none"/>
        </w:rPr>
      </w:pPr>
    </w:p>
    <w:p w14:paraId="6EE9DE38">
      <w:pPr>
        <w:spacing w:line="360" w:lineRule="auto"/>
        <w:jc w:val="center"/>
        <w:rPr>
          <w:b/>
          <w:color w:val="auto"/>
          <w:sz w:val="28"/>
          <w:szCs w:val="28"/>
          <w:highlight w:val="none"/>
        </w:rPr>
      </w:pPr>
      <w:r>
        <w:rPr>
          <w:b/>
          <w:color w:val="auto"/>
          <w:sz w:val="28"/>
          <w:szCs w:val="28"/>
          <w:highlight w:val="none"/>
        </w:rPr>
        <w:t>甲供材料、构件</w:t>
      </w:r>
      <w:r>
        <w:rPr>
          <w:rFonts w:hint="eastAsia"/>
          <w:b/>
          <w:color w:val="auto"/>
          <w:sz w:val="28"/>
          <w:szCs w:val="28"/>
          <w:highlight w:val="none"/>
        </w:rPr>
        <w:t>、设备</w:t>
      </w:r>
      <w:r>
        <w:rPr>
          <w:b/>
          <w:color w:val="auto"/>
          <w:sz w:val="28"/>
          <w:szCs w:val="28"/>
          <w:highlight w:val="none"/>
        </w:rPr>
        <w:t>清单</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1768"/>
        <w:gridCol w:w="1759"/>
        <w:gridCol w:w="834"/>
        <w:gridCol w:w="1568"/>
        <w:gridCol w:w="1904"/>
      </w:tblGrid>
      <w:tr w14:paraId="067DE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tblHeader/>
          <w:jc w:val="center"/>
        </w:trPr>
        <w:tc>
          <w:tcPr>
            <w:tcW w:w="458" w:type="pct"/>
            <w:vAlign w:val="center"/>
          </w:tcPr>
          <w:p w14:paraId="1CFF1018">
            <w:pPr>
              <w:widowControl/>
              <w:jc w:val="center"/>
              <w:rPr>
                <w:b/>
                <w:color w:val="auto"/>
                <w:kern w:val="0"/>
                <w:szCs w:val="21"/>
                <w:highlight w:val="none"/>
              </w:rPr>
            </w:pPr>
            <w:r>
              <w:rPr>
                <w:rFonts w:hAnsi="宋体"/>
                <w:b/>
                <w:color w:val="auto"/>
                <w:kern w:val="0"/>
                <w:szCs w:val="21"/>
                <w:highlight w:val="none"/>
              </w:rPr>
              <w:t>序号</w:t>
            </w:r>
          </w:p>
        </w:tc>
        <w:tc>
          <w:tcPr>
            <w:tcW w:w="1122" w:type="pct"/>
            <w:vAlign w:val="center"/>
          </w:tcPr>
          <w:p w14:paraId="0019250A">
            <w:pPr>
              <w:widowControl/>
              <w:jc w:val="center"/>
              <w:rPr>
                <w:b/>
                <w:color w:val="auto"/>
                <w:kern w:val="0"/>
                <w:szCs w:val="21"/>
                <w:highlight w:val="none"/>
              </w:rPr>
            </w:pPr>
            <w:r>
              <w:rPr>
                <w:rFonts w:hAnsi="宋体"/>
                <w:b/>
                <w:color w:val="auto"/>
                <w:kern w:val="0"/>
                <w:szCs w:val="21"/>
                <w:highlight w:val="none"/>
              </w:rPr>
              <w:t>材料名称</w:t>
            </w:r>
          </w:p>
        </w:tc>
        <w:tc>
          <w:tcPr>
            <w:tcW w:w="1008" w:type="pct"/>
            <w:noWrap/>
            <w:vAlign w:val="center"/>
          </w:tcPr>
          <w:p w14:paraId="5FAEAC93">
            <w:pPr>
              <w:widowControl/>
              <w:jc w:val="center"/>
              <w:rPr>
                <w:b/>
                <w:color w:val="auto"/>
                <w:kern w:val="0"/>
                <w:szCs w:val="21"/>
                <w:highlight w:val="none"/>
              </w:rPr>
            </w:pPr>
            <w:r>
              <w:rPr>
                <w:rFonts w:hAnsi="宋体"/>
                <w:b/>
                <w:color w:val="auto"/>
                <w:kern w:val="0"/>
                <w:szCs w:val="21"/>
                <w:highlight w:val="none"/>
              </w:rPr>
              <w:t>规格</w:t>
            </w:r>
            <w:r>
              <w:rPr>
                <w:b/>
                <w:color w:val="auto"/>
                <w:kern w:val="0"/>
                <w:szCs w:val="21"/>
                <w:highlight w:val="none"/>
              </w:rPr>
              <w:t xml:space="preserve"> / </w:t>
            </w:r>
            <w:r>
              <w:rPr>
                <w:rFonts w:hAnsi="宋体"/>
                <w:b/>
                <w:color w:val="auto"/>
                <w:kern w:val="0"/>
                <w:szCs w:val="21"/>
                <w:highlight w:val="none"/>
              </w:rPr>
              <w:t>型号</w:t>
            </w:r>
          </w:p>
        </w:tc>
        <w:tc>
          <w:tcPr>
            <w:tcW w:w="478" w:type="pct"/>
            <w:noWrap/>
            <w:vAlign w:val="center"/>
          </w:tcPr>
          <w:p w14:paraId="4B1F693B">
            <w:pPr>
              <w:widowControl/>
              <w:jc w:val="center"/>
              <w:rPr>
                <w:b/>
                <w:color w:val="auto"/>
                <w:kern w:val="0"/>
                <w:szCs w:val="21"/>
                <w:highlight w:val="none"/>
              </w:rPr>
            </w:pPr>
            <w:r>
              <w:rPr>
                <w:rFonts w:hAnsi="宋体"/>
                <w:b/>
                <w:color w:val="auto"/>
                <w:kern w:val="0"/>
                <w:szCs w:val="21"/>
                <w:highlight w:val="none"/>
              </w:rPr>
              <w:t>单位</w:t>
            </w:r>
          </w:p>
        </w:tc>
        <w:tc>
          <w:tcPr>
            <w:tcW w:w="1004" w:type="pct"/>
            <w:vAlign w:val="center"/>
          </w:tcPr>
          <w:p w14:paraId="0F14DE25">
            <w:pPr>
              <w:widowControl/>
              <w:rPr>
                <w:b/>
                <w:color w:val="auto"/>
                <w:kern w:val="0"/>
                <w:szCs w:val="21"/>
                <w:highlight w:val="none"/>
              </w:rPr>
            </w:pPr>
            <w:r>
              <w:rPr>
                <w:rFonts w:hint="eastAsia" w:hAnsi="宋体"/>
                <w:b/>
                <w:color w:val="auto"/>
                <w:kern w:val="0"/>
                <w:szCs w:val="21"/>
                <w:highlight w:val="none"/>
              </w:rPr>
              <w:t>暂定</w:t>
            </w:r>
            <w:r>
              <w:rPr>
                <w:rFonts w:hAnsi="宋体"/>
                <w:b/>
                <w:color w:val="auto"/>
                <w:kern w:val="0"/>
                <w:szCs w:val="21"/>
                <w:highlight w:val="none"/>
              </w:rPr>
              <w:t>单价（元）</w:t>
            </w:r>
          </w:p>
        </w:tc>
        <w:tc>
          <w:tcPr>
            <w:tcW w:w="929" w:type="pct"/>
            <w:noWrap/>
            <w:vAlign w:val="center"/>
          </w:tcPr>
          <w:p w14:paraId="2E9ADF86">
            <w:pPr>
              <w:widowControl/>
              <w:jc w:val="center"/>
              <w:rPr>
                <w:rFonts w:hint="eastAsia" w:eastAsia="宋体"/>
                <w:b/>
                <w:color w:val="auto"/>
                <w:kern w:val="0"/>
                <w:szCs w:val="21"/>
                <w:highlight w:val="none"/>
                <w:lang w:eastAsia="zh-CN"/>
              </w:rPr>
            </w:pPr>
            <w:r>
              <w:rPr>
                <w:rFonts w:hAnsi="宋体"/>
                <w:b/>
                <w:color w:val="auto"/>
                <w:kern w:val="0"/>
                <w:szCs w:val="21"/>
                <w:highlight w:val="none"/>
              </w:rPr>
              <w:t>备注</w:t>
            </w:r>
            <w:r>
              <w:rPr>
                <w:rFonts w:hint="eastAsia" w:hAnsi="宋体"/>
                <w:b/>
                <w:color w:val="auto"/>
                <w:kern w:val="0"/>
                <w:szCs w:val="21"/>
                <w:highlight w:val="none"/>
                <w:lang w:eastAsia="zh-CN"/>
              </w:rPr>
              <w:t>（</w:t>
            </w:r>
            <w:r>
              <w:rPr>
                <w:rFonts w:hint="eastAsia" w:hAnsi="宋体"/>
                <w:b/>
                <w:color w:val="auto"/>
                <w:kern w:val="0"/>
                <w:szCs w:val="21"/>
                <w:highlight w:val="none"/>
                <w:lang w:val="en-US" w:eastAsia="zh-CN"/>
              </w:rPr>
              <w:t>暂定数量</w:t>
            </w:r>
            <w:r>
              <w:rPr>
                <w:rFonts w:hint="eastAsia" w:hAnsi="宋体"/>
                <w:b/>
                <w:color w:val="auto"/>
                <w:kern w:val="0"/>
                <w:szCs w:val="21"/>
                <w:highlight w:val="none"/>
                <w:lang w:eastAsia="zh-CN"/>
              </w:rPr>
              <w:t>）</w:t>
            </w:r>
          </w:p>
        </w:tc>
      </w:tr>
      <w:tr w14:paraId="1F2D6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26FB0042">
            <w:pPr>
              <w:spacing w:line="240" w:lineRule="auto"/>
              <w:jc w:val="center"/>
              <w:rPr>
                <w:rFonts w:hint="eastAsia" w:eastAsia="宋体"/>
                <w:b/>
                <w:bCs/>
                <w:color w:val="auto"/>
                <w:kern w:val="0"/>
                <w:szCs w:val="21"/>
                <w:highlight w:val="none"/>
                <w:lang w:val="en-US" w:eastAsia="zh-CN"/>
              </w:rPr>
            </w:pPr>
            <w:r>
              <w:rPr>
                <w:rFonts w:hint="eastAsia"/>
                <w:b/>
                <w:color w:val="auto"/>
                <w:sz w:val="21"/>
                <w:szCs w:val="24"/>
                <w:highlight w:val="none"/>
                <w:lang w:eastAsia="zh-CN"/>
              </w:rPr>
              <w:t>1</w:t>
            </w:r>
          </w:p>
        </w:tc>
        <w:tc>
          <w:tcPr>
            <w:tcW w:w="1957" w:type="dxa"/>
            <w:vAlign w:val="center"/>
          </w:tcPr>
          <w:p w14:paraId="0645BD98">
            <w:pPr>
              <w:spacing w:line="240" w:lineRule="auto"/>
              <w:jc w:val="center"/>
              <w:rPr>
                <w:rFonts w:hint="eastAsia" w:eastAsia="宋体"/>
                <w:b/>
                <w:bCs/>
                <w:color w:val="auto"/>
                <w:kern w:val="0"/>
                <w:szCs w:val="21"/>
                <w:highlight w:val="none"/>
                <w:lang w:val="en-US" w:eastAsia="zh-CN"/>
              </w:rPr>
            </w:pPr>
            <w:r>
              <w:rPr>
                <w:rFonts w:hint="eastAsia"/>
                <w:color w:val="auto"/>
                <w:sz w:val="21"/>
                <w:szCs w:val="24"/>
                <w:highlight w:val="none"/>
                <w:lang w:val="en-US" w:eastAsia="zh-CN"/>
              </w:rPr>
              <w:t>无</w:t>
            </w:r>
          </w:p>
        </w:tc>
        <w:tc>
          <w:tcPr>
            <w:tcW w:w="1759" w:type="dxa"/>
            <w:noWrap/>
            <w:vAlign w:val="center"/>
          </w:tcPr>
          <w:p w14:paraId="3C872CFC">
            <w:pPr>
              <w:spacing w:line="240" w:lineRule="auto"/>
              <w:jc w:val="center"/>
              <w:rPr>
                <w:rFonts w:hint="eastAsia" w:eastAsia="宋体"/>
                <w:color w:val="auto"/>
                <w:kern w:val="0"/>
                <w:szCs w:val="21"/>
                <w:highlight w:val="none"/>
                <w:lang w:val="en-US" w:eastAsia="zh-CN"/>
              </w:rPr>
            </w:pPr>
            <w:r>
              <w:rPr>
                <w:rFonts w:hint="eastAsia"/>
                <w:color w:val="auto"/>
                <w:sz w:val="21"/>
                <w:szCs w:val="24"/>
                <w:highlight w:val="none"/>
                <w:lang w:val="en-US" w:eastAsia="zh-CN"/>
              </w:rPr>
              <w:t>/</w:t>
            </w:r>
          </w:p>
        </w:tc>
        <w:tc>
          <w:tcPr>
            <w:tcW w:w="834" w:type="dxa"/>
            <w:noWrap/>
            <w:vAlign w:val="center"/>
          </w:tcPr>
          <w:p w14:paraId="28D5A54D">
            <w:pPr>
              <w:spacing w:line="240" w:lineRule="auto"/>
              <w:jc w:val="center"/>
              <w:rPr>
                <w:rFonts w:hint="eastAsia" w:eastAsia="宋体"/>
                <w:color w:val="auto"/>
                <w:kern w:val="0"/>
                <w:szCs w:val="21"/>
                <w:highlight w:val="none"/>
                <w:lang w:val="en-US" w:eastAsia="zh-CN"/>
              </w:rPr>
            </w:pPr>
            <w:r>
              <w:rPr>
                <w:rFonts w:hint="eastAsia"/>
                <w:color w:val="auto"/>
                <w:sz w:val="21"/>
                <w:szCs w:val="24"/>
                <w:highlight w:val="none"/>
                <w:lang w:val="en-US" w:eastAsia="zh-CN"/>
              </w:rPr>
              <w:t>/</w:t>
            </w:r>
          </w:p>
        </w:tc>
        <w:tc>
          <w:tcPr>
            <w:tcW w:w="1752" w:type="dxa"/>
            <w:vAlign w:val="center"/>
          </w:tcPr>
          <w:p w14:paraId="27334813">
            <w:pPr>
              <w:spacing w:line="240" w:lineRule="auto"/>
              <w:jc w:val="center"/>
              <w:rPr>
                <w:rFonts w:hint="eastAsia" w:eastAsia="宋体"/>
                <w:color w:val="auto"/>
                <w:kern w:val="0"/>
                <w:szCs w:val="21"/>
                <w:highlight w:val="none"/>
                <w:lang w:val="en-US" w:eastAsia="zh-CN"/>
              </w:rPr>
            </w:pPr>
            <w:r>
              <w:rPr>
                <w:rFonts w:hint="eastAsia"/>
                <w:color w:val="auto"/>
                <w:sz w:val="21"/>
                <w:szCs w:val="24"/>
                <w:highlight w:val="none"/>
                <w:lang w:val="en-US" w:eastAsia="zh-CN"/>
              </w:rPr>
              <w:t>/</w:t>
            </w:r>
          </w:p>
        </w:tc>
        <w:tc>
          <w:tcPr>
            <w:tcW w:w="1621" w:type="dxa"/>
            <w:noWrap/>
            <w:vAlign w:val="center"/>
          </w:tcPr>
          <w:p w14:paraId="7560D738">
            <w:pPr>
              <w:spacing w:line="240" w:lineRule="auto"/>
              <w:jc w:val="center"/>
              <w:rPr>
                <w:rFonts w:hint="default" w:eastAsia="宋体"/>
                <w:color w:val="auto"/>
                <w:kern w:val="0"/>
                <w:szCs w:val="21"/>
                <w:highlight w:val="none"/>
                <w:lang w:val="en-US" w:eastAsia="zh-CN"/>
              </w:rPr>
            </w:pPr>
            <w:r>
              <w:rPr>
                <w:rFonts w:hint="eastAsia"/>
                <w:color w:val="auto"/>
                <w:kern w:val="0"/>
                <w:szCs w:val="21"/>
                <w:highlight w:val="none"/>
                <w:lang w:val="en-US" w:eastAsia="zh-CN"/>
              </w:rPr>
              <w:t>/</w:t>
            </w:r>
          </w:p>
        </w:tc>
      </w:tr>
      <w:tr w14:paraId="089935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2B332145">
            <w:pPr>
              <w:spacing w:line="240" w:lineRule="auto"/>
              <w:jc w:val="center"/>
              <w:rPr>
                <w:color w:val="auto"/>
                <w:kern w:val="0"/>
                <w:szCs w:val="21"/>
                <w:highlight w:val="none"/>
              </w:rPr>
            </w:pPr>
          </w:p>
        </w:tc>
        <w:tc>
          <w:tcPr>
            <w:tcW w:w="1957" w:type="dxa"/>
            <w:vAlign w:val="center"/>
          </w:tcPr>
          <w:p w14:paraId="639017A6">
            <w:pPr>
              <w:spacing w:line="240" w:lineRule="auto"/>
              <w:jc w:val="center"/>
              <w:rPr>
                <w:color w:val="auto"/>
                <w:kern w:val="0"/>
                <w:szCs w:val="21"/>
                <w:highlight w:val="none"/>
              </w:rPr>
            </w:pPr>
          </w:p>
        </w:tc>
        <w:tc>
          <w:tcPr>
            <w:tcW w:w="1759" w:type="dxa"/>
            <w:noWrap/>
            <w:vAlign w:val="center"/>
          </w:tcPr>
          <w:p w14:paraId="29E8355D">
            <w:pPr>
              <w:spacing w:line="240" w:lineRule="auto"/>
              <w:jc w:val="center"/>
              <w:rPr>
                <w:color w:val="auto"/>
                <w:kern w:val="0"/>
                <w:szCs w:val="21"/>
                <w:highlight w:val="none"/>
              </w:rPr>
            </w:pPr>
          </w:p>
        </w:tc>
        <w:tc>
          <w:tcPr>
            <w:tcW w:w="834" w:type="dxa"/>
            <w:noWrap/>
            <w:vAlign w:val="center"/>
          </w:tcPr>
          <w:p w14:paraId="751E6DBC">
            <w:pPr>
              <w:spacing w:line="240" w:lineRule="auto"/>
              <w:jc w:val="center"/>
              <w:rPr>
                <w:color w:val="auto"/>
                <w:highlight w:val="none"/>
              </w:rPr>
            </w:pPr>
          </w:p>
        </w:tc>
        <w:tc>
          <w:tcPr>
            <w:tcW w:w="1752" w:type="dxa"/>
            <w:vAlign w:val="center"/>
          </w:tcPr>
          <w:p w14:paraId="4E8A54E9">
            <w:pPr>
              <w:spacing w:beforeLines="0" w:afterLines="0" w:line="240" w:lineRule="auto"/>
              <w:jc w:val="center"/>
              <w:rPr>
                <w:color w:val="auto"/>
                <w:kern w:val="0"/>
                <w:szCs w:val="21"/>
                <w:highlight w:val="none"/>
              </w:rPr>
            </w:pPr>
          </w:p>
        </w:tc>
        <w:tc>
          <w:tcPr>
            <w:tcW w:w="1621" w:type="dxa"/>
            <w:noWrap/>
            <w:vAlign w:val="center"/>
          </w:tcPr>
          <w:p w14:paraId="2BE84484">
            <w:pPr>
              <w:spacing w:line="240" w:lineRule="auto"/>
              <w:jc w:val="center"/>
              <w:rPr>
                <w:color w:val="auto"/>
                <w:kern w:val="0"/>
                <w:szCs w:val="21"/>
                <w:highlight w:val="none"/>
              </w:rPr>
            </w:pPr>
          </w:p>
        </w:tc>
      </w:tr>
      <w:tr w14:paraId="175712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78A91606">
            <w:pPr>
              <w:spacing w:line="240" w:lineRule="auto"/>
              <w:jc w:val="center"/>
              <w:rPr>
                <w:color w:val="auto"/>
                <w:kern w:val="0"/>
                <w:szCs w:val="21"/>
                <w:highlight w:val="none"/>
              </w:rPr>
            </w:pPr>
          </w:p>
        </w:tc>
        <w:tc>
          <w:tcPr>
            <w:tcW w:w="1957" w:type="dxa"/>
            <w:vAlign w:val="center"/>
          </w:tcPr>
          <w:p w14:paraId="09BEEB47">
            <w:pPr>
              <w:spacing w:line="240" w:lineRule="auto"/>
              <w:jc w:val="center"/>
              <w:rPr>
                <w:color w:val="auto"/>
                <w:kern w:val="0"/>
                <w:szCs w:val="21"/>
                <w:highlight w:val="none"/>
              </w:rPr>
            </w:pPr>
          </w:p>
        </w:tc>
        <w:tc>
          <w:tcPr>
            <w:tcW w:w="1759" w:type="dxa"/>
            <w:noWrap/>
            <w:vAlign w:val="center"/>
          </w:tcPr>
          <w:p w14:paraId="7C54C972">
            <w:pPr>
              <w:spacing w:line="240" w:lineRule="auto"/>
              <w:jc w:val="center"/>
              <w:rPr>
                <w:color w:val="auto"/>
                <w:kern w:val="0"/>
                <w:szCs w:val="21"/>
                <w:highlight w:val="none"/>
              </w:rPr>
            </w:pPr>
          </w:p>
        </w:tc>
        <w:tc>
          <w:tcPr>
            <w:tcW w:w="834" w:type="dxa"/>
            <w:noWrap/>
            <w:vAlign w:val="center"/>
          </w:tcPr>
          <w:p w14:paraId="5BC125A1">
            <w:pPr>
              <w:spacing w:line="240" w:lineRule="auto"/>
              <w:jc w:val="center"/>
              <w:rPr>
                <w:color w:val="auto"/>
                <w:kern w:val="0"/>
                <w:szCs w:val="21"/>
                <w:highlight w:val="none"/>
              </w:rPr>
            </w:pPr>
          </w:p>
        </w:tc>
        <w:tc>
          <w:tcPr>
            <w:tcW w:w="1752" w:type="dxa"/>
            <w:vAlign w:val="center"/>
          </w:tcPr>
          <w:p w14:paraId="1BCD7E36">
            <w:pPr>
              <w:spacing w:beforeLines="0" w:afterLines="0" w:line="240" w:lineRule="auto"/>
              <w:jc w:val="center"/>
              <w:rPr>
                <w:color w:val="auto"/>
                <w:kern w:val="0"/>
                <w:szCs w:val="21"/>
                <w:highlight w:val="none"/>
              </w:rPr>
            </w:pPr>
          </w:p>
        </w:tc>
        <w:tc>
          <w:tcPr>
            <w:tcW w:w="1621" w:type="dxa"/>
            <w:noWrap/>
            <w:vAlign w:val="center"/>
          </w:tcPr>
          <w:p w14:paraId="356FA699">
            <w:pPr>
              <w:spacing w:line="240" w:lineRule="auto"/>
              <w:jc w:val="center"/>
              <w:rPr>
                <w:color w:val="auto"/>
                <w:kern w:val="0"/>
                <w:szCs w:val="21"/>
                <w:highlight w:val="none"/>
              </w:rPr>
            </w:pPr>
          </w:p>
        </w:tc>
      </w:tr>
      <w:tr w14:paraId="4EA89F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0264E758">
            <w:pPr>
              <w:spacing w:line="240" w:lineRule="auto"/>
              <w:jc w:val="center"/>
              <w:rPr>
                <w:color w:val="auto"/>
                <w:kern w:val="0"/>
                <w:szCs w:val="21"/>
                <w:highlight w:val="none"/>
              </w:rPr>
            </w:pPr>
          </w:p>
        </w:tc>
        <w:tc>
          <w:tcPr>
            <w:tcW w:w="1957" w:type="dxa"/>
            <w:vAlign w:val="center"/>
          </w:tcPr>
          <w:p w14:paraId="740BBB43">
            <w:pPr>
              <w:spacing w:line="240" w:lineRule="auto"/>
              <w:jc w:val="center"/>
              <w:rPr>
                <w:color w:val="auto"/>
                <w:kern w:val="0"/>
                <w:szCs w:val="21"/>
                <w:highlight w:val="none"/>
              </w:rPr>
            </w:pPr>
          </w:p>
        </w:tc>
        <w:tc>
          <w:tcPr>
            <w:tcW w:w="1759" w:type="dxa"/>
            <w:noWrap/>
            <w:vAlign w:val="center"/>
          </w:tcPr>
          <w:p w14:paraId="011BDE33">
            <w:pPr>
              <w:spacing w:line="240" w:lineRule="auto"/>
              <w:jc w:val="center"/>
              <w:rPr>
                <w:color w:val="auto"/>
                <w:kern w:val="0"/>
                <w:szCs w:val="21"/>
                <w:highlight w:val="none"/>
              </w:rPr>
            </w:pPr>
          </w:p>
        </w:tc>
        <w:tc>
          <w:tcPr>
            <w:tcW w:w="834" w:type="dxa"/>
            <w:noWrap/>
            <w:vAlign w:val="center"/>
          </w:tcPr>
          <w:p w14:paraId="25280174">
            <w:pPr>
              <w:spacing w:line="240" w:lineRule="auto"/>
              <w:jc w:val="center"/>
              <w:rPr>
                <w:color w:val="auto"/>
                <w:kern w:val="0"/>
                <w:szCs w:val="21"/>
                <w:highlight w:val="none"/>
              </w:rPr>
            </w:pPr>
          </w:p>
        </w:tc>
        <w:tc>
          <w:tcPr>
            <w:tcW w:w="1752" w:type="dxa"/>
            <w:vAlign w:val="center"/>
          </w:tcPr>
          <w:p w14:paraId="0ACC7817">
            <w:pPr>
              <w:spacing w:beforeLines="0" w:afterLines="0" w:line="240" w:lineRule="auto"/>
              <w:jc w:val="center"/>
              <w:rPr>
                <w:color w:val="auto"/>
                <w:kern w:val="0"/>
                <w:szCs w:val="21"/>
                <w:highlight w:val="none"/>
              </w:rPr>
            </w:pPr>
          </w:p>
        </w:tc>
        <w:tc>
          <w:tcPr>
            <w:tcW w:w="1621" w:type="dxa"/>
            <w:noWrap/>
            <w:vAlign w:val="center"/>
          </w:tcPr>
          <w:p w14:paraId="6127CB21">
            <w:pPr>
              <w:spacing w:line="240" w:lineRule="auto"/>
              <w:jc w:val="center"/>
              <w:rPr>
                <w:color w:val="auto"/>
                <w:kern w:val="0"/>
                <w:szCs w:val="21"/>
                <w:highlight w:val="none"/>
              </w:rPr>
            </w:pPr>
          </w:p>
        </w:tc>
      </w:tr>
      <w:tr w14:paraId="6F673E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35EC45AB">
            <w:pPr>
              <w:spacing w:line="240" w:lineRule="auto"/>
              <w:jc w:val="center"/>
              <w:rPr>
                <w:color w:val="auto"/>
                <w:kern w:val="0"/>
                <w:szCs w:val="21"/>
                <w:highlight w:val="none"/>
              </w:rPr>
            </w:pPr>
          </w:p>
        </w:tc>
        <w:tc>
          <w:tcPr>
            <w:tcW w:w="1957" w:type="dxa"/>
            <w:vAlign w:val="center"/>
          </w:tcPr>
          <w:p w14:paraId="443984D1">
            <w:pPr>
              <w:spacing w:line="240" w:lineRule="auto"/>
              <w:jc w:val="center"/>
              <w:rPr>
                <w:color w:val="auto"/>
                <w:kern w:val="0"/>
                <w:szCs w:val="21"/>
                <w:highlight w:val="none"/>
              </w:rPr>
            </w:pPr>
          </w:p>
        </w:tc>
        <w:tc>
          <w:tcPr>
            <w:tcW w:w="1759" w:type="dxa"/>
            <w:noWrap/>
            <w:vAlign w:val="center"/>
          </w:tcPr>
          <w:p w14:paraId="6DA91BA4">
            <w:pPr>
              <w:spacing w:line="240" w:lineRule="auto"/>
              <w:jc w:val="center"/>
              <w:rPr>
                <w:color w:val="auto"/>
                <w:kern w:val="0"/>
                <w:szCs w:val="21"/>
                <w:highlight w:val="none"/>
              </w:rPr>
            </w:pPr>
          </w:p>
        </w:tc>
        <w:tc>
          <w:tcPr>
            <w:tcW w:w="834" w:type="dxa"/>
            <w:noWrap/>
            <w:vAlign w:val="center"/>
          </w:tcPr>
          <w:p w14:paraId="0B965AFE">
            <w:pPr>
              <w:spacing w:line="240" w:lineRule="auto"/>
              <w:jc w:val="center"/>
              <w:rPr>
                <w:color w:val="auto"/>
                <w:kern w:val="0"/>
                <w:szCs w:val="21"/>
                <w:highlight w:val="none"/>
              </w:rPr>
            </w:pPr>
          </w:p>
        </w:tc>
        <w:tc>
          <w:tcPr>
            <w:tcW w:w="1752" w:type="dxa"/>
            <w:vAlign w:val="center"/>
          </w:tcPr>
          <w:p w14:paraId="222D71DB">
            <w:pPr>
              <w:spacing w:beforeLines="0" w:afterLines="0" w:line="240" w:lineRule="auto"/>
              <w:jc w:val="center"/>
              <w:rPr>
                <w:color w:val="auto"/>
                <w:kern w:val="0"/>
                <w:szCs w:val="21"/>
                <w:highlight w:val="none"/>
              </w:rPr>
            </w:pPr>
          </w:p>
        </w:tc>
        <w:tc>
          <w:tcPr>
            <w:tcW w:w="1621" w:type="dxa"/>
            <w:noWrap/>
            <w:vAlign w:val="center"/>
          </w:tcPr>
          <w:p w14:paraId="44759F26">
            <w:pPr>
              <w:spacing w:line="240" w:lineRule="auto"/>
              <w:jc w:val="center"/>
              <w:rPr>
                <w:color w:val="auto"/>
                <w:kern w:val="0"/>
                <w:szCs w:val="21"/>
                <w:highlight w:val="none"/>
              </w:rPr>
            </w:pPr>
          </w:p>
        </w:tc>
      </w:tr>
      <w:tr w14:paraId="211BB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66CE3DCE">
            <w:pPr>
              <w:spacing w:line="240" w:lineRule="auto"/>
              <w:jc w:val="center"/>
              <w:rPr>
                <w:color w:val="auto"/>
                <w:kern w:val="0"/>
                <w:szCs w:val="21"/>
                <w:highlight w:val="none"/>
              </w:rPr>
            </w:pPr>
          </w:p>
        </w:tc>
        <w:tc>
          <w:tcPr>
            <w:tcW w:w="1957" w:type="dxa"/>
            <w:vAlign w:val="center"/>
          </w:tcPr>
          <w:p w14:paraId="1125F143">
            <w:pPr>
              <w:spacing w:line="240" w:lineRule="auto"/>
              <w:jc w:val="center"/>
              <w:rPr>
                <w:color w:val="auto"/>
                <w:kern w:val="0"/>
                <w:szCs w:val="21"/>
                <w:highlight w:val="none"/>
              </w:rPr>
            </w:pPr>
          </w:p>
        </w:tc>
        <w:tc>
          <w:tcPr>
            <w:tcW w:w="1759" w:type="dxa"/>
            <w:noWrap/>
            <w:vAlign w:val="center"/>
          </w:tcPr>
          <w:p w14:paraId="77A5609E">
            <w:pPr>
              <w:spacing w:line="240" w:lineRule="auto"/>
              <w:jc w:val="center"/>
              <w:rPr>
                <w:color w:val="auto"/>
                <w:kern w:val="0"/>
                <w:szCs w:val="21"/>
                <w:highlight w:val="none"/>
              </w:rPr>
            </w:pPr>
          </w:p>
        </w:tc>
        <w:tc>
          <w:tcPr>
            <w:tcW w:w="834" w:type="dxa"/>
            <w:noWrap/>
            <w:vAlign w:val="center"/>
          </w:tcPr>
          <w:p w14:paraId="1E787FF7">
            <w:pPr>
              <w:spacing w:line="240" w:lineRule="auto"/>
              <w:jc w:val="center"/>
              <w:rPr>
                <w:color w:val="auto"/>
                <w:kern w:val="0"/>
                <w:szCs w:val="21"/>
                <w:highlight w:val="none"/>
              </w:rPr>
            </w:pPr>
          </w:p>
        </w:tc>
        <w:tc>
          <w:tcPr>
            <w:tcW w:w="1752" w:type="dxa"/>
            <w:vAlign w:val="center"/>
          </w:tcPr>
          <w:p w14:paraId="0FD1F63C">
            <w:pPr>
              <w:spacing w:beforeLines="0" w:afterLines="0" w:line="240" w:lineRule="auto"/>
              <w:jc w:val="center"/>
              <w:rPr>
                <w:color w:val="auto"/>
                <w:kern w:val="0"/>
                <w:szCs w:val="21"/>
                <w:highlight w:val="none"/>
              </w:rPr>
            </w:pPr>
          </w:p>
        </w:tc>
        <w:tc>
          <w:tcPr>
            <w:tcW w:w="1621" w:type="dxa"/>
            <w:noWrap/>
            <w:vAlign w:val="center"/>
          </w:tcPr>
          <w:p w14:paraId="04E00490">
            <w:pPr>
              <w:spacing w:line="240" w:lineRule="auto"/>
              <w:jc w:val="center"/>
              <w:rPr>
                <w:color w:val="auto"/>
                <w:kern w:val="0"/>
                <w:szCs w:val="21"/>
                <w:highlight w:val="none"/>
              </w:rPr>
            </w:pPr>
          </w:p>
        </w:tc>
      </w:tr>
      <w:tr w14:paraId="588190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3EEC1278">
            <w:pPr>
              <w:spacing w:line="240" w:lineRule="auto"/>
              <w:jc w:val="center"/>
              <w:rPr>
                <w:color w:val="auto"/>
                <w:kern w:val="0"/>
                <w:szCs w:val="21"/>
                <w:highlight w:val="none"/>
              </w:rPr>
            </w:pPr>
          </w:p>
        </w:tc>
        <w:tc>
          <w:tcPr>
            <w:tcW w:w="1957" w:type="dxa"/>
            <w:vAlign w:val="center"/>
          </w:tcPr>
          <w:p w14:paraId="018D6AFA">
            <w:pPr>
              <w:spacing w:line="240" w:lineRule="auto"/>
              <w:jc w:val="center"/>
              <w:rPr>
                <w:color w:val="auto"/>
                <w:kern w:val="0"/>
                <w:szCs w:val="21"/>
                <w:highlight w:val="none"/>
              </w:rPr>
            </w:pPr>
          </w:p>
        </w:tc>
        <w:tc>
          <w:tcPr>
            <w:tcW w:w="1759" w:type="dxa"/>
            <w:noWrap/>
            <w:vAlign w:val="center"/>
          </w:tcPr>
          <w:p w14:paraId="294DA315">
            <w:pPr>
              <w:spacing w:line="240" w:lineRule="auto"/>
              <w:jc w:val="center"/>
              <w:rPr>
                <w:color w:val="auto"/>
                <w:kern w:val="0"/>
                <w:szCs w:val="21"/>
                <w:highlight w:val="none"/>
              </w:rPr>
            </w:pPr>
          </w:p>
        </w:tc>
        <w:tc>
          <w:tcPr>
            <w:tcW w:w="834" w:type="dxa"/>
            <w:noWrap/>
            <w:vAlign w:val="center"/>
          </w:tcPr>
          <w:p w14:paraId="22762131">
            <w:pPr>
              <w:spacing w:line="240" w:lineRule="auto"/>
              <w:jc w:val="center"/>
              <w:rPr>
                <w:color w:val="auto"/>
                <w:kern w:val="0"/>
                <w:szCs w:val="21"/>
                <w:highlight w:val="none"/>
              </w:rPr>
            </w:pPr>
          </w:p>
        </w:tc>
        <w:tc>
          <w:tcPr>
            <w:tcW w:w="1752" w:type="dxa"/>
            <w:vAlign w:val="center"/>
          </w:tcPr>
          <w:p w14:paraId="28E41B7F">
            <w:pPr>
              <w:spacing w:beforeLines="0" w:afterLines="0" w:line="240" w:lineRule="auto"/>
              <w:jc w:val="center"/>
              <w:rPr>
                <w:color w:val="auto"/>
                <w:kern w:val="0"/>
                <w:szCs w:val="21"/>
                <w:highlight w:val="none"/>
              </w:rPr>
            </w:pPr>
          </w:p>
        </w:tc>
        <w:tc>
          <w:tcPr>
            <w:tcW w:w="1621" w:type="dxa"/>
            <w:noWrap/>
            <w:vAlign w:val="center"/>
          </w:tcPr>
          <w:p w14:paraId="51FFAC4B">
            <w:pPr>
              <w:spacing w:line="240" w:lineRule="auto"/>
              <w:jc w:val="center"/>
              <w:rPr>
                <w:color w:val="auto"/>
                <w:kern w:val="0"/>
                <w:szCs w:val="21"/>
                <w:highlight w:val="none"/>
              </w:rPr>
            </w:pPr>
          </w:p>
        </w:tc>
      </w:tr>
      <w:tr w14:paraId="607E5E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98" w:type="dxa"/>
            <w:vAlign w:val="center"/>
          </w:tcPr>
          <w:p w14:paraId="7D9438F5">
            <w:pPr>
              <w:spacing w:line="240" w:lineRule="auto"/>
              <w:jc w:val="center"/>
              <w:rPr>
                <w:color w:val="auto"/>
                <w:kern w:val="0"/>
                <w:szCs w:val="21"/>
                <w:highlight w:val="none"/>
              </w:rPr>
            </w:pPr>
          </w:p>
        </w:tc>
        <w:tc>
          <w:tcPr>
            <w:tcW w:w="1957" w:type="dxa"/>
            <w:vAlign w:val="center"/>
          </w:tcPr>
          <w:p w14:paraId="3A59FBE0">
            <w:pPr>
              <w:spacing w:line="240" w:lineRule="auto"/>
              <w:jc w:val="center"/>
              <w:rPr>
                <w:color w:val="auto"/>
                <w:kern w:val="0"/>
                <w:szCs w:val="21"/>
                <w:highlight w:val="none"/>
              </w:rPr>
            </w:pPr>
          </w:p>
        </w:tc>
        <w:tc>
          <w:tcPr>
            <w:tcW w:w="1759" w:type="dxa"/>
            <w:noWrap/>
            <w:vAlign w:val="center"/>
          </w:tcPr>
          <w:p w14:paraId="2920975E">
            <w:pPr>
              <w:spacing w:line="240" w:lineRule="auto"/>
              <w:jc w:val="center"/>
              <w:rPr>
                <w:color w:val="auto"/>
                <w:kern w:val="0"/>
                <w:szCs w:val="21"/>
                <w:highlight w:val="none"/>
              </w:rPr>
            </w:pPr>
          </w:p>
        </w:tc>
        <w:tc>
          <w:tcPr>
            <w:tcW w:w="834" w:type="dxa"/>
            <w:noWrap/>
            <w:vAlign w:val="center"/>
          </w:tcPr>
          <w:p w14:paraId="625BC691">
            <w:pPr>
              <w:spacing w:line="240" w:lineRule="auto"/>
              <w:jc w:val="center"/>
              <w:rPr>
                <w:color w:val="auto"/>
                <w:kern w:val="0"/>
                <w:szCs w:val="21"/>
                <w:highlight w:val="none"/>
              </w:rPr>
            </w:pPr>
          </w:p>
        </w:tc>
        <w:tc>
          <w:tcPr>
            <w:tcW w:w="1004" w:type="pct"/>
            <w:vAlign w:val="center"/>
          </w:tcPr>
          <w:p w14:paraId="75DD8536">
            <w:pPr>
              <w:widowControl/>
              <w:jc w:val="center"/>
              <w:rPr>
                <w:color w:val="auto"/>
                <w:kern w:val="0"/>
                <w:szCs w:val="21"/>
                <w:highlight w:val="none"/>
              </w:rPr>
            </w:pPr>
          </w:p>
        </w:tc>
        <w:tc>
          <w:tcPr>
            <w:tcW w:w="929" w:type="pct"/>
            <w:noWrap/>
            <w:vAlign w:val="center"/>
          </w:tcPr>
          <w:p w14:paraId="4E4C4EF8">
            <w:pPr>
              <w:widowControl/>
              <w:jc w:val="center"/>
              <w:rPr>
                <w:color w:val="auto"/>
                <w:kern w:val="0"/>
                <w:szCs w:val="21"/>
                <w:highlight w:val="none"/>
              </w:rPr>
            </w:pPr>
          </w:p>
        </w:tc>
      </w:tr>
      <w:tr w14:paraId="4B1A78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B04EF38">
            <w:pPr>
              <w:widowControl/>
              <w:jc w:val="center"/>
              <w:rPr>
                <w:color w:val="auto"/>
                <w:kern w:val="0"/>
                <w:szCs w:val="21"/>
                <w:highlight w:val="none"/>
              </w:rPr>
            </w:pPr>
          </w:p>
        </w:tc>
        <w:tc>
          <w:tcPr>
            <w:tcW w:w="1122" w:type="pct"/>
            <w:vAlign w:val="center"/>
          </w:tcPr>
          <w:p w14:paraId="375A1588">
            <w:pPr>
              <w:widowControl/>
              <w:jc w:val="center"/>
              <w:rPr>
                <w:color w:val="auto"/>
                <w:kern w:val="0"/>
                <w:szCs w:val="21"/>
                <w:highlight w:val="none"/>
              </w:rPr>
            </w:pPr>
          </w:p>
        </w:tc>
        <w:tc>
          <w:tcPr>
            <w:tcW w:w="1008" w:type="pct"/>
            <w:noWrap/>
            <w:vAlign w:val="center"/>
          </w:tcPr>
          <w:p w14:paraId="15F8C253">
            <w:pPr>
              <w:widowControl/>
              <w:jc w:val="center"/>
              <w:rPr>
                <w:color w:val="auto"/>
                <w:kern w:val="0"/>
                <w:szCs w:val="21"/>
                <w:highlight w:val="none"/>
              </w:rPr>
            </w:pPr>
          </w:p>
        </w:tc>
        <w:tc>
          <w:tcPr>
            <w:tcW w:w="478" w:type="pct"/>
            <w:noWrap/>
            <w:vAlign w:val="center"/>
          </w:tcPr>
          <w:p w14:paraId="03439B4F">
            <w:pPr>
              <w:widowControl/>
              <w:jc w:val="center"/>
              <w:rPr>
                <w:color w:val="auto"/>
                <w:kern w:val="0"/>
                <w:szCs w:val="21"/>
                <w:highlight w:val="none"/>
              </w:rPr>
            </w:pPr>
          </w:p>
        </w:tc>
        <w:tc>
          <w:tcPr>
            <w:tcW w:w="1004" w:type="pct"/>
            <w:vAlign w:val="center"/>
          </w:tcPr>
          <w:p w14:paraId="53A9DF2B">
            <w:pPr>
              <w:widowControl/>
              <w:jc w:val="center"/>
              <w:rPr>
                <w:color w:val="auto"/>
                <w:kern w:val="0"/>
                <w:szCs w:val="21"/>
                <w:highlight w:val="none"/>
              </w:rPr>
            </w:pPr>
          </w:p>
        </w:tc>
        <w:tc>
          <w:tcPr>
            <w:tcW w:w="929" w:type="pct"/>
            <w:noWrap/>
            <w:vAlign w:val="center"/>
          </w:tcPr>
          <w:p w14:paraId="36E35AAD">
            <w:pPr>
              <w:widowControl/>
              <w:jc w:val="center"/>
              <w:rPr>
                <w:color w:val="auto"/>
                <w:kern w:val="0"/>
                <w:szCs w:val="21"/>
                <w:highlight w:val="none"/>
              </w:rPr>
            </w:pPr>
          </w:p>
        </w:tc>
      </w:tr>
      <w:tr w14:paraId="552E3C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18C29FF">
            <w:pPr>
              <w:widowControl/>
              <w:jc w:val="center"/>
              <w:rPr>
                <w:b/>
                <w:bCs/>
                <w:color w:val="auto"/>
                <w:kern w:val="0"/>
                <w:szCs w:val="21"/>
                <w:highlight w:val="none"/>
              </w:rPr>
            </w:pPr>
          </w:p>
        </w:tc>
        <w:tc>
          <w:tcPr>
            <w:tcW w:w="1122" w:type="pct"/>
            <w:vAlign w:val="center"/>
          </w:tcPr>
          <w:p w14:paraId="09340165">
            <w:pPr>
              <w:widowControl/>
              <w:jc w:val="center"/>
              <w:rPr>
                <w:b/>
                <w:bCs/>
                <w:color w:val="auto"/>
                <w:kern w:val="0"/>
                <w:szCs w:val="21"/>
                <w:highlight w:val="none"/>
              </w:rPr>
            </w:pPr>
          </w:p>
        </w:tc>
        <w:tc>
          <w:tcPr>
            <w:tcW w:w="1008" w:type="pct"/>
            <w:noWrap/>
            <w:vAlign w:val="center"/>
          </w:tcPr>
          <w:p w14:paraId="2B26266E">
            <w:pPr>
              <w:widowControl/>
              <w:jc w:val="center"/>
              <w:rPr>
                <w:color w:val="auto"/>
                <w:kern w:val="0"/>
                <w:szCs w:val="21"/>
                <w:highlight w:val="none"/>
              </w:rPr>
            </w:pPr>
          </w:p>
        </w:tc>
        <w:tc>
          <w:tcPr>
            <w:tcW w:w="478" w:type="pct"/>
            <w:noWrap/>
            <w:vAlign w:val="center"/>
          </w:tcPr>
          <w:p w14:paraId="719D2047">
            <w:pPr>
              <w:widowControl/>
              <w:jc w:val="center"/>
              <w:rPr>
                <w:color w:val="auto"/>
                <w:kern w:val="0"/>
                <w:szCs w:val="21"/>
                <w:highlight w:val="none"/>
              </w:rPr>
            </w:pPr>
          </w:p>
        </w:tc>
        <w:tc>
          <w:tcPr>
            <w:tcW w:w="1004" w:type="pct"/>
            <w:vAlign w:val="center"/>
          </w:tcPr>
          <w:p w14:paraId="33EC2739">
            <w:pPr>
              <w:widowControl/>
              <w:jc w:val="center"/>
              <w:rPr>
                <w:color w:val="auto"/>
                <w:kern w:val="0"/>
                <w:szCs w:val="21"/>
                <w:highlight w:val="none"/>
              </w:rPr>
            </w:pPr>
          </w:p>
        </w:tc>
        <w:tc>
          <w:tcPr>
            <w:tcW w:w="929" w:type="pct"/>
            <w:noWrap/>
            <w:vAlign w:val="center"/>
          </w:tcPr>
          <w:p w14:paraId="05A9910C">
            <w:pPr>
              <w:widowControl/>
              <w:jc w:val="center"/>
              <w:rPr>
                <w:color w:val="auto"/>
                <w:kern w:val="0"/>
                <w:szCs w:val="21"/>
                <w:highlight w:val="none"/>
              </w:rPr>
            </w:pPr>
          </w:p>
        </w:tc>
      </w:tr>
      <w:tr w14:paraId="51BA1F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9E4E39B">
            <w:pPr>
              <w:widowControl/>
              <w:jc w:val="center"/>
              <w:rPr>
                <w:color w:val="auto"/>
                <w:kern w:val="0"/>
                <w:szCs w:val="21"/>
                <w:highlight w:val="none"/>
              </w:rPr>
            </w:pPr>
          </w:p>
        </w:tc>
        <w:tc>
          <w:tcPr>
            <w:tcW w:w="1122" w:type="pct"/>
            <w:vAlign w:val="center"/>
          </w:tcPr>
          <w:p w14:paraId="0CFCAD65">
            <w:pPr>
              <w:widowControl/>
              <w:jc w:val="center"/>
              <w:rPr>
                <w:color w:val="auto"/>
                <w:kern w:val="0"/>
                <w:szCs w:val="21"/>
                <w:highlight w:val="none"/>
              </w:rPr>
            </w:pPr>
          </w:p>
        </w:tc>
        <w:tc>
          <w:tcPr>
            <w:tcW w:w="1008" w:type="pct"/>
            <w:noWrap/>
            <w:vAlign w:val="center"/>
          </w:tcPr>
          <w:p w14:paraId="5494A760">
            <w:pPr>
              <w:widowControl/>
              <w:jc w:val="center"/>
              <w:rPr>
                <w:color w:val="auto"/>
                <w:kern w:val="0"/>
                <w:szCs w:val="21"/>
                <w:highlight w:val="none"/>
              </w:rPr>
            </w:pPr>
          </w:p>
        </w:tc>
        <w:tc>
          <w:tcPr>
            <w:tcW w:w="478" w:type="pct"/>
            <w:noWrap/>
            <w:vAlign w:val="center"/>
          </w:tcPr>
          <w:p w14:paraId="65E5E3BE">
            <w:pPr>
              <w:widowControl/>
              <w:jc w:val="center"/>
              <w:rPr>
                <w:color w:val="auto"/>
                <w:kern w:val="0"/>
                <w:szCs w:val="21"/>
                <w:highlight w:val="none"/>
              </w:rPr>
            </w:pPr>
          </w:p>
        </w:tc>
        <w:tc>
          <w:tcPr>
            <w:tcW w:w="1004" w:type="pct"/>
            <w:noWrap/>
            <w:vAlign w:val="center"/>
          </w:tcPr>
          <w:p w14:paraId="3F5ED002">
            <w:pPr>
              <w:widowControl/>
              <w:jc w:val="center"/>
              <w:rPr>
                <w:color w:val="auto"/>
                <w:kern w:val="0"/>
                <w:szCs w:val="21"/>
                <w:highlight w:val="none"/>
              </w:rPr>
            </w:pPr>
          </w:p>
        </w:tc>
        <w:tc>
          <w:tcPr>
            <w:tcW w:w="929" w:type="pct"/>
            <w:vAlign w:val="center"/>
          </w:tcPr>
          <w:p w14:paraId="335EAA5A">
            <w:pPr>
              <w:widowControl/>
              <w:jc w:val="center"/>
              <w:rPr>
                <w:color w:val="auto"/>
                <w:kern w:val="0"/>
                <w:szCs w:val="21"/>
                <w:highlight w:val="none"/>
              </w:rPr>
            </w:pPr>
          </w:p>
        </w:tc>
      </w:tr>
      <w:tr w14:paraId="50C362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C54858A">
            <w:pPr>
              <w:widowControl/>
              <w:jc w:val="center"/>
              <w:rPr>
                <w:color w:val="auto"/>
                <w:kern w:val="0"/>
                <w:szCs w:val="21"/>
                <w:highlight w:val="none"/>
              </w:rPr>
            </w:pPr>
          </w:p>
        </w:tc>
        <w:tc>
          <w:tcPr>
            <w:tcW w:w="1122" w:type="pct"/>
            <w:vAlign w:val="center"/>
          </w:tcPr>
          <w:p w14:paraId="01940363">
            <w:pPr>
              <w:widowControl/>
              <w:jc w:val="center"/>
              <w:rPr>
                <w:color w:val="auto"/>
                <w:kern w:val="0"/>
                <w:szCs w:val="21"/>
                <w:highlight w:val="none"/>
              </w:rPr>
            </w:pPr>
          </w:p>
        </w:tc>
        <w:tc>
          <w:tcPr>
            <w:tcW w:w="1008" w:type="pct"/>
            <w:noWrap/>
            <w:vAlign w:val="center"/>
          </w:tcPr>
          <w:p w14:paraId="26529102">
            <w:pPr>
              <w:widowControl/>
              <w:jc w:val="center"/>
              <w:rPr>
                <w:color w:val="auto"/>
                <w:kern w:val="0"/>
                <w:szCs w:val="21"/>
                <w:highlight w:val="none"/>
              </w:rPr>
            </w:pPr>
          </w:p>
        </w:tc>
        <w:tc>
          <w:tcPr>
            <w:tcW w:w="478" w:type="pct"/>
            <w:noWrap/>
            <w:vAlign w:val="center"/>
          </w:tcPr>
          <w:p w14:paraId="4891BB5D">
            <w:pPr>
              <w:widowControl/>
              <w:jc w:val="center"/>
              <w:rPr>
                <w:color w:val="auto"/>
                <w:kern w:val="0"/>
                <w:szCs w:val="21"/>
                <w:highlight w:val="none"/>
              </w:rPr>
            </w:pPr>
          </w:p>
        </w:tc>
        <w:tc>
          <w:tcPr>
            <w:tcW w:w="1004" w:type="pct"/>
            <w:noWrap/>
            <w:vAlign w:val="center"/>
          </w:tcPr>
          <w:p w14:paraId="19CDC8A0">
            <w:pPr>
              <w:widowControl/>
              <w:jc w:val="center"/>
              <w:rPr>
                <w:color w:val="auto"/>
                <w:kern w:val="0"/>
                <w:szCs w:val="21"/>
                <w:highlight w:val="none"/>
              </w:rPr>
            </w:pPr>
          </w:p>
        </w:tc>
        <w:tc>
          <w:tcPr>
            <w:tcW w:w="929" w:type="pct"/>
            <w:noWrap/>
            <w:vAlign w:val="center"/>
          </w:tcPr>
          <w:p w14:paraId="0696583A">
            <w:pPr>
              <w:widowControl/>
              <w:jc w:val="center"/>
              <w:rPr>
                <w:color w:val="auto"/>
                <w:kern w:val="0"/>
                <w:szCs w:val="21"/>
                <w:highlight w:val="none"/>
              </w:rPr>
            </w:pPr>
          </w:p>
        </w:tc>
      </w:tr>
      <w:tr w14:paraId="2EAECC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296EEF5">
            <w:pPr>
              <w:widowControl/>
              <w:jc w:val="center"/>
              <w:rPr>
                <w:color w:val="auto"/>
                <w:kern w:val="0"/>
                <w:szCs w:val="21"/>
                <w:highlight w:val="none"/>
              </w:rPr>
            </w:pPr>
          </w:p>
        </w:tc>
        <w:tc>
          <w:tcPr>
            <w:tcW w:w="1122" w:type="pct"/>
            <w:vAlign w:val="center"/>
          </w:tcPr>
          <w:p w14:paraId="235A2EB5">
            <w:pPr>
              <w:widowControl/>
              <w:jc w:val="center"/>
              <w:rPr>
                <w:color w:val="auto"/>
                <w:kern w:val="0"/>
                <w:szCs w:val="21"/>
                <w:highlight w:val="none"/>
              </w:rPr>
            </w:pPr>
          </w:p>
        </w:tc>
        <w:tc>
          <w:tcPr>
            <w:tcW w:w="1008" w:type="pct"/>
            <w:vAlign w:val="center"/>
          </w:tcPr>
          <w:p w14:paraId="55BE996A">
            <w:pPr>
              <w:widowControl/>
              <w:jc w:val="center"/>
              <w:rPr>
                <w:color w:val="auto"/>
                <w:kern w:val="0"/>
                <w:szCs w:val="21"/>
                <w:highlight w:val="none"/>
              </w:rPr>
            </w:pPr>
          </w:p>
        </w:tc>
        <w:tc>
          <w:tcPr>
            <w:tcW w:w="478" w:type="pct"/>
            <w:noWrap/>
            <w:vAlign w:val="center"/>
          </w:tcPr>
          <w:p w14:paraId="0C10522D">
            <w:pPr>
              <w:widowControl/>
              <w:jc w:val="center"/>
              <w:rPr>
                <w:color w:val="auto"/>
                <w:kern w:val="0"/>
                <w:szCs w:val="21"/>
                <w:highlight w:val="none"/>
              </w:rPr>
            </w:pPr>
          </w:p>
        </w:tc>
        <w:tc>
          <w:tcPr>
            <w:tcW w:w="1004" w:type="pct"/>
            <w:noWrap/>
            <w:vAlign w:val="center"/>
          </w:tcPr>
          <w:p w14:paraId="692D3394">
            <w:pPr>
              <w:widowControl/>
              <w:jc w:val="center"/>
              <w:rPr>
                <w:color w:val="auto"/>
                <w:kern w:val="0"/>
                <w:szCs w:val="21"/>
                <w:highlight w:val="none"/>
              </w:rPr>
            </w:pPr>
          </w:p>
        </w:tc>
        <w:tc>
          <w:tcPr>
            <w:tcW w:w="929" w:type="pct"/>
            <w:noWrap/>
            <w:vAlign w:val="center"/>
          </w:tcPr>
          <w:p w14:paraId="0620AD8E">
            <w:pPr>
              <w:widowControl/>
              <w:jc w:val="center"/>
              <w:rPr>
                <w:color w:val="auto"/>
                <w:kern w:val="0"/>
                <w:szCs w:val="21"/>
                <w:highlight w:val="none"/>
              </w:rPr>
            </w:pPr>
          </w:p>
        </w:tc>
      </w:tr>
      <w:tr w14:paraId="197C67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02EAC86C">
            <w:pPr>
              <w:widowControl/>
              <w:jc w:val="center"/>
              <w:rPr>
                <w:color w:val="auto"/>
                <w:kern w:val="0"/>
                <w:szCs w:val="21"/>
                <w:highlight w:val="none"/>
              </w:rPr>
            </w:pPr>
          </w:p>
        </w:tc>
        <w:tc>
          <w:tcPr>
            <w:tcW w:w="1122" w:type="pct"/>
            <w:vAlign w:val="center"/>
          </w:tcPr>
          <w:p w14:paraId="04178060">
            <w:pPr>
              <w:widowControl/>
              <w:jc w:val="center"/>
              <w:rPr>
                <w:color w:val="auto"/>
                <w:kern w:val="0"/>
                <w:szCs w:val="21"/>
                <w:highlight w:val="none"/>
              </w:rPr>
            </w:pPr>
          </w:p>
        </w:tc>
        <w:tc>
          <w:tcPr>
            <w:tcW w:w="1008" w:type="pct"/>
            <w:vAlign w:val="center"/>
          </w:tcPr>
          <w:p w14:paraId="14A48BA4">
            <w:pPr>
              <w:widowControl/>
              <w:jc w:val="center"/>
              <w:rPr>
                <w:color w:val="auto"/>
                <w:kern w:val="0"/>
                <w:szCs w:val="21"/>
                <w:highlight w:val="none"/>
              </w:rPr>
            </w:pPr>
          </w:p>
        </w:tc>
        <w:tc>
          <w:tcPr>
            <w:tcW w:w="478" w:type="pct"/>
            <w:noWrap/>
            <w:vAlign w:val="center"/>
          </w:tcPr>
          <w:p w14:paraId="078DD5DC">
            <w:pPr>
              <w:widowControl/>
              <w:jc w:val="center"/>
              <w:rPr>
                <w:color w:val="auto"/>
                <w:kern w:val="0"/>
                <w:szCs w:val="21"/>
                <w:highlight w:val="none"/>
              </w:rPr>
            </w:pPr>
          </w:p>
        </w:tc>
        <w:tc>
          <w:tcPr>
            <w:tcW w:w="1004" w:type="pct"/>
            <w:noWrap/>
            <w:vAlign w:val="center"/>
          </w:tcPr>
          <w:p w14:paraId="6752017E">
            <w:pPr>
              <w:widowControl/>
              <w:jc w:val="center"/>
              <w:rPr>
                <w:color w:val="auto"/>
                <w:kern w:val="0"/>
                <w:szCs w:val="21"/>
                <w:highlight w:val="none"/>
              </w:rPr>
            </w:pPr>
          </w:p>
        </w:tc>
        <w:tc>
          <w:tcPr>
            <w:tcW w:w="929" w:type="pct"/>
            <w:noWrap/>
            <w:vAlign w:val="center"/>
          </w:tcPr>
          <w:p w14:paraId="5010398B">
            <w:pPr>
              <w:widowControl/>
              <w:jc w:val="center"/>
              <w:rPr>
                <w:color w:val="auto"/>
                <w:kern w:val="0"/>
                <w:szCs w:val="21"/>
                <w:highlight w:val="none"/>
              </w:rPr>
            </w:pPr>
          </w:p>
        </w:tc>
      </w:tr>
      <w:tr w14:paraId="278811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4AB0406">
            <w:pPr>
              <w:widowControl/>
              <w:jc w:val="center"/>
              <w:rPr>
                <w:color w:val="auto"/>
                <w:kern w:val="0"/>
                <w:szCs w:val="21"/>
                <w:highlight w:val="none"/>
              </w:rPr>
            </w:pPr>
          </w:p>
        </w:tc>
        <w:tc>
          <w:tcPr>
            <w:tcW w:w="1122" w:type="pct"/>
            <w:vAlign w:val="center"/>
          </w:tcPr>
          <w:p w14:paraId="3FC644BA">
            <w:pPr>
              <w:widowControl/>
              <w:jc w:val="center"/>
              <w:rPr>
                <w:color w:val="auto"/>
                <w:kern w:val="0"/>
                <w:szCs w:val="21"/>
                <w:highlight w:val="none"/>
              </w:rPr>
            </w:pPr>
          </w:p>
        </w:tc>
        <w:tc>
          <w:tcPr>
            <w:tcW w:w="1008" w:type="pct"/>
            <w:noWrap/>
            <w:vAlign w:val="center"/>
          </w:tcPr>
          <w:p w14:paraId="344778A6">
            <w:pPr>
              <w:widowControl/>
              <w:jc w:val="center"/>
              <w:rPr>
                <w:color w:val="auto"/>
                <w:kern w:val="0"/>
                <w:szCs w:val="21"/>
                <w:highlight w:val="none"/>
              </w:rPr>
            </w:pPr>
          </w:p>
        </w:tc>
        <w:tc>
          <w:tcPr>
            <w:tcW w:w="478" w:type="pct"/>
            <w:noWrap/>
            <w:vAlign w:val="center"/>
          </w:tcPr>
          <w:p w14:paraId="34EC536B">
            <w:pPr>
              <w:widowControl/>
              <w:jc w:val="center"/>
              <w:rPr>
                <w:color w:val="auto"/>
                <w:kern w:val="0"/>
                <w:szCs w:val="21"/>
                <w:highlight w:val="none"/>
              </w:rPr>
            </w:pPr>
          </w:p>
        </w:tc>
        <w:tc>
          <w:tcPr>
            <w:tcW w:w="1004" w:type="pct"/>
            <w:noWrap/>
            <w:vAlign w:val="center"/>
          </w:tcPr>
          <w:p w14:paraId="694904EA">
            <w:pPr>
              <w:widowControl/>
              <w:jc w:val="center"/>
              <w:rPr>
                <w:color w:val="auto"/>
                <w:kern w:val="0"/>
                <w:szCs w:val="21"/>
                <w:highlight w:val="none"/>
              </w:rPr>
            </w:pPr>
          </w:p>
        </w:tc>
        <w:tc>
          <w:tcPr>
            <w:tcW w:w="929" w:type="pct"/>
            <w:noWrap/>
            <w:vAlign w:val="center"/>
          </w:tcPr>
          <w:p w14:paraId="314E6511">
            <w:pPr>
              <w:widowControl/>
              <w:jc w:val="center"/>
              <w:rPr>
                <w:color w:val="auto"/>
                <w:kern w:val="0"/>
                <w:szCs w:val="21"/>
                <w:highlight w:val="none"/>
              </w:rPr>
            </w:pPr>
          </w:p>
        </w:tc>
      </w:tr>
      <w:tr w14:paraId="3D83A4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A1E8F2E">
            <w:pPr>
              <w:widowControl/>
              <w:jc w:val="center"/>
              <w:rPr>
                <w:color w:val="auto"/>
                <w:kern w:val="0"/>
                <w:szCs w:val="21"/>
                <w:highlight w:val="none"/>
              </w:rPr>
            </w:pPr>
          </w:p>
        </w:tc>
        <w:tc>
          <w:tcPr>
            <w:tcW w:w="1122" w:type="pct"/>
            <w:vAlign w:val="center"/>
          </w:tcPr>
          <w:p w14:paraId="71679EAA">
            <w:pPr>
              <w:widowControl/>
              <w:jc w:val="center"/>
              <w:rPr>
                <w:color w:val="auto"/>
                <w:kern w:val="0"/>
                <w:szCs w:val="21"/>
                <w:highlight w:val="none"/>
              </w:rPr>
            </w:pPr>
          </w:p>
        </w:tc>
        <w:tc>
          <w:tcPr>
            <w:tcW w:w="1008" w:type="pct"/>
            <w:noWrap/>
            <w:vAlign w:val="center"/>
          </w:tcPr>
          <w:p w14:paraId="2F3EE07C">
            <w:pPr>
              <w:widowControl/>
              <w:jc w:val="center"/>
              <w:rPr>
                <w:color w:val="auto"/>
                <w:kern w:val="0"/>
                <w:szCs w:val="21"/>
                <w:highlight w:val="none"/>
              </w:rPr>
            </w:pPr>
          </w:p>
        </w:tc>
        <w:tc>
          <w:tcPr>
            <w:tcW w:w="478" w:type="pct"/>
            <w:noWrap/>
            <w:vAlign w:val="center"/>
          </w:tcPr>
          <w:p w14:paraId="1A36D149">
            <w:pPr>
              <w:widowControl/>
              <w:jc w:val="center"/>
              <w:rPr>
                <w:color w:val="auto"/>
                <w:kern w:val="0"/>
                <w:szCs w:val="21"/>
                <w:highlight w:val="none"/>
              </w:rPr>
            </w:pPr>
          </w:p>
        </w:tc>
        <w:tc>
          <w:tcPr>
            <w:tcW w:w="1004" w:type="pct"/>
            <w:noWrap/>
            <w:vAlign w:val="center"/>
          </w:tcPr>
          <w:p w14:paraId="4407A800">
            <w:pPr>
              <w:widowControl/>
              <w:jc w:val="center"/>
              <w:rPr>
                <w:color w:val="auto"/>
                <w:kern w:val="0"/>
                <w:szCs w:val="21"/>
                <w:highlight w:val="none"/>
              </w:rPr>
            </w:pPr>
          </w:p>
        </w:tc>
        <w:tc>
          <w:tcPr>
            <w:tcW w:w="929" w:type="pct"/>
            <w:noWrap/>
            <w:vAlign w:val="center"/>
          </w:tcPr>
          <w:p w14:paraId="74C4D09A">
            <w:pPr>
              <w:widowControl/>
              <w:jc w:val="center"/>
              <w:rPr>
                <w:color w:val="auto"/>
                <w:kern w:val="0"/>
                <w:szCs w:val="21"/>
                <w:highlight w:val="none"/>
              </w:rPr>
            </w:pPr>
          </w:p>
        </w:tc>
      </w:tr>
      <w:tr w14:paraId="32F46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7E4B76D4">
            <w:pPr>
              <w:widowControl/>
              <w:jc w:val="center"/>
              <w:rPr>
                <w:color w:val="auto"/>
                <w:kern w:val="0"/>
                <w:szCs w:val="21"/>
                <w:highlight w:val="none"/>
              </w:rPr>
            </w:pPr>
          </w:p>
        </w:tc>
        <w:tc>
          <w:tcPr>
            <w:tcW w:w="1122" w:type="pct"/>
            <w:vAlign w:val="center"/>
          </w:tcPr>
          <w:p w14:paraId="301A8E2A">
            <w:pPr>
              <w:widowControl/>
              <w:jc w:val="center"/>
              <w:rPr>
                <w:color w:val="auto"/>
                <w:kern w:val="0"/>
                <w:szCs w:val="21"/>
                <w:highlight w:val="none"/>
              </w:rPr>
            </w:pPr>
          </w:p>
        </w:tc>
        <w:tc>
          <w:tcPr>
            <w:tcW w:w="1008" w:type="pct"/>
            <w:noWrap/>
            <w:vAlign w:val="center"/>
          </w:tcPr>
          <w:p w14:paraId="05CCB183">
            <w:pPr>
              <w:widowControl/>
              <w:jc w:val="center"/>
              <w:rPr>
                <w:color w:val="auto"/>
                <w:kern w:val="0"/>
                <w:szCs w:val="21"/>
                <w:highlight w:val="none"/>
              </w:rPr>
            </w:pPr>
          </w:p>
        </w:tc>
        <w:tc>
          <w:tcPr>
            <w:tcW w:w="478" w:type="pct"/>
            <w:noWrap/>
            <w:vAlign w:val="center"/>
          </w:tcPr>
          <w:p w14:paraId="18C2904F">
            <w:pPr>
              <w:widowControl/>
              <w:jc w:val="center"/>
              <w:rPr>
                <w:color w:val="auto"/>
                <w:kern w:val="0"/>
                <w:szCs w:val="21"/>
                <w:highlight w:val="none"/>
              </w:rPr>
            </w:pPr>
          </w:p>
        </w:tc>
        <w:tc>
          <w:tcPr>
            <w:tcW w:w="1004" w:type="pct"/>
            <w:noWrap/>
            <w:vAlign w:val="center"/>
          </w:tcPr>
          <w:p w14:paraId="7B26F67F">
            <w:pPr>
              <w:widowControl/>
              <w:jc w:val="center"/>
              <w:rPr>
                <w:color w:val="auto"/>
                <w:kern w:val="0"/>
                <w:szCs w:val="21"/>
                <w:highlight w:val="none"/>
              </w:rPr>
            </w:pPr>
          </w:p>
        </w:tc>
        <w:tc>
          <w:tcPr>
            <w:tcW w:w="929" w:type="pct"/>
            <w:noWrap/>
            <w:vAlign w:val="center"/>
          </w:tcPr>
          <w:p w14:paraId="20CB5123">
            <w:pPr>
              <w:widowControl/>
              <w:jc w:val="center"/>
              <w:rPr>
                <w:rFonts w:hint="eastAsia" w:hAnsi="宋体"/>
                <w:color w:val="auto"/>
                <w:kern w:val="0"/>
                <w:szCs w:val="21"/>
                <w:highlight w:val="none"/>
              </w:rPr>
            </w:pPr>
          </w:p>
        </w:tc>
      </w:tr>
      <w:tr w14:paraId="5ADC80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628131F">
            <w:pPr>
              <w:widowControl/>
              <w:jc w:val="center"/>
              <w:rPr>
                <w:color w:val="auto"/>
                <w:kern w:val="0"/>
                <w:szCs w:val="21"/>
                <w:highlight w:val="none"/>
              </w:rPr>
            </w:pPr>
          </w:p>
        </w:tc>
        <w:tc>
          <w:tcPr>
            <w:tcW w:w="1122" w:type="pct"/>
            <w:vAlign w:val="center"/>
          </w:tcPr>
          <w:p w14:paraId="2A7289EB">
            <w:pPr>
              <w:widowControl/>
              <w:jc w:val="center"/>
              <w:rPr>
                <w:color w:val="auto"/>
                <w:kern w:val="0"/>
                <w:szCs w:val="21"/>
                <w:highlight w:val="none"/>
              </w:rPr>
            </w:pPr>
          </w:p>
        </w:tc>
        <w:tc>
          <w:tcPr>
            <w:tcW w:w="1008" w:type="pct"/>
            <w:noWrap/>
            <w:vAlign w:val="center"/>
          </w:tcPr>
          <w:p w14:paraId="0721C74E">
            <w:pPr>
              <w:widowControl/>
              <w:jc w:val="center"/>
              <w:rPr>
                <w:color w:val="auto"/>
                <w:kern w:val="0"/>
                <w:szCs w:val="21"/>
                <w:highlight w:val="none"/>
              </w:rPr>
            </w:pPr>
          </w:p>
        </w:tc>
        <w:tc>
          <w:tcPr>
            <w:tcW w:w="478" w:type="pct"/>
            <w:noWrap/>
            <w:vAlign w:val="center"/>
          </w:tcPr>
          <w:p w14:paraId="35E7A107">
            <w:pPr>
              <w:widowControl/>
              <w:jc w:val="center"/>
              <w:rPr>
                <w:color w:val="auto"/>
                <w:kern w:val="0"/>
                <w:szCs w:val="21"/>
                <w:highlight w:val="none"/>
              </w:rPr>
            </w:pPr>
          </w:p>
        </w:tc>
        <w:tc>
          <w:tcPr>
            <w:tcW w:w="1004" w:type="pct"/>
            <w:noWrap/>
            <w:vAlign w:val="center"/>
          </w:tcPr>
          <w:p w14:paraId="12194B09">
            <w:pPr>
              <w:widowControl/>
              <w:jc w:val="center"/>
              <w:rPr>
                <w:color w:val="auto"/>
                <w:kern w:val="0"/>
                <w:szCs w:val="21"/>
                <w:highlight w:val="none"/>
              </w:rPr>
            </w:pPr>
          </w:p>
        </w:tc>
        <w:tc>
          <w:tcPr>
            <w:tcW w:w="929" w:type="pct"/>
            <w:noWrap/>
            <w:vAlign w:val="center"/>
          </w:tcPr>
          <w:p w14:paraId="6F60424D">
            <w:pPr>
              <w:widowControl/>
              <w:jc w:val="center"/>
              <w:rPr>
                <w:rFonts w:hint="eastAsia" w:hAnsi="宋体"/>
                <w:color w:val="auto"/>
                <w:kern w:val="0"/>
                <w:szCs w:val="21"/>
                <w:highlight w:val="none"/>
              </w:rPr>
            </w:pPr>
          </w:p>
        </w:tc>
      </w:tr>
      <w:tr w14:paraId="1A46BE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5834EA9D">
            <w:pPr>
              <w:widowControl/>
              <w:jc w:val="center"/>
              <w:rPr>
                <w:color w:val="auto"/>
                <w:kern w:val="0"/>
                <w:szCs w:val="21"/>
                <w:highlight w:val="none"/>
              </w:rPr>
            </w:pPr>
          </w:p>
        </w:tc>
        <w:tc>
          <w:tcPr>
            <w:tcW w:w="1122" w:type="pct"/>
            <w:vAlign w:val="center"/>
          </w:tcPr>
          <w:p w14:paraId="011974C9">
            <w:pPr>
              <w:widowControl/>
              <w:jc w:val="center"/>
              <w:rPr>
                <w:color w:val="auto"/>
                <w:kern w:val="0"/>
                <w:szCs w:val="21"/>
                <w:highlight w:val="none"/>
              </w:rPr>
            </w:pPr>
          </w:p>
        </w:tc>
        <w:tc>
          <w:tcPr>
            <w:tcW w:w="1008" w:type="pct"/>
            <w:noWrap/>
            <w:vAlign w:val="center"/>
          </w:tcPr>
          <w:p w14:paraId="48A1FE23">
            <w:pPr>
              <w:widowControl/>
              <w:jc w:val="center"/>
              <w:rPr>
                <w:color w:val="auto"/>
                <w:kern w:val="0"/>
                <w:szCs w:val="21"/>
                <w:highlight w:val="none"/>
              </w:rPr>
            </w:pPr>
          </w:p>
        </w:tc>
        <w:tc>
          <w:tcPr>
            <w:tcW w:w="478" w:type="pct"/>
            <w:noWrap/>
            <w:vAlign w:val="center"/>
          </w:tcPr>
          <w:p w14:paraId="099F6A9F">
            <w:pPr>
              <w:widowControl/>
              <w:jc w:val="center"/>
              <w:rPr>
                <w:color w:val="auto"/>
                <w:kern w:val="0"/>
                <w:szCs w:val="21"/>
                <w:highlight w:val="none"/>
              </w:rPr>
            </w:pPr>
          </w:p>
        </w:tc>
        <w:tc>
          <w:tcPr>
            <w:tcW w:w="1004" w:type="pct"/>
            <w:noWrap/>
            <w:vAlign w:val="center"/>
          </w:tcPr>
          <w:p w14:paraId="43CA15E7">
            <w:pPr>
              <w:widowControl/>
              <w:jc w:val="center"/>
              <w:rPr>
                <w:color w:val="auto"/>
                <w:kern w:val="0"/>
                <w:szCs w:val="21"/>
                <w:highlight w:val="none"/>
              </w:rPr>
            </w:pPr>
          </w:p>
        </w:tc>
        <w:tc>
          <w:tcPr>
            <w:tcW w:w="929" w:type="pct"/>
            <w:vAlign w:val="center"/>
          </w:tcPr>
          <w:p w14:paraId="3AB704FA">
            <w:pPr>
              <w:widowControl/>
              <w:jc w:val="center"/>
              <w:rPr>
                <w:rFonts w:hint="eastAsia" w:hAnsi="宋体"/>
                <w:color w:val="auto"/>
                <w:kern w:val="0"/>
                <w:szCs w:val="21"/>
                <w:highlight w:val="none"/>
              </w:rPr>
            </w:pPr>
          </w:p>
        </w:tc>
      </w:tr>
      <w:tr w14:paraId="51BA0B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26FF0410">
            <w:pPr>
              <w:widowControl/>
              <w:jc w:val="center"/>
              <w:rPr>
                <w:color w:val="auto"/>
                <w:kern w:val="0"/>
                <w:szCs w:val="21"/>
                <w:highlight w:val="none"/>
              </w:rPr>
            </w:pPr>
          </w:p>
        </w:tc>
        <w:tc>
          <w:tcPr>
            <w:tcW w:w="1122" w:type="pct"/>
            <w:vAlign w:val="center"/>
          </w:tcPr>
          <w:p w14:paraId="204B91DC">
            <w:pPr>
              <w:widowControl/>
              <w:jc w:val="center"/>
              <w:rPr>
                <w:color w:val="auto"/>
                <w:kern w:val="0"/>
                <w:szCs w:val="21"/>
                <w:highlight w:val="none"/>
              </w:rPr>
            </w:pPr>
          </w:p>
        </w:tc>
        <w:tc>
          <w:tcPr>
            <w:tcW w:w="1008" w:type="pct"/>
            <w:noWrap/>
            <w:vAlign w:val="center"/>
          </w:tcPr>
          <w:p w14:paraId="0E2779AB">
            <w:pPr>
              <w:widowControl/>
              <w:jc w:val="left"/>
              <w:rPr>
                <w:color w:val="auto"/>
                <w:kern w:val="0"/>
                <w:szCs w:val="21"/>
                <w:highlight w:val="none"/>
              </w:rPr>
            </w:pPr>
          </w:p>
        </w:tc>
        <w:tc>
          <w:tcPr>
            <w:tcW w:w="478" w:type="pct"/>
            <w:noWrap/>
            <w:vAlign w:val="center"/>
          </w:tcPr>
          <w:p w14:paraId="1B73594F">
            <w:pPr>
              <w:widowControl/>
              <w:jc w:val="center"/>
              <w:rPr>
                <w:color w:val="auto"/>
                <w:kern w:val="0"/>
                <w:szCs w:val="21"/>
                <w:highlight w:val="none"/>
              </w:rPr>
            </w:pPr>
          </w:p>
        </w:tc>
        <w:tc>
          <w:tcPr>
            <w:tcW w:w="1004" w:type="pct"/>
            <w:noWrap/>
            <w:vAlign w:val="center"/>
          </w:tcPr>
          <w:p w14:paraId="3335EA6A">
            <w:pPr>
              <w:widowControl/>
              <w:jc w:val="center"/>
              <w:rPr>
                <w:color w:val="auto"/>
                <w:kern w:val="0"/>
                <w:szCs w:val="21"/>
                <w:highlight w:val="none"/>
              </w:rPr>
            </w:pPr>
          </w:p>
        </w:tc>
        <w:tc>
          <w:tcPr>
            <w:tcW w:w="929" w:type="pct"/>
            <w:noWrap/>
            <w:vAlign w:val="center"/>
          </w:tcPr>
          <w:p w14:paraId="366EBF9F">
            <w:pPr>
              <w:widowControl/>
              <w:jc w:val="center"/>
              <w:rPr>
                <w:color w:val="auto"/>
                <w:kern w:val="0"/>
                <w:szCs w:val="21"/>
                <w:highlight w:val="none"/>
              </w:rPr>
            </w:pPr>
          </w:p>
        </w:tc>
      </w:tr>
      <w:tr w14:paraId="2C67D5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458" w:type="pct"/>
            <w:vAlign w:val="center"/>
          </w:tcPr>
          <w:p w14:paraId="6963BDE4">
            <w:pPr>
              <w:widowControl/>
              <w:jc w:val="center"/>
              <w:rPr>
                <w:color w:val="auto"/>
                <w:kern w:val="0"/>
                <w:szCs w:val="21"/>
                <w:highlight w:val="none"/>
              </w:rPr>
            </w:pPr>
          </w:p>
        </w:tc>
        <w:tc>
          <w:tcPr>
            <w:tcW w:w="1122" w:type="pct"/>
            <w:vAlign w:val="center"/>
          </w:tcPr>
          <w:p w14:paraId="3278CEC9">
            <w:pPr>
              <w:widowControl/>
              <w:jc w:val="center"/>
              <w:rPr>
                <w:rFonts w:hint="eastAsia" w:hAnsi="宋体"/>
                <w:color w:val="auto"/>
                <w:kern w:val="0"/>
                <w:szCs w:val="21"/>
                <w:highlight w:val="none"/>
              </w:rPr>
            </w:pPr>
          </w:p>
        </w:tc>
        <w:tc>
          <w:tcPr>
            <w:tcW w:w="1008" w:type="pct"/>
            <w:noWrap/>
            <w:vAlign w:val="center"/>
          </w:tcPr>
          <w:p w14:paraId="5FA1D1A1">
            <w:pPr>
              <w:widowControl/>
              <w:jc w:val="left"/>
              <w:rPr>
                <w:rFonts w:hint="eastAsia" w:hAnsi="宋体"/>
                <w:color w:val="auto"/>
                <w:kern w:val="0"/>
                <w:szCs w:val="21"/>
                <w:highlight w:val="none"/>
              </w:rPr>
            </w:pPr>
          </w:p>
        </w:tc>
        <w:tc>
          <w:tcPr>
            <w:tcW w:w="478" w:type="pct"/>
            <w:noWrap/>
            <w:vAlign w:val="center"/>
          </w:tcPr>
          <w:p w14:paraId="5DF3FACF">
            <w:pPr>
              <w:widowControl/>
              <w:jc w:val="center"/>
              <w:rPr>
                <w:color w:val="auto"/>
                <w:kern w:val="0"/>
                <w:szCs w:val="21"/>
                <w:highlight w:val="none"/>
              </w:rPr>
            </w:pPr>
          </w:p>
        </w:tc>
        <w:tc>
          <w:tcPr>
            <w:tcW w:w="1004" w:type="pct"/>
            <w:noWrap/>
            <w:vAlign w:val="center"/>
          </w:tcPr>
          <w:p w14:paraId="73E9B18F">
            <w:pPr>
              <w:widowControl/>
              <w:jc w:val="center"/>
              <w:rPr>
                <w:color w:val="auto"/>
                <w:kern w:val="0"/>
                <w:szCs w:val="21"/>
                <w:highlight w:val="none"/>
              </w:rPr>
            </w:pPr>
          </w:p>
        </w:tc>
        <w:tc>
          <w:tcPr>
            <w:tcW w:w="929" w:type="pct"/>
            <w:noWrap/>
            <w:vAlign w:val="center"/>
          </w:tcPr>
          <w:p w14:paraId="674DBD66">
            <w:pPr>
              <w:widowControl/>
              <w:jc w:val="center"/>
              <w:rPr>
                <w:rFonts w:hint="eastAsia" w:hAnsi="宋体"/>
                <w:color w:val="auto"/>
                <w:kern w:val="0"/>
                <w:szCs w:val="21"/>
                <w:highlight w:val="none"/>
              </w:rPr>
            </w:pPr>
          </w:p>
        </w:tc>
      </w:tr>
    </w:tbl>
    <w:p w14:paraId="6552DDD2">
      <w:pPr>
        <w:spacing w:line="360" w:lineRule="auto"/>
        <w:rPr>
          <w:rFonts w:hint="eastAsia" w:hAnsi="宋体"/>
          <w:color w:val="auto"/>
          <w:kern w:val="0"/>
          <w:szCs w:val="21"/>
          <w:highlight w:val="none"/>
        </w:rPr>
      </w:pPr>
    </w:p>
    <w:p w14:paraId="7B452B55">
      <w:pPr>
        <w:spacing w:line="360" w:lineRule="auto"/>
        <w:rPr>
          <w:rFonts w:hint="eastAsia" w:hAnsi="宋体"/>
          <w:color w:val="auto"/>
          <w:kern w:val="0"/>
          <w:szCs w:val="21"/>
          <w:highlight w:val="none"/>
        </w:rPr>
      </w:pPr>
      <w:r>
        <w:rPr>
          <w:rFonts w:hint="eastAsia" w:hAnsi="宋体"/>
          <w:color w:val="auto"/>
          <w:kern w:val="0"/>
          <w:szCs w:val="21"/>
          <w:highlight w:val="none"/>
        </w:rPr>
        <w:t>备注：1、甲供材料均为主材，不包含相关的辅材；甲供材料的价格不应计入综合单价；</w:t>
      </w:r>
    </w:p>
    <w:p w14:paraId="279C57D0">
      <w:pPr>
        <w:spacing w:line="360" w:lineRule="auto"/>
        <w:ind w:left="945" w:leftChars="300" w:hanging="315" w:hangingChars="150"/>
        <w:rPr>
          <w:color w:val="auto"/>
          <w:highlight w:val="none"/>
        </w:rPr>
      </w:pPr>
      <w:r>
        <w:rPr>
          <w:rFonts w:hint="eastAsia" w:hAnsi="宋体"/>
          <w:color w:val="auto"/>
          <w:kern w:val="0"/>
          <w:szCs w:val="21"/>
          <w:highlight w:val="none"/>
        </w:rPr>
        <w:t>2、响应单位应在报价中充分考虑甲供材料、构件、设备的工地保管费、辅材、损耗等相关费用。</w:t>
      </w:r>
    </w:p>
    <w:p w14:paraId="33E18AD3">
      <w:pPr>
        <w:pStyle w:val="2"/>
        <w:rPr>
          <w:color w:val="auto"/>
          <w:highlight w:val="none"/>
        </w:rPr>
      </w:pPr>
      <w:r>
        <w:rPr>
          <w:color w:val="auto"/>
          <w:highlight w:val="none"/>
        </w:rPr>
        <w:br w:type="page"/>
      </w:r>
      <w:bookmarkStart w:id="1812" w:name="_Toc54280765"/>
      <w:bookmarkStart w:id="1813" w:name="_Toc144872175"/>
      <w:bookmarkStart w:id="1814" w:name="_Toc54280339"/>
      <w:bookmarkStart w:id="1815" w:name="_Toc54291521"/>
      <w:bookmarkStart w:id="1816" w:name="_Toc53949576"/>
      <w:bookmarkStart w:id="1817" w:name="_Toc54281191"/>
      <w:bookmarkStart w:id="1818" w:name="_Toc145426867"/>
      <w:bookmarkStart w:id="1819" w:name="_Toc53948734"/>
      <w:bookmarkStart w:id="1820" w:name="_Toc145499829"/>
      <w:bookmarkStart w:id="1821" w:name="_Toc53949155"/>
      <w:bookmarkStart w:id="1822" w:name="_Toc54278956"/>
      <w:bookmarkStart w:id="1823" w:name="_Toc53946179"/>
      <w:bookmarkStart w:id="1824" w:name="_Toc54281617"/>
      <w:bookmarkStart w:id="1825" w:name="_Toc284135620"/>
      <w:r>
        <w:rPr>
          <w:color w:val="auto"/>
          <w:highlight w:val="none"/>
        </w:rPr>
        <w:t>第</w:t>
      </w:r>
      <w:r>
        <w:rPr>
          <w:rFonts w:hint="eastAsia"/>
          <w:color w:val="auto"/>
          <w:highlight w:val="none"/>
        </w:rPr>
        <w:t>六</w:t>
      </w:r>
      <w:r>
        <w:rPr>
          <w:color w:val="auto"/>
          <w:highlight w:val="none"/>
        </w:rPr>
        <w:t xml:space="preserve">篇  </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r>
        <w:rPr>
          <w:color w:val="auto"/>
          <w:highlight w:val="none"/>
        </w:rPr>
        <w:t>响应文件格式</w:t>
      </w:r>
      <w:bookmarkEnd w:id="1825"/>
    </w:p>
    <w:p w14:paraId="6E978655">
      <w:pPr>
        <w:tabs>
          <w:tab w:val="left" w:pos="180"/>
        </w:tabs>
        <w:spacing w:line="600" w:lineRule="auto"/>
        <w:ind w:right="695" w:rightChars="331"/>
        <w:rPr>
          <w:rFonts w:hint="eastAsia" w:hAnsi="宋体"/>
          <w:b/>
          <w:color w:val="auto"/>
          <w:sz w:val="44"/>
          <w:szCs w:val="44"/>
          <w:highlight w:val="none"/>
          <w:u w:val="single"/>
        </w:rPr>
      </w:pPr>
    </w:p>
    <w:p w14:paraId="4609683C">
      <w:pPr>
        <w:tabs>
          <w:tab w:val="left" w:pos="180"/>
        </w:tabs>
        <w:spacing w:line="360" w:lineRule="auto"/>
        <w:ind w:right="48" w:rightChars="23"/>
        <w:jc w:val="center"/>
        <w:rPr>
          <w:rFonts w:hint="eastAsia" w:hAnsi="宋体"/>
          <w:b/>
          <w:color w:val="auto"/>
          <w:sz w:val="52"/>
          <w:szCs w:val="52"/>
          <w:highlight w:val="none"/>
        </w:rPr>
      </w:pPr>
      <w:r>
        <w:rPr>
          <w:rFonts w:hint="eastAsia" w:hAnsi="宋体"/>
          <w:b/>
          <w:color w:val="auto"/>
          <w:sz w:val="52"/>
          <w:szCs w:val="52"/>
          <w:highlight w:val="none"/>
        </w:rPr>
        <w:t>（项目名称）</w:t>
      </w:r>
    </w:p>
    <w:p w14:paraId="71F09B4A">
      <w:pPr>
        <w:tabs>
          <w:tab w:val="left" w:pos="180"/>
        </w:tabs>
        <w:spacing w:line="360" w:lineRule="auto"/>
        <w:ind w:right="48" w:rightChars="23"/>
        <w:jc w:val="center"/>
        <w:rPr>
          <w:rFonts w:hint="eastAsia" w:hAnsi="宋体"/>
          <w:b/>
          <w:color w:val="auto"/>
          <w:sz w:val="52"/>
          <w:szCs w:val="52"/>
          <w:highlight w:val="none"/>
        </w:rPr>
      </w:pPr>
      <w:r>
        <w:rPr>
          <w:rFonts w:hint="eastAsia" w:hAnsi="宋体"/>
          <w:b/>
          <w:color w:val="auto"/>
          <w:sz w:val="52"/>
          <w:szCs w:val="52"/>
          <w:highlight w:val="none"/>
        </w:rPr>
        <w:t>XXX分包工程</w:t>
      </w:r>
    </w:p>
    <w:p w14:paraId="36824963">
      <w:pPr>
        <w:jc w:val="center"/>
        <w:rPr>
          <w:b/>
          <w:color w:val="auto"/>
          <w:sz w:val="72"/>
          <w:szCs w:val="72"/>
          <w:highlight w:val="none"/>
        </w:rPr>
      </w:pPr>
    </w:p>
    <w:p w14:paraId="3F463D32">
      <w:pPr>
        <w:jc w:val="center"/>
        <w:rPr>
          <w:rFonts w:hint="eastAsia" w:hAnsi="宋体"/>
          <w:b/>
          <w:color w:val="auto"/>
          <w:sz w:val="72"/>
          <w:highlight w:val="none"/>
        </w:rPr>
      </w:pPr>
      <w:r>
        <w:rPr>
          <w:rFonts w:hint="eastAsia" w:hAnsi="宋体"/>
          <w:b/>
          <w:color w:val="auto"/>
          <w:sz w:val="72"/>
          <w:highlight w:val="none"/>
        </w:rPr>
        <w:t>响应文件</w:t>
      </w:r>
    </w:p>
    <w:p w14:paraId="04A68607">
      <w:pPr>
        <w:jc w:val="center"/>
        <w:rPr>
          <w:b/>
          <w:color w:val="auto"/>
          <w:sz w:val="36"/>
          <w:szCs w:val="36"/>
          <w:highlight w:val="none"/>
        </w:rPr>
      </w:pPr>
    </w:p>
    <w:p w14:paraId="03706C60">
      <w:pPr>
        <w:jc w:val="center"/>
        <w:rPr>
          <w:b/>
          <w:color w:val="auto"/>
          <w:sz w:val="36"/>
          <w:szCs w:val="36"/>
          <w:highlight w:val="none"/>
        </w:rPr>
      </w:pPr>
    </w:p>
    <w:p w14:paraId="0AFA4A56">
      <w:pPr>
        <w:jc w:val="center"/>
        <w:rPr>
          <w:b/>
          <w:color w:val="auto"/>
          <w:sz w:val="36"/>
          <w:szCs w:val="36"/>
          <w:highlight w:val="none"/>
        </w:rPr>
      </w:pPr>
    </w:p>
    <w:p w14:paraId="3F028635">
      <w:pPr>
        <w:jc w:val="center"/>
        <w:rPr>
          <w:b/>
          <w:color w:val="auto"/>
          <w:sz w:val="36"/>
          <w:szCs w:val="36"/>
          <w:highlight w:val="none"/>
        </w:rPr>
      </w:pPr>
    </w:p>
    <w:p w14:paraId="5EE3653C">
      <w:pPr>
        <w:jc w:val="center"/>
        <w:rPr>
          <w:b/>
          <w:color w:val="auto"/>
          <w:sz w:val="36"/>
          <w:szCs w:val="36"/>
          <w:highlight w:val="none"/>
        </w:rPr>
      </w:pPr>
    </w:p>
    <w:p w14:paraId="54AFA1A9">
      <w:pPr>
        <w:jc w:val="center"/>
        <w:rPr>
          <w:b/>
          <w:color w:val="auto"/>
          <w:sz w:val="36"/>
          <w:szCs w:val="36"/>
          <w:highlight w:val="none"/>
        </w:rPr>
      </w:pPr>
    </w:p>
    <w:p w14:paraId="70D9BBB0">
      <w:pPr>
        <w:jc w:val="center"/>
        <w:rPr>
          <w:color w:val="auto"/>
          <w:sz w:val="48"/>
          <w:highlight w:val="none"/>
        </w:rPr>
      </w:pPr>
    </w:p>
    <w:p w14:paraId="6C025355">
      <w:pPr>
        <w:rPr>
          <w:color w:val="auto"/>
          <w:sz w:val="48"/>
          <w:highlight w:val="none"/>
        </w:rPr>
      </w:pPr>
    </w:p>
    <w:p w14:paraId="3043E295">
      <w:pPr>
        <w:jc w:val="center"/>
        <w:rPr>
          <w:color w:val="auto"/>
          <w:sz w:val="48"/>
          <w:highlight w:val="none"/>
        </w:rPr>
      </w:pPr>
    </w:p>
    <w:p w14:paraId="37584DF7">
      <w:pPr>
        <w:jc w:val="center"/>
        <w:rPr>
          <w:color w:val="auto"/>
          <w:sz w:val="48"/>
          <w:highlight w:val="none"/>
        </w:rPr>
      </w:pPr>
    </w:p>
    <w:p w14:paraId="51B3BC6B">
      <w:pPr>
        <w:jc w:val="center"/>
        <w:rPr>
          <w:color w:val="auto"/>
          <w:sz w:val="48"/>
          <w:highlight w:val="none"/>
        </w:rPr>
      </w:pPr>
    </w:p>
    <w:p w14:paraId="77503DD8">
      <w:pPr>
        <w:spacing w:line="360" w:lineRule="auto"/>
        <w:ind w:right="27" w:rightChars="13" w:firstLine="2168" w:firstLineChars="600"/>
        <w:jc w:val="left"/>
        <w:rPr>
          <w:b/>
          <w:color w:val="auto"/>
          <w:sz w:val="36"/>
          <w:szCs w:val="36"/>
          <w:highlight w:val="none"/>
        </w:rPr>
      </w:pPr>
      <w:r>
        <w:rPr>
          <w:rFonts w:hint="eastAsia"/>
          <w:b/>
          <w:color w:val="auto"/>
          <w:sz w:val="36"/>
          <w:szCs w:val="36"/>
          <w:highlight w:val="none"/>
        </w:rPr>
        <w:t>响应单位：</w:t>
      </w:r>
      <w:r>
        <w:rPr>
          <w:rFonts w:hint="eastAsia"/>
          <w:b/>
          <w:color w:val="auto"/>
          <w:sz w:val="36"/>
          <w:szCs w:val="36"/>
          <w:highlight w:val="none"/>
          <w:u w:val="single"/>
        </w:rPr>
        <w:t xml:space="preserve">             </w:t>
      </w:r>
    </w:p>
    <w:p w14:paraId="5C6173AA">
      <w:pPr>
        <w:spacing w:line="360" w:lineRule="auto"/>
        <w:jc w:val="center"/>
        <w:rPr>
          <w:b/>
          <w:color w:val="auto"/>
          <w:sz w:val="36"/>
          <w:szCs w:val="36"/>
          <w:highlight w:val="none"/>
        </w:rPr>
      </w:pPr>
      <w:r>
        <w:rPr>
          <w:rFonts w:hint="eastAsia"/>
          <w:b/>
          <w:color w:val="auto"/>
          <w:sz w:val="36"/>
          <w:szCs w:val="36"/>
          <w:highlight w:val="none"/>
        </w:rPr>
        <w:t>2026年X月X日</w:t>
      </w:r>
    </w:p>
    <w:p w14:paraId="219F25B0">
      <w:pPr>
        <w:pStyle w:val="3"/>
        <w:spacing w:before="240" w:beforeLines="100" w:after="120" w:afterLines="50" w:line="360" w:lineRule="auto"/>
        <w:jc w:val="center"/>
        <w:rPr>
          <w:rStyle w:val="46"/>
          <w:rFonts w:ascii="Times New Roman" w:hAnsi="Times New Roman" w:eastAsia="宋体"/>
          <w:b/>
          <w:bCs w:val="0"/>
          <w:color w:val="auto"/>
          <w:sz w:val="32"/>
          <w:highlight w:val="none"/>
        </w:rPr>
      </w:pPr>
      <w:bookmarkStart w:id="1826" w:name="_Toc284135622"/>
      <w:bookmarkStart w:id="1827" w:name="_Toc55300202"/>
      <w:bookmarkStart w:id="1828" w:name="_Toc54967406"/>
      <w:bookmarkStart w:id="1829" w:name="_Toc54968740"/>
      <w:bookmarkStart w:id="1830" w:name="_Toc64302399"/>
      <w:bookmarkStart w:id="1831" w:name="_Toc64302912"/>
      <w:bookmarkStart w:id="1832" w:name="_Toc64302453"/>
      <w:bookmarkStart w:id="1833" w:name="_Toc64308101"/>
      <w:bookmarkStart w:id="1834" w:name="_Toc284135621"/>
      <w:bookmarkStart w:id="1835" w:name="_Toc55082672"/>
      <w:r>
        <w:rPr>
          <w:rStyle w:val="46"/>
          <w:rFonts w:ascii="Times New Roman" w:hAnsi="Times New Roman" w:eastAsia="宋体"/>
          <w:b/>
          <w:bCs w:val="0"/>
          <w:color w:val="auto"/>
          <w:sz w:val="32"/>
          <w:highlight w:val="none"/>
        </w:rPr>
        <w:t>第</w:t>
      </w:r>
      <w:r>
        <w:rPr>
          <w:rStyle w:val="46"/>
          <w:rFonts w:hint="eastAsia" w:ascii="Times New Roman" w:hAnsi="Times New Roman" w:eastAsia="宋体"/>
          <w:b/>
          <w:bCs w:val="0"/>
          <w:color w:val="auto"/>
          <w:sz w:val="32"/>
          <w:highlight w:val="none"/>
        </w:rPr>
        <w:t>一</w:t>
      </w:r>
      <w:r>
        <w:rPr>
          <w:rStyle w:val="46"/>
          <w:rFonts w:ascii="Times New Roman" w:hAnsi="Times New Roman" w:eastAsia="宋体"/>
          <w:b/>
          <w:bCs w:val="0"/>
          <w:color w:val="auto"/>
          <w:sz w:val="32"/>
          <w:highlight w:val="none"/>
        </w:rPr>
        <w:t>章 经济部分格式</w:t>
      </w:r>
      <w:bookmarkEnd w:id="1826"/>
    </w:p>
    <w:p w14:paraId="71759E1C">
      <w:pPr>
        <w:pStyle w:val="53"/>
        <w:spacing w:before="120"/>
        <w:rPr>
          <w:rStyle w:val="46"/>
          <w:rFonts w:ascii="Times New Roman" w:hAnsi="Times New Roman" w:eastAsia="宋体" w:cs="Times New Roman"/>
          <w:b/>
          <w:bCs w:val="0"/>
          <w:color w:val="auto"/>
          <w:szCs w:val="24"/>
          <w:highlight w:val="none"/>
        </w:rPr>
      </w:pPr>
      <w:bookmarkStart w:id="1836" w:name="_Toc145499831"/>
      <w:bookmarkStart w:id="1837" w:name="_Toc54281619"/>
      <w:bookmarkStart w:id="1838" w:name="_Toc54278958"/>
      <w:bookmarkStart w:id="1839" w:name="_Toc53949157"/>
      <w:bookmarkStart w:id="1840" w:name="_Toc54281193"/>
      <w:bookmarkStart w:id="1841" w:name="_Toc144872177"/>
      <w:bookmarkStart w:id="1842" w:name="_Toc53949578"/>
      <w:bookmarkStart w:id="1843" w:name="_Toc54291523"/>
      <w:bookmarkStart w:id="1844" w:name="_Toc53948736"/>
      <w:bookmarkStart w:id="1845" w:name="_Toc54280767"/>
      <w:bookmarkStart w:id="1846" w:name="_Toc54280341"/>
      <w:r>
        <w:rPr>
          <w:rStyle w:val="46"/>
          <w:rFonts w:ascii="Times New Roman" w:hAnsi="Times New Roman" w:eastAsia="宋体" w:cs="Times New Roman"/>
          <w:b/>
          <w:bCs w:val="0"/>
          <w:color w:val="auto"/>
          <w:szCs w:val="24"/>
          <w:highlight w:val="none"/>
        </w:rPr>
        <w:t>格式</w:t>
      </w:r>
      <w:r>
        <w:rPr>
          <w:rStyle w:val="46"/>
          <w:rFonts w:hint="eastAsia" w:ascii="Times New Roman" w:hAnsi="Times New Roman" w:eastAsia="宋体" w:cs="Times New Roman"/>
          <w:b/>
          <w:bCs w:val="0"/>
          <w:color w:val="auto"/>
          <w:szCs w:val="24"/>
          <w:highlight w:val="none"/>
        </w:rPr>
        <w:t>1</w:t>
      </w:r>
      <w:r>
        <w:rPr>
          <w:rStyle w:val="46"/>
          <w:rFonts w:ascii="Times New Roman" w:hAnsi="Times New Roman" w:eastAsia="宋体" w:cs="Times New Roman"/>
          <w:b/>
          <w:bCs w:val="0"/>
          <w:color w:val="auto"/>
          <w:szCs w:val="24"/>
          <w:highlight w:val="none"/>
        </w:rPr>
        <w:t xml:space="preserve">  </w:t>
      </w:r>
      <w:r>
        <w:rPr>
          <w:rStyle w:val="46"/>
          <w:rFonts w:hint="eastAsia" w:ascii="Times New Roman" w:hAnsi="Times New Roman" w:eastAsia="宋体" w:cs="Times New Roman"/>
          <w:b/>
          <w:bCs w:val="0"/>
          <w:color w:val="auto"/>
          <w:szCs w:val="24"/>
          <w:highlight w:val="none"/>
        </w:rPr>
        <w:t>响应</w:t>
      </w:r>
      <w:r>
        <w:rPr>
          <w:rStyle w:val="46"/>
          <w:rFonts w:ascii="Times New Roman" w:hAnsi="Times New Roman" w:eastAsia="宋体" w:cs="Times New Roman"/>
          <w:b/>
          <w:bCs w:val="0"/>
          <w:color w:val="auto"/>
          <w:szCs w:val="24"/>
          <w:highlight w:val="none"/>
        </w:rPr>
        <w:t>函</w:t>
      </w:r>
      <w:bookmarkEnd w:id="1836"/>
      <w:bookmarkEnd w:id="1837"/>
      <w:bookmarkEnd w:id="1838"/>
      <w:bookmarkEnd w:id="1839"/>
      <w:bookmarkEnd w:id="1840"/>
      <w:bookmarkEnd w:id="1841"/>
      <w:bookmarkEnd w:id="1842"/>
      <w:bookmarkEnd w:id="1843"/>
      <w:bookmarkEnd w:id="1844"/>
      <w:bookmarkEnd w:id="1845"/>
      <w:bookmarkEnd w:id="1846"/>
    </w:p>
    <w:p w14:paraId="483F9BD2">
      <w:pPr>
        <w:spacing w:line="360" w:lineRule="auto"/>
        <w:jc w:val="center"/>
        <w:rPr>
          <w:b/>
          <w:color w:val="auto"/>
          <w:sz w:val="28"/>
          <w:szCs w:val="28"/>
          <w:highlight w:val="none"/>
        </w:rPr>
      </w:pPr>
      <w:r>
        <w:rPr>
          <w:rFonts w:hint="eastAsia"/>
          <w:b/>
          <w:color w:val="auto"/>
          <w:sz w:val="28"/>
          <w:szCs w:val="28"/>
          <w:highlight w:val="none"/>
        </w:rPr>
        <w:t xml:space="preserve">响   应   </w:t>
      </w:r>
      <w:r>
        <w:rPr>
          <w:b/>
          <w:color w:val="auto"/>
          <w:sz w:val="28"/>
          <w:szCs w:val="28"/>
          <w:highlight w:val="none"/>
        </w:rPr>
        <w:t>函</w:t>
      </w:r>
    </w:p>
    <w:p w14:paraId="4B49A6AC">
      <w:pPr>
        <w:spacing w:line="360" w:lineRule="auto"/>
        <w:rPr>
          <w:color w:val="auto"/>
          <w:szCs w:val="21"/>
          <w:highlight w:val="none"/>
          <w:u w:val="single"/>
        </w:rPr>
      </w:pPr>
      <w:r>
        <w:rPr>
          <w:color w:val="auto"/>
          <w:szCs w:val="21"/>
          <w:highlight w:val="none"/>
        </w:rPr>
        <w:t>致：</w:t>
      </w:r>
      <w:r>
        <w:rPr>
          <w:rFonts w:hint="eastAsia"/>
          <w:color w:val="auto"/>
          <w:szCs w:val="21"/>
          <w:highlight w:val="none"/>
          <w:u w:val="single"/>
        </w:rPr>
        <w:t>中建路桥集团</w:t>
      </w:r>
      <w:r>
        <w:rPr>
          <w:rFonts w:hint="eastAsia"/>
          <w:color w:val="auto"/>
          <w:szCs w:val="21"/>
          <w:highlight w:val="none"/>
          <w:u w:val="single"/>
          <w:lang w:val="en-US" w:eastAsia="zh-CN"/>
        </w:rPr>
        <w:t>第二工程</w:t>
      </w:r>
      <w:r>
        <w:rPr>
          <w:rFonts w:hint="eastAsia"/>
          <w:color w:val="auto"/>
          <w:szCs w:val="21"/>
          <w:highlight w:val="none"/>
          <w:u w:val="single"/>
        </w:rPr>
        <w:t>有限公司</w:t>
      </w:r>
    </w:p>
    <w:p w14:paraId="638BF717">
      <w:pPr>
        <w:widowControl/>
        <w:spacing w:line="360" w:lineRule="auto"/>
        <w:ind w:firstLine="420" w:firstLineChars="200"/>
        <w:rPr>
          <w:color w:val="auto"/>
          <w:szCs w:val="21"/>
          <w:highlight w:val="none"/>
        </w:rPr>
      </w:pPr>
      <w:r>
        <w:rPr>
          <w:color w:val="auto"/>
          <w:szCs w:val="21"/>
          <w:highlight w:val="none"/>
        </w:rPr>
        <w:t>1.在研究了贵公司提供的采购文件(含补充采购文件第</w:t>
      </w:r>
      <w:r>
        <w:rPr>
          <w:color w:val="auto"/>
          <w:szCs w:val="21"/>
          <w:highlight w:val="none"/>
          <w:u w:val="single"/>
        </w:rPr>
        <w:t xml:space="preserve">  </w:t>
      </w:r>
      <w:r>
        <w:rPr>
          <w:color w:val="auto"/>
          <w:szCs w:val="21"/>
          <w:highlight w:val="none"/>
        </w:rPr>
        <w:t>号)和考察工程现场后，我们愿意按人民币(大写)</w:t>
      </w:r>
      <w:r>
        <w:rPr>
          <w:color w:val="auto"/>
          <w:szCs w:val="21"/>
          <w:highlight w:val="none"/>
          <w:u w:val="single"/>
        </w:rPr>
        <w:t xml:space="preserve">        </w:t>
      </w:r>
      <w:r>
        <w:rPr>
          <w:color w:val="auto"/>
          <w:szCs w:val="21"/>
          <w:highlight w:val="none"/>
        </w:rPr>
        <w:t>元(</w:t>
      </w:r>
      <w:r>
        <w:rPr>
          <w:color w:val="auto"/>
          <w:kern w:val="0"/>
          <w:szCs w:val="21"/>
          <w:highlight w:val="none"/>
        </w:rPr>
        <w:t>￥：</w:t>
      </w:r>
      <w:r>
        <w:rPr>
          <w:color w:val="auto"/>
          <w:szCs w:val="21"/>
          <w:highlight w:val="none"/>
          <w:u w:val="single"/>
        </w:rPr>
        <w:t xml:space="preserve">   </w:t>
      </w:r>
      <w:r>
        <w:rPr>
          <w:color w:val="auto"/>
          <w:szCs w:val="21"/>
          <w:highlight w:val="none"/>
        </w:rPr>
        <w:t>元)的总报价，遵照采购文件的要求承担本合同全部工程的实施、完成及其缺陷修复工作。</w:t>
      </w:r>
    </w:p>
    <w:p w14:paraId="0B9308B2">
      <w:pPr>
        <w:spacing w:line="360" w:lineRule="auto"/>
        <w:ind w:firstLine="420"/>
        <w:rPr>
          <w:color w:val="auto"/>
          <w:szCs w:val="21"/>
          <w:highlight w:val="none"/>
        </w:rPr>
      </w:pPr>
      <w:r>
        <w:rPr>
          <w:rFonts w:hint="eastAsia"/>
          <w:color w:val="auto"/>
          <w:szCs w:val="21"/>
          <w:highlight w:val="none"/>
        </w:rPr>
        <w:t>2</w:t>
      </w:r>
      <w:r>
        <w:rPr>
          <w:color w:val="auto"/>
          <w:szCs w:val="21"/>
          <w:highlight w:val="none"/>
        </w:rPr>
        <w:t>.如果贵公司接受我们的</w:t>
      </w:r>
      <w:r>
        <w:rPr>
          <w:rFonts w:hint="eastAsia"/>
          <w:color w:val="auto"/>
          <w:szCs w:val="21"/>
          <w:highlight w:val="none"/>
        </w:rPr>
        <w:t>响应</w:t>
      </w:r>
      <w:r>
        <w:rPr>
          <w:color w:val="auto"/>
          <w:szCs w:val="21"/>
          <w:highlight w:val="none"/>
        </w:rPr>
        <w:t>，我们将保证在接到</w:t>
      </w:r>
      <w:r>
        <w:rPr>
          <w:rFonts w:hint="eastAsia"/>
          <w:color w:val="auto"/>
          <w:szCs w:val="21"/>
          <w:highlight w:val="none"/>
        </w:rPr>
        <w:t>采购</w:t>
      </w:r>
      <w:r>
        <w:rPr>
          <w:color w:val="auto"/>
          <w:szCs w:val="21"/>
          <w:highlight w:val="none"/>
        </w:rPr>
        <w:t>人的开工通知后，按其要求开工，并在</w:t>
      </w:r>
      <w:r>
        <w:rPr>
          <w:color w:val="auto"/>
          <w:szCs w:val="21"/>
          <w:highlight w:val="none"/>
          <w:u w:val="single"/>
        </w:rPr>
        <w:t xml:space="preserve">    </w:t>
      </w:r>
      <w:r>
        <w:rPr>
          <w:color w:val="auto"/>
          <w:szCs w:val="21"/>
          <w:highlight w:val="none"/>
        </w:rPr>
        <w:t>日历天的工期内完成本合同工程，达到合同规定的要求。该工期从</w:t>
      </w:r>
      <w:r>
        <w:rPr>
          <w:rFonts w:hint="eastAsia"/>
          <w:color w:val="auto"/>
          <w:szCs w:val="21"/>
          <w:highlight w:val="none"/>
        </w:rPr>
        <w:t>采购</w:t>
      </w:r>
      <w:r>
        <w:rPr>
          <w:color w:val="auto"/>
          <w:szCs w:val="21"/>
          <w:highlight w:val="none"/>
        </w:rPr>
        <w:t>人发布的开工通知中写明的开工日期算起。</w:t>
      </w:r>
    </w:p>
    <w:p w14:paraId="22C15840">
      <w:pPr>
        <w:spacing w:line="360" w:lineRule="auto"/>
        <w:ind w:firstLine="420"/>
        <w:rPr>
          <w:color w:val="auto"/>
          <w:szCs w:val="21"/>
          <w:highlight w:val="none"/>
        </w:rPr>
      </w:pPr>
      <w:r>
        <w:rPr>
          <w:rFonts w:hint="eastAsia"/>
          <w:color w:val="auto"/>
          <w:szCs w:val="21"/>
          <w:highlight w:val="none"/>
        </w:rPr>
        <w:t>3</w:t>
      </w:r>
      <w:r>
        <w:rPr>
          <w:color w:val="auto"/>
          <w:szCs w:val="21"/>
          <w:highlight w:val="none"/>
        </w:rPr>
        <w:t>.如果贵公司接受我们的</w:t>
      </w:r>
      <w:r>
        <w:rPr>
          <w:rFonts w:hint="eastAsia"/>
          <w:color w:val="auto"/>
          <w:szCs w:val="21"/>
          <w:highlight w:val="none"/>
        </w:rPr>
        <w:t>响应</w:t>
      </w:r>
      <w:r>
        <w:rPr>
          <w:color w:val="auto"/>
          <w:szCs w:val="21"/>
          <w:highlight w:val="none"/>
        </w:rPr>
        <w:t>，我们将保证按贵公司认可的条件，</w:t>
      </w:r>
      <w:r>
        <w:rPr>
          <w:rFonts w:hint="eastAsia"/>
          <w:color w:val="auto"/>
          <w:szCs w:val="21"/>
          <w:highlight w:val="none"/>
        </w:rPr>
        <w:t>按采购文件</w:t>
      </w:r>
      <w:r>
        <w:rPr>
          <w:color w:val="auto"/>
          <w:szCs w:val="21"/>
          <w:highlight w:val="none"/>
        </w:rPr>
        <w:t>写明的金额提交履约担保。</w:t>
      </w:r>
    </w:p>
    <w:p w14:paraId="6E6362F1">
      <w:pPr>
        <w:spacing w:line="360" w:lineRule="auto"/>
        <w:ind w:firstLine="420"/>
        <w:rPr>
          <w:color w:val="auto"/>
          <w:szCs w:val="21"/>
          <w:highlight w:val="none"/>
        </w:rPr>
      </w:pPr>
      <w:r>
        <w:rPr>
          <w:rFonts w:hint="eastAsia"/>
          <w:color w:val="auto"/>
          <w:szCs w:val="21"/>
          <w:highlight w:val="none"/>
        </w:rPr>
        <w:t>4</w:t>
      </w:r>
      <w:r>
        <w:rPr>
          <w:color w:val="auto"/>
          <w:szCs w:val="21"/>
          <w:highlight w:val="none"/>
        </w:rPr>
        <w:t>.我们同意在从规定的开启响应文件之日起</w:t>
      </w:r>
      <w:r>
        <w:rPr>
          <w:rFonts w:hint="eastAsia"/>
          <w:color w:val="auto"/>
          <w:szCs w:val="21"/>
          <w:highlight w:val="none"/>
          <w:u w:val="single"/>
        </w:rPr>
        <w:t xml:space="preserve">    </w:t>
      </w:r>
      <w:r>
        <w:rPr>
          <w:color w:val="auto"/>
          <w:szCs w:val="21"/>
          <w:highlight w:val="none"/>
        </w:rPr>
        <w:t>天的响应有效期内严格遵守本</w:t>
      </w:r>
      <w:r>
        <w:rPr>
          <w:rFonts w:hint="eastAsia"/>
          <w:color w:val="auto"/>
          <w:szCs w:val="21"/>
          <w:highlight w:val="none"/>
        </w:rPr>
        <w:t>响应</w:t>
      </w:r>
      <w:r>
        <w:rPr>
          <w:color w:val="auto"/>
          <w:szCs w:val="21"/>
          <w:highlight w:val="none"/>
        </w:rPr>
        <w:t>函的各项承诺。在此期限届满之前，本</w:t>
      </w:r>
      <w:r>
        <w:rPr>
          <w:rFonts w:hint="eastAsia"/>
          <w:color w:val="auto"/>
          <w:szCs w:val="21"/>
          <w:highlight w:val="none"/>
        </w:rPr>
        <w:t>响应</w:t>
      </w:r>
      <w:r>
        <w:rPr>
          <w:color w:val="auto"/>
          <w:szCs w:val="21"/>
          <w:highlight w:val="none"/>
        </w:rPr>
        <w:t>函始终将对我方具有约束力，并随时接受</w:t>
      </w:r>
      <w:r>
        <w:rPr>
          <w:rFonts w:hint="eastAsia"/>
          <w:color w:val="auto"/>
          <w:szCs w:val="21"/>
          <w:highlight w:val="none"/>
        </w:rPr>
        <w:t>成交</w:t>
      </w:r>
      <w:r>
        <w:rPr>
          <w:color w:val="auto"/>
          <w:szCs w:val="21"/>
          <w:highlight w:val="none"/>
        </w:rPr>
        <w:t>。</w:t>
      </w:r>
    </w:p>
    <w:p w14:paraId="75D7B3A1">
      <w:pPr>
        <w:spacing w:line="360" w:lineRule="auto"/>
        <w:ind w:firstLine="420"/>
        <w:rPr>
          <w:color w:val="auto"/>
          <w:szCs w:val="21"/>
          <w:highlight w:val="none"/>
        </w:rPr>
      </w:pPr>
      <w:r>
        <w:rPr>
          <w:rFonts w:hint="eastAsia"/>
          <w:color w:val="auto"/>
          <w:szCs w:val="21"/>
          <w:highlight w:val="none"/>
        </w:rPr>
        <w:t>5</w:t>
      </w:r>
      <w:r>
        <w:rPr>
          <w:color w:val="auto"/>
          <w:szCs w:val="21"/>
          <w:highlight w:val="none"/>
        </w:rPr>
        <w:t>.在合同协议书正式签署生效之前，本</w:t>
      </w:r>
      <w:r>
        <w:rPr>
          <w:rFonts w:hint="eastAsia"/>
          <w:color w:val="auto"/>
          <w:szCs w:val="21"/>
          <w:highlight w:val="none"/>
        </w:rPr>
        <w:t>响应</w:t>
      </w:r>
      <w:r>
        <w:rPr>
          <w:color w:val="auto"/>
          <w:szCs w:val="21"/>
          <w:highlight w:val="none"/>
        </w:rPr>
        <w:t>函连同贵公司的成交通知书将构成贵我双方共同遵守的文件，对双方具有约束力。</w:t>
      </w:r>
    </w:p>
    <w:p w14:paraId="6F131FE5">
      <w:pPr>
        <w:spacing w:line="360" w:lineRule="auto"/>
        <w:ind w:firstLine="420"/>
        <w:rPr>
          <w:color w:val="auto"/>
          <w:szCs w:val="21"/>
          <w:highlight w:val="none"/>
        </w:rPr>
      </w:pPr>
      <w:r>
        <w:rPr>
          <w:rFonts w:hint="eastAsia"/>
          <w:color w:val="auto"/>
          <w:szCs w:val="21"/>
          <w:highlight w:val="none"/>
        </w:rPr>
        <w:t>6</w:t>
      </w:r>
      <w:r>
        <w:rPr>
          <w:color w:val="auto"/>
          <w:szCs w:val="21"/>
          <w:highlight w:val="none"/>
        </w:rPr>
        <w:t>.我们理解，贵公司不一定接受最低</w:t>
      </w:r>
      <w:r>
        <w:rPr>
          <w:rFonts w:hint="eastAsia"/>
          <w:color w:val="auto"/>
          <w:szCs w:val="21"/>
          <w:highlight w:val="none"/>
        </w:rPr>
        <w:t>报价</w:t>
      </w:r>
      <w:r>
        <w:rPr>
          <w:color w:val="auto"/>
          <w:szCs w:val="21"/>
          <w:highlight w:val="none"/>
        </w:rPr>
        <w:t>的</w:t>
      </w:r>
      <w:r>
        <w:rPr>
          <w:rFonts w:hint="eastAsia"/>
          <w:color w:val="auto"/>
          <w:szCs w:val="21"/>
          <w:highlight w:val="none"/>
        </w:rPr>
        <w:t>响应</w:t>
      </w:r>
      <w:r>
        <w:rPr>
          <w:color w:val="auto"/>
          <w:szCs w:val="21"/>
          <w:highlight w:val="none"/>
        </w:rPr>
        <w:t>或其他任何</w:t>
      </w:r>
      <w:r>
        <w:rPr>
          <w:rFonts w:hint="eastAsia"/>
          <w:color w:val="auto"/>
          <w:szCs w:val="21"/>
          <w:highlight w:val="none"/>
        </w:rPr>
        <w:t>响应</w:t>
      </w:r>
      <w:r>
        <w:rPr>
          <w:color w:val="auto"/>
          <w:szCs w:val="21"/>
          <w:highlight w:val="none"/>
        </w:rPr>
        <w:t>。同时也理解，贵公司不负担我们的任何</w:t>
      </w:r>
      <w:r>
        <w:rPr>
          <w:rFonts w:hint="eastAsia"/>
          <w:color w:val="auto"/>
          <w:szCs w:val="21"/>
          <w:highlight w:val="none"/>
        </w:rPr>
        <w:t>采购响应</w:t>
      </w:r>
      <w:r>
        <w:rPr>
          <w:color w:val="auto"/>
          <w:szCs w:val="21"/>
          <w:highlight w:val="none"/>
        </w:rPr>
        <w:t>费用。</w:t>
      </w:r>
    </w:p>
    <w:p w14:paraId="4BBB907F">
      <w:pPr>
        <w:spacing w:line="360" w:lineRule="auto"/>
        <w:ind w:firstLine="420"/>
        <w:rPr>
          <w:color w:val="auto"/>
          <w:szCs w:val="21"/>
          <w:highlight w:val="none"/>
        </w:rPr>
      </w:pPr>
      <w:r>
        <w:rPr>
          <w:rFonts w:hint="eastAsia"/>
          <w:color w:val="auto"/>
          <w:szCs w:val="21"/>
          <w:highlight w:val="none"/>
        </w:rPr>
        <w:t>7</w:t>
      </w:r>
      <w:r>
        <w:rPr>
          <w:color w:val="auto"/>
          <w:szCs w:val="21"/>
          <w:highlight w:val="none"/>
        </w:rPr>
        <w:t>.随同本</w:t>
      </w:r>
      <w:r>
        <w:rPr>
          <w:rFonts w:hint="eastAsia"/>
          <w:color w:val="auto"/>
          <w:szCs w:val="21"/>
          <w:highlight w:val="none"/>
        </w:rPr>
        <w:t>响应</w:t>
      </w:r>
      <w:r>
        <w:rPr>
          <w:color w:val="auto"/>
          <w:szCs w:val="21"/>
          <w:highlight w:val="none"/>
        </w:rPr>
        <w:t>函，我们出具金额为人民币</w:t>
      </w:r>
      <w:r>
        <w:rPr>
          <w:color w:val="auto"/>
          <w:szCs w:val="21"/>
          <w:highlight w:val="none"/>
          <w:u w:val="single"/>
        </w:rPr>
        <w:t xml:space="preserve">    </w:t>
      </w:r>
      <w:r>
        <w:rPr>
          <w:color w:val="auto"/>
          <w:szCs w:val="21"/>
          <w:highlight w:val="none"/>
        </w:rPr>
        <w:t>万元的响应担保。如果我们在响应有效期内撤回响应文件或在接到</w:t>
      </w:r>
      <w:r>
        <w:rPr>
          <w:rFonts w:hint="eastAsia"/>
          <w:color w:val="auto"/>
          <w:szCs w:val="21"/>
          <w:highlight w:val="none"/>
        </w:rPr>
        <w:t>成交</w:t>
      </w:r>
      <w:r>
        <w:rPr>
          <w:color w:val="auto"/>
          <w:szCs w:val="21"/>
          <w:highlight w:val="none"/>
        </w:rPr>
        <w:t>通知后的30天内未能或拒绝签订合同协议书；或未能提交履约担保，贵公司有权没收响应担保，另选</w:t>
      </w:r>
      <w:r>
        <w:rPr>
          <w:rFonts w:hint="eastAsia"/>
          <w:color w:val="auto"/>
          <w:szCs w:val="21"/>
          <w:highlight w:val="none"/>
        </w:rPr>
        <w:t>成交</w:t>
      </w:r>
      <w:r>
        <w:rPr>
          <w:color w:val="auto"/>
          <w:szCs w:val="21"/>
          <w:highlight w:val="none"/>
        </w:rPr>
        <w:t>单位。</w:t>
      </w:r>
    </w:p>
    <w:p w14:paraId="75A33F29">
      <w:pPr>
        <w:spacing w:line="360" w:lineRule="auto"/>
        <w:ind w:firstLine="420" w:firstLineChars="200"/>
        <w:rPr>
          <w:color w:val="auto"/>
          <w:szCs w:val="21"/>
          <w:highlight w:val="none"/>
        </w:rPr>
      </w:pPr>
    </w:p>
    <w:p w14:paraId="12BAFEBC">
      <w:pPr>
        <w:spacing w:line="360" w:lineRule="auto"/>
        <w:ind w:firstLine="420" w:firstLineChars="200"/>
        <w:rPr>
          <w:color w:val="auto"/>
          <w:szCs w:val="21"/>
          <w:highlight w:val="none"/>
        </w:rPr>
      </w:pPr>
    </w:p>
    <w:p w14:paraId="2ACB2912">
      <w:pPr>
        <w:spacing w:line="360" w:lineRule="auto"/>
        <w:ind w:firstLine="420" w:firstLineChars="200"/>
        <w:rPr>
          <w:color w:val="auto"/>
          <w:szCs w:val="21"/>
          <w:highlight w:val="none"/>
        </w:rPr>
      </w:pPr>
    </w:p>
    <w:p w14:paraId="4EF368E9">
      <w:pPr>
        <w:spacing w:line="360" w:lineRule="auto"/>
        <w:ind w:firstLine="420" w:firstLineChars="200"/>
        <w:rPr>
          <w:color w:val="auto"/>
          <w:szCs w:val="21"/>
          <w:highlight w:val="none"/>
        </w:rPr>
      </w:pPr>
      <w:r>
        <w:rPr>
          <w:color w:val="auto"/>
          <w:szCs w:val="21"/>
          <w:highlight w:val="none"/>
        </w:rPr>
        <w:t>响应单位地址：</w:t>
      </w:r>
      <w:r>
        <w:rPr>
          <w:color w:val="auto"/>
          <w:szCs w:val="21"/>
          <w:highlight w:val="none"/>
          <w:u w:val="single"/>
        </w:rPr>
        <w:t xml:space="preserve">                 </w:t>
      </w:r>
      <w:r>
        <w:rPr>
          <w:color w:val="auto"/>
          <w:szCs w:val="21"/>
          <w:highlight w:val="none"/>
        </w:rPr>
        <w:t xml:space="preserve">         响应单位</w:t>
      </w:r>
      <w:r>
        <w:rPr>
          <w:color w:val="auto"/>
          <w:szCs w:val="21"/>
          <w:highlight w:val="none"/>
          <w:u w:val="single"/>
        </w:rPr>
        <w:t>(全称)       (盖章)</w:t>
      </w:r>
    </w:p>
    <w:p w14:paraId="6B0C9686">
      <w:pPr>
        <w:spacing w:line="360" w:lineRule="auto"/>
        <w:ind w:firstLine="420" w:firstLineChars="200"/>
        <w:rPr>
          <w:color w:val="auto"/>
          <w:szCs w:val="21"/>
          <w:highlight w:val="none"/>
        </w:rPr>
      </w:pPr>
      <w:r>
        <w:rPr>
          <w:color w:val="auto"/>
          <w:szCs w:val="21"/>
          <w:highlight w:val="none"/>
        </w:rPr>
        <w:t xml:space="preserve">邮政编码：  </w:t>
      </w:r>
      <w:r>
        <w:rPr>
          <w:color w:val="auto"/>
          <w:szCs w:val="21"/>
          <w:highlight w:val="none"/>
          <w:u w:val="single"/>
        </w:rPr>
        <w:t xml:space="preserve">                 </w:t>
      </w:r>
      <w:r>
        <w:rPr>
          <w:color w:val="auto"/>
          <w:szCs w:val="21"/>
          <w:highlight w:val="none"/>
        </w:rPr>
        <w:t xml:space="preserve">         法定代表人或其授权的代理人</w:t>
      </w:r>
    </w:p>
    <w:p w14:paraId="5CF77163">
      <w:pPr>
        <w:spacing w:line="360" w:lineRule="auto"/>
        <w:ind w:firstLine="420" w:firstLineChars="200"/>
        <w:rPr>
          <w:color w:val="auto"/>
          <w:szCs w:val="21"/>
          <w:highlight w:val="none"/>
          <w:u w:val="single"/>
        </w:rPr>
      </w:pPr>
      <w:r>
        <w:rPr>
          <w:color w:val="auto"/>
          <w:szCs w:val="21"/>
          <w:highlight w:val="none"/>
        </w:rPr>
        <w:t xml:space="preserve">电    话：  </w:t>
      </w:r>
      <w:r>
        <w:rPr>
          <w:color w:val="auto"/>
          <w:szCs w:val="21"/>
          <w:highlight w:val="none"/>
          <w:u w:val="single"/>
        </w:rPr>
        <w:t xml:space="preserve"> 　　            </w:t>
      </w:r>
      <w:r>
        <w:rPr>
          <w:color w:val="auto"/>
          <w:szCs w:val="21"/>
          <w:highlight w:val="none"/>
        </w:rPr>
        <w:t xml:space="preserve">          </w:t>
      </w:r>
      <w:r>
        <w:rPr>
          <w:color w:val="auto"/>
          <w:szCs w:val="21"/>
          <w:highlight w:val="none"/>
          <w:u w:val="single"/>
        </w:rPr>
        <w:t>(职务)  (姓名) (签字)</w:t>
      </w:r>
    </w:p>
    <w:p w14:paraId="1BC5D396">
      <w:pPr>
        <w:spacing w:line="360" w:lineRule="auto"/>
        <w:ind w:firstLine="420" w:firstLineChars="200"/>
        <w:rPr>
          <w:color w:val="auto"/>
          <w:szCs w:val="21"/>
          <w:highlight w:val="none"/>
        </w:rPr>
      </w:pPr>
      <w:r>
        <w:rPr>
          <w:color w:val="auto"/>
          <w:szCs w:val="21"/>
          <w:highlight w:val="none"/>
        </w:rPr>
        <w:t xml:space="preserve">传    真：  </w:t>
      </w:r>
      <w:r>
        <w:rPr>
          <w:color w:val="auto"/>
          <w:szCs w:val="21"/>
          <w:highlight w:val="none"/>
          <w:u w:val="single"/>
        </w:rPr>
        <w:t xml:space="preserve">                 </w:t>
      </w:r>
      <w:r>
        <w:rPr>
          <w:color w:val="auto"/>
          <w:szCs w:val="21"/>
          <w:highlight w:val="none"/>
        </w:rPr>
        <w:t xml:space="preserve">         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0F52D532">
      <w:pPr>
        <w:pStyle w:val="53"/>
        <w:spacing w:before="120"/>
        <w:rPr>
          <w:rStyle w:val="46"/>
          <w:rFonts w:ascii="Times New Roman" w:hAnsi="Times New Roman" w:eastAsia="宋体" w:cs="Times New Roman"/>
          <w:b w:val="0"/>
          <w:bCs w:val="0"/>
          <w:color w:val="auto"/>
          <w:szCs w:val="24"/>
          <w:highlight w:val="none"/>
        </w:rPr>
      </w:pPr>
      <w:r>
        <w:rPr>
          <w:color w:val="auto"/>
          <w:highlight w:val="none"/>
        </w:rPr>
        <w:br w:type="page"/>
      </w:r>
      <w:bookmarkStart w:id="1847" w:name="_Toc54280770"/>
      <w:bookmarkStart w:id="1848" w:name="_Toc54291526"/>
      <w:bookmarkStart w:id="1849" w:name="_Toc54280344"/>
      <w:bookmarkStart w:id="1850" w:name="_Toc54281622"/>
      <w:bookmarkStart w:id="1851" w:name="_Toc54278961"/>
      <w:bookmarkStart w:id="1852" w:name="_Toc54281196"/>
      <w:bookmarkStart w:id="1853" w:name="_Toc53949581"/>
      <w:bookmarkStart w:id="1854" w:name="_Toc53949160"/>
      <w:bookmarkStart w:id="1855" w:name="_Toc53948739"/>
      <w:r>
        <w:rPr>
          <w:rStyle w:val="46"/>
          <w:rFonts w:hint="eastAsia" w:ascii="Times New Roman" w:hAnsi="Times New Roman" w:eastAsia="宋体" w:cs="Times New Roman"/>
          <w:b/>
          <w:bCs w:val="0"/>
          <w:color w:val="auto"/>
          <w:szCs w:val="24"/>
          <w:highlight w:val="none"/>
        </w:rPr>
        <w:t>格式2  法定代表人证明书</w:t>
      </w:r>
    </w:p>
    <w:p w14:paraId="77C99F60">
      <w:pPr>
        <w:adjustRightInd w:val="0"/>
        <w:snapToGrid w:val="0"/>
        <w:spacing w:before="120" w:beforeLines="50" w:line="360" w:lineRule="auto"/>
        <w:jc w:val="center"/>
        <w:outlineLvl w:val="4"/>
        <w:rPr>
          <w:rFonts w:hint="eastAsia" w:ascii="宋体" w:hAnsi="宋体" w:cs="黑体"/>
          <w:b/>
          <w:color w:val="auto"/>
          <w:sz w:val="28"/>
          <w:szCs w:val="28"/>
          <w:highlight w:val="none"/>
        </w:rPr>
      </w:pPr>
      <w:r>
        <w:rPr>
          <w:rFonts w:hint="eastAsia" w:ascii="宋体" w:hAnsi="宋体" w:cs="黑体"/>
          <w:b/>
          <w:color w:val="auto"/>
          <w:sz w:val="28"/>
          <w:szCs w:val="28"/>
          <w:highlight w:val="none"/>
        </w:rPr>
        <w:t>法定代表人身份证明</w:t>
      </w:r>
    </w:p>
    <w:p w14:paraId="0CF41945">
      <w:pPr>
        <w:rPr>
          <w:rFonts w:ascii="宋体"/>
          <w:color w:val="auto"/>
          <w:sz w:val="24"/>
          <w:highlight w:val="none"/>
        </w:rPr>
      </w:pPr>
    </w:p>
    <w:p w14:paraId="0B7A150E">
      <w:pPr>
        <w:rPr>
          <w:rFonts w:ascii="宋体"/>
          <w:color w:val="auto"/>
          <w:sz w:val="24"/>
          <w:highlight w:val="none"/>
        </w:rPr>
      </w:pPr>
    </w:p>
    <w:p w14:paraId="65867B46">
      <w:pPr>
        <w:spacing w:before="240" w:beforeLines="100" w:after="240" w:afterLines="100" w:line="360" w:lineRule="auto"/>
        <w:jc w:val="center"/>
        <w:rPr>
          <w:rFonts w:hint="eastAsia" w:ascii="宋体" w:hAnsi="宋体"/>
          <w:color w:val="auto"/>
          <w:sz w:val="28"/>
          <w:szCs w:val="28"/>
          <w:highlight w:val="none"/>
        </w:rPr>
      </w:pPr>
      <w:r>
        <w:rPr>
          <w:rFonts w:hint="eastAsia" w:ascii="宋体" w:hAnsi="宋体"/>
          <w:color w:val="auto"/>
          <w:sz w:val="28"/>
          <w:szCs w:val="28"/>
          <w:highlight w:val="none"/>
        </w:rPr>
        <w:t>法定代表人身份证明</w:t>
      </w:r>
    </w:p>
    <w:p w14:paraId="73340751">
      <w:pPr>
        <w:spacing w:after="120" w:afterLines="50" w:line="420" w:lineRule="exact"/>
        <w:jc w:val="left"/>
        <w:rPr>
          <w:rFonts w:hint="eastAsia" w:ascii="宋体" w:hAnsi="宋体"/>
          <w:color w:val="auto"/>
          <w:sz w:val="24"/>
          <w:highlight w:val="none"/>
        </w:rPr>
      </w:pPr>
      <w:r>
        <w:rPr>
          <w:rFonts w:hint="eastAsia" w:ascii="宋体" w:hAnsi="宋体"/>
          <w:color w:val="auto"/>
          <w:sz w:val="24"/>
          <w:highlight w:val="none"/>
        </w:rPr>
        <w:t>响应单位名称：</w:t>
      </w:r>
      <w:r>
        <w:rPr>
          <w:rFonts w:hint="eastAsia" w:ascii="宋体" w:hAnsi="宋体"/>
          <w:color w:val="auto"/>
          <w:sz w:val="24"/>
          <w:highlight w:val="none"/>
          <w:u w:val="single"/>
        </w:rPr>
        <w:t xml:space="preserve">                                   </w:t>
      </w:r>
    </w:p>
    <w:p w14:paraId="2E0994EE">
      <w:pPr>
        <w:spacing w:after="120" w:afterLines="50" w:line="420" w:lineRule="exact"/>
        <w:rPr>
          <w:rFonts w:hint="eastAsia" w:ascii="宋体" w:hAnsi="宋体"/>
          <w:color w:val="auto"/>
          <w:sz w:val="24"/>
          <w:highlight w:val="none"/>
          <w:u w:val="single"/>
        </w:rPr>
      </w:pPr>
      <w:r>
        <w:rPr>
          <w:rFonts w:hint="eastAsia" w:ascii="宋体" w:hAnsi="宋体"/>
          <w:color w:val="auto"/>
          <w:sz w:val="24"/>
          <w:highlight w:val="none"/>
        </w:rPr>
        <w:t>单位性质：</w:t>
      </w:r>
      <w:r>
        <w:rPr>
          <w:rFonts w:hint="eastAsia" w:ascii="宋体" w:hAnsi="宋体"/>
          <w:color w:val="auto"/>
          <w:sz w:val="24"/>
          <w:highlight w:val="none"/>
          <w:u w:val="single"/>
        </w:rPr>
        <w:t xml:space="preserve">                                     </w:t>
      </w:r>
    </w:p>
    <w:p w14:paraId="40A33485">
      <w:pPr>
        <w:spacing w:after="120" w:afterLines="50" w:line="420" w:lineRule="exact"/>
        <w:rPr>
          <w:rFonts w:hint="eastAsia" w:ascii="宋体" w:hAnsi="宋体"/>
          <w:color w:val="auto"/>
          <w:sz w:val="24"/>
          <w:highlight w:val="none"/>
          <w:u w:val="single"/>
        </w:rPr>
      </w:pPr>
      <w:r>
        <w:rPr>
          <w:rFonts w:hint="eastAsia" w:ascii="宋体" w:hAnsi="宋体"/>
          <w:color w:val="auto"/>
          <w:sz w:val="24"/>
          <w:highlight w:val="none"/>
        </w:rPr>
        <w:t>地址：</w:t>
      </w:r>
      <w:r>
        <w:rPr>
          <w:rFonts w:hint="eastAsia" w:ascii="宋体" w:hAnsi="宋体"/>
          <w:color w:val="auto"/>
          <w:sz w:val="24"/>
          <w:highlight w:val="none"/>
          <w:u w:val="single"/>
        </w:rPr>
        <w:t xml:space="preserve">                                         </w:t>
      </w:r>
    </w:p>
    <w:p w14:paraId="5022A5C9">
      <w:pPr>
        <w:spacing w:after="120" w:afterLines="50" w:line="420" w:lineRule="exact"/>
        <w:rPr>
          <w:rFonts w:hint="eastAsia" w:ascii="宋体" w:hAnsi="宋体"/>
          <w:color w:val="auto"/>
          <w:sz w:val="24"/>
          <w:highlight w:val="none"/>
        </w:rPr>
      </w:pPr>
      <w:r>
        <w:rPr>
          <w:rFonts w:hint="eastAsia" w:ascii="宋体" w:hAnsi="宋体"/>
          <w:color w:val="auto"/>
          <w:sz w:val="24"/>
          <w:highlight w:val="none"/>
        </w:rPr>
        <w:t>成立时间：</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5C3EF732">
      <w:pPr>
        <w:spacing w:after="120" w:afterLines="50" w:line="420" w:lineRule="exact"/>
        <w:rPr>
          <w:rFonts w:hint="eastAsia" w:ascii="宋体" w:hAnsi="宋体"/>
          <w:color w:val="auto"/>
          <w:sz w:val="24"/>
          <w:highlight w:val="none"/>
          <w:u w:val="single"/>
        </w:rPr>
      </w:pPr>
      <w:r>
        <w:rPr>
          <w:rFonts w:hint="eastAsia" w:ascii="宋体" w:hAnsi="宋体"/>
          <w:color w:val="auto"/>
          <w:sz w:val="24"/>
          <w:highlight w:val="none"/>
        </w:rPr>
        <w:t>经营期限：</w:t>
      </w:r>
      <w:r>
        <w:rPr>
          <w:rFonts w:hint="eastAsia" w:ascii="宋体" w:hAnsi="宋体"/>
          <w:color w:val="auto"/>
          <w:sz w:val="24"/>
          <w:highlight w:val="none"/>
          <w:u w:val="single"/>
        </w:rPr>
        <w:t xml:space="preserve">                                     </w:t>
      </w:r>
    </w:p>
    <w:p w14:paraId="769E1792">
      <w:pPr>
        <w:snapToGrid w:val="0"/>
        <w:spacing w:after="120" w:afterLines="50" w:line="440" w:lineRule="exact"/>
        <w:rPr>
          <w:rFonts w:hint="eastAsia" w:ascii="宋体" w:hAnsi="宋体"/>
          <w:color w:val="auto"/>
          <w:sz w:val="24"/>
          <w:highlight w:val="none"/>
        </w:rPr>
      </w:pPr>
      <w:r>
        <w:rPr>
          <w:rFonts w:hint="eastAsia" w:ascii="宋体" w:hAnsi="宋体"/>
          <w:color w:val="auto"/>
          <w:sz w:val="24"/>
          <w:highlight w:val="none"/>
        </w:rPr>
        <w:t>姓名：</w:t>
      </w:r>
      <w:r>
        <w:rPr>
          <w:rFonts w:hint="eastAsia" w:ascii="宋体" w:hAnsi="宋体"/>
          <w:color w:val="auto"/>
          <w:sz w:val="24"/>
          <w:highlight w:val="none"/>
          <w:u w:val="single"/>
        </w:rPr>
        <w:t xml:space="preserve"> （法定代表人签字）  </w:t>
      </w:r>
      <w:r>
        <w:rPr>
          <w:rFonts w:hint="eastAsia" w:ascii="宋体" w:hAnsi="宋体"/>
          <w:color w:val="auto"/>
          <w:sz w:val="24"/>
          <w:highlight w:val="none"/>
        </w:rPr>
        <w:t>性别：</w:t>
      </w:r>
      <w:r>
        <w:rPr>
          <w:rFonts w:hint="eastAsia" w:ascii="宋体" w:hAnsi="宋体"/>
          <w:color w:val="auto"/>
          <w:sz w:val="24"/>
          <w:highlight w:val="none"/>
          <w:u w:val="single"/>
        </w:rPr>
        <w:t xml:space="preserve">          </w:t>
      </w:r>
      <w:r>
        <w:rPr>
          <w:rFonts w:hint="eastAsia" w:ascii="宋体" w:hAnsi="宋体"/>
          <w:color w:val="auto"/>
          <w:sz w:val="24"/>
          <w:highlight w:val="none"/>
        </w:rPr>
        <w:t>年龄：</w:t>
      </w:r>
      <w:r>
        <w:rPr>
          <w:rFonts w:hint="eastAsia" w:ascii="宋体" w:hAnsi="宋体"/>
          <w:color w:val="auto"/>
          <w:sz w:val="24"/>
          <w:highlight w:val="none"/>
          <w:u w:val="single"/>
        </w:rPr>
        <w:t xml:space="preserve">          </w:t>
      </w:r>
      <w:r>
        <w:rPr>
          <w:rFonts w:hint="eastAsia" w:ascii="宋体" w:hAnsi="宋体"/>
          <w:color w:val="auto"/>
          <w:sz w:val="24"/>
          <w:highlight w:val="none"/>
        </w:rPr>
        <w:t>职务：</w:t>
      </w:r>
      <w:r>
        <w:rPr>
          <w:rFonts w:hint="eastAsia" w:ascii="宋体" w:hAnsi="宋体"/>
          <w:color w:val="auto"/>
          <w:sz w:val="24"/>
          <w:highlight w:val="none"/>
          <w:u w:val="single"/>
        </w:rPr>
        <w:t xml:space="preserve">          </w:t>
      </w:r>
      <w:r>
        <w:rPr>
          <w:rFonts w:hint="eastAsia" w:ascii="宋体" w:hAnsi="宋体"/>
          <w:color w:val="auto"/>
          <w:sz w:val="24"/>
          <w:highlight w:val="none"/>
        </w:rPr>
        <w:t>系</w:t>
      </w:r>
      <w:r>
        <w:rPr>
          <w:rFonts w:hint="eastAsia" w:ascii="宋体" w:hAnsi="宋体"/>
          <w:color w:val="auto"/>
          <w:sz w:val="24"/>
          <w:highlight w:val="none"/>
          <w:u w:val="single"/>
        </w:rPr>
        <w:t>（响应单位名称）</w:t>
      </w:r>
      <w:r>
        <w:rPr>
          <w:rFonts w:hint="eastAsia" w:ascii="宋体" w:hAnsi="宋体"/>
          <w:color w:val="auto"/>
          <w:sz w:val="24"/>
          <w:highlight w:val="none"/>
        </w:rPr>
        <w:t>的法定代表人。</w:t>
      </w:r>
    </w:p>
    <w:p w14:paraId="29FB3726">
      <w:pPr>
        <w:spacing w:after="120" w:afterLines="50" w:line="420" w:lineRule="exact"/>
        <w:rPr>
          <w:rFonts w:hint="eastAsia" w:ascii="宋体" w:hAnsi="宋体"/>
          <w:color w:val="auto"/>
          <w:sz w:val="24"/>
          <w:highlight w:val="none"/>
        </w:rPr>
      </w:pPr>
      <w:r>
        <w:rPr>
          <w:rFonts w:hint="eastAsia" w:ascii="宋体" w:hAnsi="宋体"/>
          <w:color w:val="auto"/>
          <w:sz w:val="24"/>
          <w:highlight w:val="none"/>
        </w:rPr>
        <w:t>特此证明。</w:t>
      </w:r>
    </w:p>
    <w:p w14:paraId="257F7111">
      <w:pPr>
        <w:spacing w:after="120" w:afterLines="50" w:line="420" w:lineRule="exact"/>
        <w:rPr>
          <w:rFonts w:hint="eastAsia" w:ascii="宋体" w:hAnsi="宋体"/>
          <w:color w:val="auto"/>
          <w:sz w:val="24"/>
          <w:highlight w:val="none"/>
        </w:rPr>
      </w:pPr>
      <w:r>
        <w:rPr>
          <w:rFonts w:hint="eastAsia" w:ascii="宋体" w:hAnsi="宋体"/>
          <w:color w:val="auto"/>
          <w:sz w:val="24"/>
          <w:highlight w:val="none"/>
        </w:rPr>
        <w:t>附：法定代表人身份证复印件</w:t>
      </w:r>
    </w:p>
    <w:p w14:paraId="25215EDC">
      <w:pPr>
        <w:spacing w:before="720" w:after="120" w:afterLines="50" w:line="360" w:lineRule="exact"/>
        <w:ind w:firstLine="3828" w:firstLineChars="1595"/>
        <w:rPr>
          <w:rFonts w:hint="eastAsia" w:ascii="宋体" w:hAnsi="宋体"/>
          <w:color w:val="auto"/>
          <w:sz w:val="24"/>
          <w:highlight w:val="none"/>
        </w:rPr>
      </w:pPr>
      <w:r>
        <w:rPr>
          <w:rFonts w:ascii="宋体" w:hAnsi="宋体"/>
          <w:color w:val="auto"/>
          <w:sz w:val="24"/>
          <w:highlight w:val="none"/>
        </w:rPr>
        <w:t>响应单位：</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（全称）（盖章）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p>
    <w:p w14:paraId="0C40F4EB">
      <w:pPr>
        <w:spacing w:line="800" w:lineRule="exact"/>
        <w:ind w:firstLine="3828" w:firstLineChars="1595"/>
        <w:rPr>
          <w:rFonts w:hint="eastAsia" w:ascii="宋体" w:hAnsi="宋体"/>
          <w:color w:val="auto"/>
          <w:sz w:val="24"/>
          <w:highlight w:val="none"/>
        </w:rPr>
      </w:pPr>
      <w:r>
        <w:rPr>
          <w:rFonts w:ascii="宋体" w:hAnsi="宋体"/>
          <w:color w:val="auto"/>
          <w:sz w:val="24"/>
          <w:highlight w:val="none"/>
        </w:rPr>
        <w:t>日</w:t>
      </w:r>
      <w:r>
        <w:rPr>
          <w:rFonts w:hint="eastAsia" w:ascii="宋体" w:hAnsi="宋体"/>
          <w:color w:val="auto"/>
          <w:sz w:val="24"/>
          <w:highlight w:val="none"/>
        </w:rPr>
        <w:t xml:space="preserve">  </w:t>
      </w:r>
      <w:r>
        <w:rPr>
          <w:rFonts w:ascii="宋体" w:hAnsi="宋体"/>
          <w:color w:val="auto"/>
          <w:sz w:val="24"/>
          <w:highlight w:val="none"/>
        </w:rPr>
        <w:t>期：</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ascii="宋体" w:hAnsi="宋体"/>
          <w:color w:val="auto"/>
          <w:sz w:val="24"/>
          <w:highlight w:val="none"/>
        </w:rPr>
        <w:t>日</w:t>
      </w:r>
    </w:p>
    <w:p w14:paraId="33008A6D">
      <w:pPr>
        <w:tabs>
          <w:tab w:val="left" w:pos="4680"/>
        </w:tabs>
        <w:spacing w:after="120" w:afterLines="50" w:line="360" w:lineRule="auto"/>
        <w:ind w:firstLine="480" w:firstLineChars="200"/>
        <w:rPr>
          <w:rFonts w:hint="eastAsia" w:ascii="宋体" w:hAnsi="宋体"/>
          <w:color w:val="auto"/>
          <w:sz w:val="24"/>
          <w:highlight w:val="none"/>
        </w:rPr>
      </w:pPr>
    </w:p>
    <w:p w14:paraId="36CB5423">
      <w:pPr>
        <w:adjustRightInd w:val="0"/>
        <w:snapToGrid w:val="0"/>
        <w:spacing w:line="420" w:lineRule="exact"/>
        <w:rPr>
          <w:color w:val="auto"/>
          <w:szCs w:val="21"/>
          <w:highlight w:val="none"/>
        </w:rPr>
      </w:pPr>
    </w:p>
    <w:p w14:paraId="316782B4">
      <w:pPr>
        <w:spacing w:line="420" w:lineRule="exact"/>
        <w:rPr>
          <w:color w:val="auto"/>
          <w:szCs w:val="21"/>
          <w:highlight w:val="none"/>
        </w:rPr>
      </w:pPr>
    </w:p>
    <w:p w14:paraId="6B0E11DF">
      <w:pPr>
        <w:rPr>
          <w:rFonts w:ascii="宋体"/>
          <w:color w:val="auto"/>
          <w:sz w:val="24"/>
          <w:highlight w:val="none"/>
        </w:rPr>
      </w:pPr>
    </w:p>
    <w:p w14:paraId="15D09A17">
      <w:pPr>
        <w:spacing w:line="360" w:lineRule="auto"/>
        <w:rPr>
          <w:rFonts w:hint="eastAsia" w:ascii="宋体" w:hAnsi="宋体"/>
          <w:color w:val="auto"/>
          <w:szCs w:val="21"/>
          <w:highlight w:val="none"/>
        </w:rPr>
      </w:pPr>
    </w:p>
    <w:p w14:paraId="7EB4246A">
      <w:pPr>
        <w:spacing w:line="360" w:lineRule="auto"/>
        <w:rPr>
          <w:rFonts w:hint="eastAsia" w:ascii="宋体" w:hAnsi="宋体"/>
          <w:color w:val="auto"/>
          <w:szCs w:val="21"/>
          <w:highlight w:val="none"/>
        </w:rPr>
      </w:pPr>
    </w:p>
    <w:p w14:paraId="5FE60253">
      <w:pPr>
        <w:spacing w:line="360" w:lineRule="auto"/>
        <w:rPr>
          <w:color w:val="auto"/>
          <w:sz w:val="18"/>
          <w:szCs w:val="18"/>
          <w:highlight w:val="none"/>
        </w:rPr>
      </w:pPr>
      <w:r>
        <w:rPr>
          <w:color w:val="auto"/>
          <w:sz w:val="18"/>
          <w:szCs w:val="18"/>
          <w:highlight w:val="none"/>
        </w:rPr>
        <w:t>注：1、法定代表人的签字必须是亲笔签名，不得使用印章、签名章或其他电子制版签名。</w:t>
      </w:r>
    </w:p>
    <w:p w14:paraId="15F401E5">
      <w:pPr>
        <w:spacing w:line="360" w:lineRule="auto"/>
        <w:ind w:firstLine="360" w:firstLineChars="200"/>
        <w:rPr>
          <w:color w:val="auto"/>
          <w:sz w:val="18"/>
          <w:szCs w:val="18"/>
          <w:highlight w:val="none"/>
        </w:rPr>
      </w:pPr>
      <w:r>
        <w:rPr>
          <w:color w:val="auto"/>
          <w:sz w:val="18"/>
          <w:szCs w:val="18"/>
          <w:highlight w:val="none"/>
        </w:rPr>
        <w:t>2、响应单位还需提供法定代表人的身份证复印件。</w:t>
      </w:r>
    </w:p>
    <w:p w14:paraId="4CF97C91">
      <w:pPr>
        <w:rPr>
          <w:color w:val="auto"/>
          <w:highlight w:val="none"/>
        </w:rPr>
      </w:pPr>
    </w:p>
    <w:p w14:paraId="1A2CA05E">
      <w:pPr>
        <w:rPr>
          <w:color w:val="auto"/>
          <w:highlight w:val="none"/>
        </w:rPr>
      </w:pPr>
    </w:p>
    <w:p w14:paraId="3D10F9E2">
      <w:pPr>
        <w:rPr>
          <w:color w:val="auto"/>
          <w:highlight w:val="none"/>
        </w:rPr>
      </w:pPr>
    </w:p>
    <w:p w14:paraId="4F4F34BC">
      <w:pPr>
        <w:pStyle w:val="53"/>
        <w:spacing w:before="120"/>
        <w:rPr>
          <w:rStyle w:val="46"/>
          <w:rFonts w:ascii="Times New Roman" w:hAnsi="Times New Roman" w:eastAsia="宋体" w:cs="Times New Roman"/>
          <w:b/>
          <w:bCs w:val="0"/>
          <w:color w:val="auto"/>
          <w:szCs w:val="24"/>
          <w:highlight w:val="none"/>
        </w:rPr>
      </w:pPr>
      <w:r>
        <w:rPr>
          <w:rStyle w:val="46"/>
          <w:rFonts w:ascii="Times New Roman" w:hAnsi="Times New Roman" w:eastAsia="宋体" w:cs="Times New Roman"/>
          <w:b/>
          <w:bCs w:val="0"/>
          <w:color w:val="auto"/>
          <w:szCs w:val="24"/>
          <w:highlight w:val="none"/>
        </w:rPr>
        <w:t>格式</w:t>
      </w:r>
      <w:r>
        <w:rPr>
          <w:rStyle w:val="46"/>
          <w:rFonts w:hint="eastAsia" w:ascii="Times New Roman" w:hAnsi="Times New Roman" w:eastAsia="宋体" w:cs="Times New Roman"/>
          <w:b/>
          <w:bCs w:val="0"/>
          <w:color w:val="auto"/>
          <w:szCs w:val="24"/>
          <w:highlight w:val="none"/>
        </w:rPr>
        <w:t>3</w:t>
      </w:r>
      <w:r>
        <w:rPr>
          <w:rStyle w:val="46"/>
          <w:rFonts w:ascii="Times New Roman" w:hAnsi="Times New Roman" w:eastAsia="宋体" w:cs="Times New Roman"/>
          <w:b/>
          <w:bCs w:val="0"/>
          <w:color w:val="auto"/>
          <w:szCs w:val="24"/>
          <w:highlight w:val="none"/>
        </w:rPr>
        <w:t xml:space="preserve">  授权委托书</w:t>
      </w:r>
      <w:bookmarkEnd w:id="1847"/>
      <w:bookmarkEnd w:id="1848"/>
      <w:bookmarkEnd w:id="1849"/>
      <w:bookmarkEnd w:id="1850"/>
      <w:bookmarkEnd w:id="1851"/>
      <w:bookmarkEnd w:id="1852"/>
      <w:bookmarkEnd w:id="1853"/>
      <w:bookmarkEnd w:id="1854"/>
      <w:bookmarkEnd w:id="1855"/>
    </w:p>
    <w:p w14:paraId="2CA6DDC6">
      <w:pPr>
        <w:adjustRightInd w:val="0"/>
        <w:spacing w:line="360" w:lineRule="auto"/>
        <w:rPr>
          <w:color w:val="auto"/>
          <w:sz w:val="24"/>
          <w:highlight w:val="none"/>
        </w:rPr>
      </w:pPr>
    </w:p>
    <w:p w14:paraId="1896C7BA">
      <w:pPr>
        <w:spacing w:line="360" w:lineRule="auto"/>
        <w:jc w:val="center"/>
        <w:rPr>
          <w:b/>
          <w:color w:val="auto"/>
          <w:sz w:val="28"/>
          <w:szCs w:val="28"/>
          <w:highlight w:val="none"/>
        </w:rPr>
      </w:pPr>
      <w:bookmarkStart w:id="1856" w:name="_Toc18209295"/>
      <w:r>
        <w:rPr>
          <w:b/>
          <w:color w:val="auto"/>
          <w:sz w:val="28"/>
          <w:szCs w:val="28"/>
          <w:highlight w:val="none"/>
        </w:rPr>
        <w:t>授权委托书</w:t>
      </w:r>
      <w:bookmarkEnd w:id="1856"/>
    </w:p>
    <w:p w14:paraId="6B78F964">
      <w:pPr>
        <w:spacing w:line="360" w:lineRule="auto"/>
        <w:ind w:firstLine="480"/>
        <w:rPr>
          <w:color w:val="auto"/>
          <w:sz w:val="24"/>
          <w:highlight w:val="none"/>
        </w:rPr>
      </w:pPr>
    </w:p>
    <w:p w14:paraId="1B0474D4">
      <w:pPr>
        <w:spacing w:line="360" w:lineRule="auto"/>
        <w:rPr>
          <w:color w:val="auto"/>
          <w:szCs w:val="21"/>
          <w:highlight w:val="none"/>
        </w:rPr>
      </w:pPr>
      <w:r>
        <w:rPr>
          <w:color w:val="auto"/>
          <w:szCs w:val="21"/>
          <w:highlight w:val="none"/>
        </w:rPr>
        <w:t>致：</w:t>
      </w:r>
      <w:r>
        <w:rPr>
          <w:rFonts w:hint="eastAsia"/>
          <w:color w:val="auto"/>
          <w:szCs w:val="21"/>
          <w:highlight w:val="none"/>
          <w:u w:val="single"/>
        </w:rPr>
        <w:t>中建路桥集团</w:t>
      </w:r>
      <w:r>
        <w:rPr>
          <w:rFonts w:hint="eastAsia"/>
          <w:color w:val="auto"/>
          <w:szCs w:val="21"/>
          <w:highlight w:val="none"/>
          <w:u w:val="single"/>
          <w:lang w:val="en-US" w:eastAsia="zh-CN"/>
        </w:rPr>
        <w:t>第二工程</w:t>
      </w:r>
      <w:r>
        <w:rPr>
          <w:rFonts w:hint="eastAsia"/>
          <w:color w:val="auto"/>
          <w:szCs w:val="21"/>
          <w:highlight w:val="none"/>
          <w:u w:val="single"/>
        </w:rPr>
        <w:t>有限公司</w:t>
      </w:r>
    </w:p>
    <w:p w14:paraId="1502BA77">
      <w:pPr>
        <w:spacing w:line="360" w:lineRule="auto"/>
        <w:ind w:firstLine="480"/>
        <w:rPr>
          <w:color w:val="auto"/>
          <w:szCs w:val="21"/>
          <w:highlight w:val="none"/>
        </w:rPr>
      </w:pPr>
    </w:p>
    <w:p w14:paraId="24B82BB8">
      <w:pPr>
        <w:spacing w:line="360" w:lineRule="auto"/>
        <w:ind w:firstLine="525"/>
        <w:jc w:val="left"/>
        <w:rPr>
          <w:color w:val="auto"/>
          <w:szCs w:val="21"/>
          <w:highlight w:val="none"/>
        </w:rPr>
      </w:pPr>
      <w:r>
        <w:rPr>
          <w:color w:val="auto"/>
          <w:szCs w:val="21"/>
          <w:highlight w:val="none"/>
        </w:rPr>
        <w:t xml:space="preserve">本授权书宣告：  </w:t>
      </w:r>
      <w:r>
        <w:rPr>
          <w:color w:val="auto"/>
          <w:szCs w:val="21"/>
          <w:highlight w:val="none"/>
          <w:u w:val="single"/>
        </w:rPr>
        <w:t>(响应单位全称)  (职务)  (姓名)</w:t>
      </w:r>
      <w:r>
        <w:rPr>
          <w:color w:val="auto"/>
          <w:szCs w:val="21"/>
          <w:highlight w:val="none"/>
        </w:rPr>
        <w:t xml:space="preserve">合法地代表本单位，授权 </w:t>
      </w:r>
      <w:r>
        <w:rPr>
          <w:color w:val="auto"/>
          <w:szCs w:val="21"/>
          <w:highlight w:val="none"/>
          <w:u w:val="single"/>
        </w:rPr>
        <w:t xml:space="preserve">(响应单位全称)   </w:t>
      </w:r>
      <w:r>
        <w:rPr>
          <w:color w:val="auto"/>
          <w:szCs w:val="21"/>
          <w:highlight w:val="none"/>
        </w:rPr>
        <w:t>的</w:t>
      </w:r>
      <w:r>
        <w:rPr>
          <w:color w:val="auto"/>
          <w:szCs w:val="21"/>
          <w:highlight w:val="none"/>
          <w:u w:val="single"/>
        </w:rPr>
        <w:t xml:space="preserve">  (职务) (姓名)</w:t>
      </w:r>
      <w:r>
        <w:rPr>
          <w:color w:val="auto"/>
          <w:szCs w:val="21"/>
          <w:highlight w:val="none"/>
        </w:rPr>
        <w:t>为我单位代理人，该代理人有权在</w:t>
      </w:r>
      <w:r>
        <w:rPr>
          <w:color w:val="auto"/>
          <w:szCs w:val="21"/>
          <w:highlight w:val="none"/>
          <w:u w:val="single"/>
        </w:rPr>
        <w:t xml:space="preserve">             </w:t>
      </w:r>
      <w:r>
        <w:rPr>
          <w:rFonts w:hint="eastAsia"/>
          <w:color w:val="auto"/>
          <w:szCs w:val="21"/>
          <w:highlight w:val="none"/>
          <w:u w:val="single"/>
        </w:rPr>
        <w:t>项目    分包工程</w:t>
      </w:r>
      <w:r>
        <w:rPr>
          <w:color w:val="auto"/>
          <w:szCs w:val="21"/>
          <w:highlight w:val="none"/>
        </w:rPr>
        <w:t>施工</w:t>
      </w:r>
      <w:r>
        <w:rPr>
          <w:rFonts w:hint="eastAsia"/>
          <w:color w:val="auto"/>
          <w:szCs w:val="21"/>
          <w:highlight w:val="none"/>
        </w:rPr>
        <w:t>采购</w:t>
      </w:r>
      <w:r>
        <w:rPr>
          <w:color w:val="auto"/>
          <w:szCs w:val="21"/>
          <w:highlight w:val="none"/>
        </w:rPr>
        <w:t>活动中，以我单位的名义签署</w:t>
      </w:r>
      <w:r>
        <w:rPr>
          <w:rFonts w:hint="eastAsia"/>
          <w:color w:val="auto"/>
          <w:szCs w:val="21"/>
          <w:highlight w:val="none"/>
        </w:rPr>
        <w:t>、澄清确认、递交、撤回、修改响应</w:t>
      </w:r>
      <w:r>
        <w:rPr>
          <w:color w:val="auto"/>
          <w:szCs w:val="21"/>
          <w:highlight w:val="none"/>
        </w:rPr>
        <w:t>函和响应文件、与采购人协商、谈判、签订合同协议书以及执行一切与此有关的事项</w:t>
      </w:r>
      <w:r>
        <w:rPr>
          <w:rFonts w:hint="eastAsia"/>
          <w:color w:val="auto"/>
          <w:szCs w:val="21"/>
          <w:highlight w:val="none"/>
        </w:rPr>
        <w:t>，其法律后果由我方承担</w:t>
      </w:r>
      <w:r>
        <w:rPr>
          <w:color w:val="auto"/>
          <w:szCs w:val="21"/>
          <w:highlight w:val="none"/>
        </w:rPr>
        <w:t>。</w:t>
      </w:r>
    </w:p>
    <w:p w14:paraId="4871E612">
      <w:pPr>
        <w:spacing w:line="360" w:lineRule="auto"/>
        <w:ind w:firstLine="420" w:firstLineChars="200"/>
        <w:jc w:val="left"/>
        <w:rPr>
          <w:color w:val="auto"/>
          <w:szCs w:val="21"/>
          <w:highlight w:val="none"/>
        </w:rPr>
      </w:pPr>
      <w:r>
        <w:rPr>
          <w:rFonts w:hint="eastAsia"/>
          <w:color w:val="auto"/>
          <w:szCs w:val="21"/>
          <w:highlight w:val="none"/>
        </w:rPr>
        <w:t>委托期限：自本委托书签署之日起至响应有效期期满。</w:t>
      </w:r>
    </w:p>
    <w:p w14:paraId="54940B2B">
      <w:pPr>
        <w:spacing w:line="360" w:lineRule="auto"/>
        <w:ind w:firstLine="420" w:firstLineChars="200"/>
        <w:jc w:val="left"/>
        <w:rPr>
          <w:color w:val="auto"/>
          <w:szCs w:val="21"/>
          <w:highlight w:val="none"/>
        </w:rPr>
      </w:pPr>
      <w:r>
        <w:rPr>
          <w:rFonts w:hint="eastAsia"/>
          <w:color w:val="auto"/>
          <w:szCs w:val="21"/>
          <w:highlight w:val="none"/>
        </w:rPr>
        <w:t>代理人无转委托权。</w:t>
      </w:r>
    </w:p>
    <w:p w14:paraId="4E7D472A">
      <w:pPr>
        <w:spacing w:line="360" w:lineRule="auto"/>
        <w:jc w:val="left"/>
        <w:rPr>
          <w:color w:val="auto"/>
          <w:szCs w:val="21"/>
          <w:highlight w:val="none"/>
        </w:rPr>
      </w:pPr>
    </w:p>
    <w:p w14:paraId="371FE83B">
      <w:pPr>
        <w:spacing w:line="360" w:lineRule="auto"/>
        <w:jc w:val="left"/>
        <w:rPr>
          <w:color w:val="auto"/>
          <w:szCs w:val="21"/>
          <w:highlight w:val="none"/>
        </w:rPr>
      </w:pPr>
    </w:p>
    <w:p w14:paraId="5E1CEE55">
      <w:pPr>
        <w:spacing w:line="360" w:lineRule="auto"/>
        <w:ind w:firstLine="3150" w:firstLineChars="1500"/>
        <w:jc w:val="left"/>
        <w:rPr>
          <w:color w:val="auto"/>
          <w:szCs w:val="21"/>
          <w:highlight w:val="none"/>
        </w:rPr>
      </w:pPr>
      <w:r>
        <w:rPr>
          <w:color w:val="auto"/>
          <w:szCs w:val="21"/>
          <w:highlight w:val="none"/>
        </w:rPr>
        <w:t>响应单位：</w:t>
      </w:r>
      <w:r>
        <w:rPr>
          <w:color w:val="auto"/>
          <w:szCs w:val="21"/>
          <w:highlight w:val="none"/>
          <w:u w:val="single"/>
        </w:rPr>
        <w:t xml:space="preserve">                     (盖章)</w:t>
      </w:r>
    </w:p>
    <w:p w14:paraId="16F016FC">
      <w:pPr>
        <w:spacing w:line="360" w:lineRule="auto"/>
        <w:ind w:firstLine="3150" w:firstLineChars="1500"/>
        <w:jc w:val="left"/>
        <w:rPr>
          <w:color w:val="auto"/>
          <w:szCs w:val="21"/>
          <w:highlight w:val="none"/>
        </w:rPr>
      </w:pPr>
    </w:p>
    <w:p w14:paraId="13AE8ECD">
      <w:pPr>
        <w:spacing w:line="360" w:lineRule="auto"/>
        <w:ind w:firstLine="3150" w:firstLineChars="1500"/>
        <w:jc w:val="left"/>
        <w:rPr>
          <w:color w:val="auto"/>
          <w:szCs w:val="21"/>
          <w:highlight w:val="none"/>
        </w:rPr>
      </w:pPr>
      <w:r>
        <w:rPr>
          <w:color w:val="auto"/>
          <w:szCs w:val="21"/>
          <w:highlight w:val="none"/>
        </w:rPr>
        <w:t>授权人：</w:t>
      </w:r>
      <w:r>
        <w:rPr>
          <w:color w:val="auto"/>
          <w:szCs w:val="21"/>
          <w:highlight w:val="none"/>
          <w:u w:val="single"/>
        </w:rPr>
        <w:t xml:space="preserve">                     (签字)</w:t>
      </w:r>
    </w:p>
    <w:p w14:paraId="2AA90C5D">
      <w:pPr>
        <w:spacing w:line="360" w:lineRule="auto"/>
        <w:ind w:firstLine="3150" w:firstLineChars="1500"/>
        <w:jc w:val="left"/>
        <w:rPr>
          <w:color w:val="auto"/>
          <w:szCs w:val="21"/>
          <w:highlight w:val="none"/>
        </w:rPr>
      </w:pPr>
    </w:p>
    <w:p w14:paraId="324C26F9">
      <w:pPr>
        <w:spacing w:line="360" w:lineRule="auto"/>
        <w:ind w:firstLine="3150" w:firstLineChars="1500"/>
        <w:jc w:val="left"/>
        <w:rPr>
          <w:color w:val="auto"/>
          <w:szCs w:val="21"/>
          <w:highlight w:val="none"/>
          <w:u w:val="single"/>
        </w:rPr>
      </w:pPr>
      <w:r>
        <w:rPr>
          <w:color w:val="auto"/>
          <w:szCs w:val="21"/>
          <w:highlight w:val="none"/>
        </w:rPr>
        <w:t>授权代理人：</w:t>
      </w:r>
      <w:r>
        <w:rPr>
          <w:color w:val="auto"/>
          <w:szCs w:val="21"/>
          <w:highlight w:val="none"/>
          <w:u w:val="single"/>
        </w:rPr>
        <w:t xml:space="preserve">                 (签字)</w:t>
      </w:r>
    </w:p>
    <w:p w14:paraId="2E7FFA78">
      <w:pPr>
        <w:spacing w:line="360" w:lineRule="auto"/>
        <w:ind w:firstLine="3150" w:firstLineChars="1500"/>
        <w:jc w:val="left"/>
        <w:rPr>
          <w:color w:val="auto"/>
          <w:szCs w:val="21"/>
          <w:highlight w:val="none"/>
        </w:rPr>
      </w:pPr>
    </w:p>
    <w:p w14:paraId="7EB8A987">
      <w:pPr>
        <w:spacing w:line="360" w:lineRule="auto"/>
        <w:ind w:firstLine="3150" w:firstLineChars="1500"/>
        <w:jc w:val="left"/>
        <w:rPr>
          <w:color w:val="auto"/>
          <w:szCs w:val="21"/>
          <w:highlight w:val="none"/>
          <w:u w:val="single"/>
        </w:rPr>
      </w:pPr>
      <w:r>
        <w:rPr>
          <w:rFonts w:hint="eastAsia"/>
          <w:color w:val="auto"/>
          <w:szCs w:val="21"/>
          <w:highlight w:val="none"/>
        </w:rPr>
        <w:t>授权委托人身份证号：</w:t>
      </w:r>
      <w:r>
        <w:rPr>
          <w:rFonts w:hint="eastAsia"/>
          <w:color w:val="auto"/>
          <w:szCs w:val="21"/>
          <w:highlight w:val="none"/>
          <w:u w:val="single"/>
        </w:rPr>
        <w:t xml:space="preserve">                        </w:t>
      </w:r>
    </w:p>
    <w:p w14:paraId="0D4C9B61">
      <w:pPr>
        <w:spacing w:line="360" w:lineRule="auto"/>
        <w:ind w:firstLine="3150" w:firstLineChars="1500"/>
        <w:jc w:val="left"/>
        <w:rPr>
          <w:color w:val="auto"/>
          <w:szCs w:val="21"/>
          <w:highlight w:val="none"/>
        </w:rPr>
      </w:pPr>
    </w:p>
    <w:p w14:paraId="4EF18B1D">
      <w:pPr>
        <w:spacing w:line="360" w:lineRule="auto"/>
        <w:ind w:firstLine="3150" w:firstLineChars="1500"/>
        <w:jc w:val="left"/>
        <w:rPr>
          <w:color w:val="auto"/>
          <w:szCs w:val="21"/>
          <w:highlight w:val="none"/>
        </w:rPr>
      </w:pPr>
      <w:r>
        <w:rPr>
          <w:color w:val="auto"/>
          <w:szCs w:val="21"/>
          <w:highlight w:val="none"/>
        </w:rPr>
        <w:t>日　期：</w:t>
      </w:r>
      <w:r>
        <w:rPr>
          <w:color w:val="auto"/>
          <w:szCs w:val="21"/>
          <w:highlight w:val="none"/>
          <w:u w:val="single"/>
        </w:rPr>
        <w:t xml:space="preserve">         </w:t>
      </w:r>
      <w:r>
        <w:rPr>
          <w:color w:val="auto"/>
          <w:szCs w:val="21"/>
          <w:highlight w:val="none"/>
        </w:rPr>
        <w:t xml:space="preserve">年 </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2372BE30">
      <w:pPr>
        <w:spacing w:line="360" w:lineRule="auto"/>
        <w:jc w:val="left"/>
        <w:rPr>
          <w:color w:val="auto"/>
          <w:szCs w:val="21"/>
          <w:highlight w:val="none"/>
        </w:rPr>
      </w:pPr>
    </w:p>
    <w:p w14:paraId="03F70B70">
      <w:pPr>
        <w:spacing w:line="360" w:lineRule="auto"/>
        <w:jc w:val="left"/>
        <w:rPr>
          <w:color w:val="auto"/>
          <w:szCs w:val="21"/>
          <w:highlight w:val="none"/>
        </w:rPr>
      </w:pPr>
    </w:p>
    <w:p w14:paraId="377E6C8E">
      <w:pPr>
        <w:spacing w:line="360" w:lineRule="auto"/>
        <w:jc w:val="left"/>
        <w:rPr>
          <w:color w:val="auto"/>
          <w:szCs w:val="21"/>
          <w:highlight w:val="none"/>
        </w:rPr>
      </w:pPr>
    </w:p>
    <w:p w14:paraId="08174527">
      <w:pPr>
        <w:spacing w:line="360" w:lineRule="auto"/>
        <w:jc w:val="left"/>
        <w:rPr>
          <w:color w:val="auto"/>
          <w:szCs w:val="21"/>
          <w:highlight w:val="none"/>
        </w:rPr>
      </w:pPr>
    </w:p>
    <w:p w14:paraId="7FC49A2B">
      <w:pPr>
        <w:spacing w:line="360" w:lineRule="auto"/>
        <w:jc w:val="left"/>
        <w:rPr>
          <w:color w:val="auto"/>
          <w:szCs w:val="21"/>
          <w:highlight w:val="none"/>
        </w:rPr>
      </w:pPr>
    </w:p>
    <w:p w14:paraId="345B5BE2">
      <w:pPr>
        <w:spacing w:line="360" w:lineRule="auto"/>
        <w:jc w:val="left"/>
        <w:rPr>
          <w:color w:val="auto"/>
          <w:szCs w:val="21"/>
          <w:highlight w:val="none"/>
        </w:rPr>
      </w:pPr>
    </w:p>
    <w:p w14:paraId="2FE0B51C">
      <w:pPr>
        <w:spacing w:line="360" w:lineRule="auto"/>
        <w:jc w:val="left"/>
        <w:rPr>
          <w:color w:val="auto"/>
          <w:szCs w:val="21"/>
          <w:highlight w:val="none"/>
        </w:rPr>
      </w:pPr>
      <w:r>
        <w:rPr>
          <w:rFonts w:hint="eastAsia"/>
          <w:color w:val="auto"/>
          <w:szCs w:val="21"/>
          <w:highlight w:val="none"/>
        </w:rPr>
        <w:t>注：后附法定代表人身份证复印件及委托代理人身份证复印件（须在同一页）。</w:t>
      </w:r>
    </w:p>
    <w:p w14:paraId="5A90BC00">
      <w:pPr>
        <w:spacing w:line="360" w:lineRule="auto"/>
        <w:jc w:val="left"/>
        <w:rPr>
          <w:color w:val="auto"/>
          <w:szCs w:val="21"/>
          <w:highlight w:val="none"/>
        </w:rPr>
      </w:pPr>
    </w:p>
    <w:p w14:paraId="6CD2555F">
      <w:pPr>
        <w:spacing w:line="360" w:lineRule="auto"/>
        <w:jc w:val="left"/>
        <w:rPr>
          <w:color w:val="auto"/>
          <w:szCs w:val="21"/>
          <w:highlight w:val="none"/>
        </w:rPr>
        <w:sectPr>
          <w:pgSz w:w="11907" w:h="16840"/>
          <w:pgMar w:top="1417" w:right="1701" w:bottom="1417" w:left="1701" w:header="850" w:footer="1134" w:gutter="0"/>
          <w:pgNumType w:fmt="decimal"/>
          <w:cols w:space="0" w:num="1"/>
          <w:rtlGutter w:val="0"/>
          <w:docGrid w:linePitch="312" w:charSpace="0"/>
        </w:sectPr>
      </w:pPr>
    </w:p>
    <w:p w14:paraId="14ADD60D">
      <w:pPr>
        <w:pStyle w:val="53"/>
        <w:spacing w:before="120"/>
        <w:rPr>
          <w:rStyle w:val="46"/>
          <w:rFonts w:ascii="Times New Roman" w:hAnsi="Times New Roman" w:eastAsia="宋体" w:cs="Times New Roman"/>
          <w:b/>
          <w:bCs w:val="0"/>
          <w:color w:val="auto"/>
          <w:szCs w:val="24"/>
          <w:highlight w:val="none"/>
        </w:rPr>
      </w:pPr>
      <w:r>
        <w:rPr>
          <w:rStyle w:val="46"/>
          <w:rFonts w:ascii="Times New Roman" w:hAnsi="Times New Roman" w:eastAsia="宋体" w:cs="Times New Roman"/>
          <w:b/>
          <w:bCs w:val="0"/>
          <w:color w:val="auto"/>
          <w:szCs w:val="24"/>
          <w:highlight w:val="none"/>
        </w:rPr>
        <w:t>格式</w:t>
      </w:r>
      <w:r>
        <w:rPr>
          <w:rStyle w:val="46"/>
          <w:rFonts w:hint="eastAsia" w:ascii="Times New Roman" w:hAnsi="Times New Roman" w:eastAsia="宋体" w:cs="Times New Roman"/>
          <w:b/>
          <w:bCs w:val="0"/>
          <w:color w:val="auto"/>
          <w:szCs w:val="24"/>
          <w:highlight w:val="none"/>
        </w:rPr>
        <w:t>4</w:t>
      </w:r>
      <w:r>
        <w:rPr>
          <w:rStyle w:val="46"/>
          <w:rFonts w:ascii="Times New Roman" w:hAnsi="Times New Roman" w:eastAsia="宋体" w:cs="Times New Roman"/>
          <w:b/>
          <w:bCs w:val="0"/>
          <w:color w:val="auto"/>
          <w:szCs w:val="24"/>
          <w:highlight w:val="none"/>
        </w:rPr>
        <w:t xml:space="preserve">  </w:t>
      </w:r>
      <w:r>
        <w:rPr>
          <w:rStyle w:val="46"/>
          <w:rFonts w:hint="eastAsia" w:ascii="Times New Roman" w:hAnsi="Times New Roman" w:eastAsia="宋体" w:cs="Times New Roman"/>
          <w:b/>
          <w:bCs w:val="0"/>
          <w:color w:val="auto"/>
          <w:szCs w:val="24"/>
          <w:highlight w:val="none"/>
        </w:rPr>
        <w:t>响应担保</w:t>
      </w:r>
    </w:p>
    <w:p w14:paraId="6BF976C7">
      <w:pPr>
        <w:spacing w:line="360" w:lineRule="auto"/>
        <w:jc w:val="left"/>
        <w:rPr>
          <w:color w:val="auto"/>
          <w:szCs w:val="21"/>
          <w:highlight w:val="none"/>
        </w:rPr>
      </w:pPr>
      <w:r>
        <w:rPr>
          <w:rFonts w:hint="eastAsia"/>
          <w:color w:val="auto"/>
          <w:szCs w:val="21"/>
          <w:highlight w:val="none"/>
        </w:rPr>
        <w:t>若采用现金或支票，响应单位应在此提供汇款凭证的复印件。</w:t>
      </w:r>
    </w:p>
    <w:p w14:paraId="5C4EAA20">
      <w:pPr>
        <w:spacing w:line="360" w:lineRule="auto"/>
        <w:jc w:val="left"/>
        <w:rPr>
          <w:color w:val="auto"/>
          <w:szCs w:val="21"/>
          <w:highlight w:val="none"/>
        </w:rPr>
      </w:pPr>
      <w:r>
        <w:rPr>
          <w:rFonts w:hint="eastAsia"/>
          <w:color w:val="auto"/>
          <w:szCs w:val="21"/>
          <w:highlight w:val="none"/>
        </w:rPr>
        <w:t>如采用银行保函，银行保函复印件装订在响应文件中。</w:t>
      </w:r>
    </w:p>
    <w:p w14:paraId="50E174F3">
      <w:pPr>
        <w:spacing w:line="360" w:lineRule="auto"/>
        <w:jc w:val="left"/>
        <w:rPr>
          <w:color w:val="auto"/>
          <w:szCs w:val="21"/>
          <w:highlight w:val="none"/>
        </w:rPr>
      </w:pPr>
    </w:p>
    <w:p w14:paraId="74507A9F">
      <w:pPr>
        <w:spacing w:line="360" w:lineRule="auto"/>
        <w:jc w:val="left"/>
        <w:rPr>
          <w:color w:val="auto"/>
          <w:szCs w:val="21"/>
          <w:highlight w:val="none"/>
        </w:rPr>
      </w:pPr>
    </w:p>
    <w:p w14:paraId="4E7D18A0">
      <w:pPr>
        <w:spacing w:line="360" w:lineRule="auto"/>
        <w:jc w:val="left"/>
        <w:rPr>
          <w:color w:val="auto"/>
          <w:szCs w:val="21"/>
          <w:highlight w:val="none"/>
        </w:rPr>
      </w:pPr>
    </w:p>
    <w:p w14:paraId="5183A239">
      <w:pPr>
        <w:pStyle w:val="53"/>
        <w:spacing w:before="120"/>
        <w:rPr>
          <w:rStyle w:val="46"/>
          <w:rFonts w:ascii="Times New Roman" w:hAnsi="Times New Roman" w:eastAsia="宋体" w:cs="Times New Roman"/>
          <w:b/>
          <w:bCs/>
          <w:color w:val="auto"/>
          <w:szCs w:val="24"/>
          <w:highlight w:val="none"/>
        </w:rPr>
        <w:sectPr>
          <w:pgSz w:w="11907" w:h="16840"/>
          <w:pgMar w:top="1417" w:right="1701" w:bottom="1417" w:left="1701" w:header="850" w:footer="1134" w:gutter="0"/>
          <w:pgNumType w:fmt="decimal"/>
          <w:cols w:space="0" w:num="1"/>
          <w:rtlGutter w:val="0"/>
          <w:docGrid w:linePitch="312" w:charSpace="0"/>
        </w:sectPr>
      </w:pPr>
    </w:p>
    <w:p w14:paraId="5474F624">
      <w:pPr>
        <w:pStyle w:val="53"/>
        <w:spacing w:before="120"/>
        <w:rPr>
          <w:rStyle w:val="46"/>
          <w:rFonts w:ascii="Times New Roman" w:hAnsi="Times New Roman" w:eastAsia="宋体" w:cs="Times New Roman"/>
          <w:b/>
          <w:bCs w:val="0"/>
          <w:color w:val="auto"/>
          <w:szCs w:val="24"/>
          <w:highlight w:val="none"/>
        </w:rPr>
      </w:pPr>
      <w:r>
        <w:rPr>
          <w:rStyle w:val="46"/>
          <w:rFonts w:ascii="Times New Roman" w:hAnsi="Times New Roman" w:eastAsia="宋体" w:cs="Times New Roman"/>
          <w:b/>
          <w:bCs w:val="0"/>
          <w:color w:val="auto"/>
          <w:szCs w:val="24"/>
          <w:highlight w:val="none"/>
        </w:rPr>
        <w:t>格式</w:t>
      </w:r>
      <w:r>
        <w:rPr>
          <w:rStyle w:val="46"/>
          <w:rFonts w:hint="eastAsia" w:ascii="Times New Roman" w:hAnsi="Times New Roman" w:eastAsia="宋体" w:cs="Times New Roman"/>
          <w:b/>
          <w:bCs w:val="0"/>
          <w:color w:val="auto"/>
          <w:szCs w:val="24"/>
          <w:highlight w:val="none"/>
        </w:rPr>
        <w:t>5</w:t>
      </w:r>
      <w:r>
        <w:rPr>
          <w:rStyle w:val="46"/>
          <w:rFonts w:ascii="Times New Roman" w:hAnsi="Times New Roman" w:eastAsia="宋体" w:cs="Times New Roman"/>
          <w:b/>
          <w:bCs w:val="0"/>
          <w:color w:val="auto"/>
          <w:szCs w:val="24"/>
          <w:highlight w:val="none"/>
        </w:rPr>
        <w:t xml:space="preserve">  </w:t>
      </w:r>
      <w:r>
        <w:rPr>
          <w:rStyle w:val="46"/>
          <w:rFonts w:hint="eastAsia" w:ascii="Times New Roman" w:hAnsi="Times New Roman" w:eastAsia="宋体" w:cs="Times New Roman"/>
          <w:b/>
          <w:bCs w:val="0"/>
          <w:color w:val="auto"/>
          <w:szCs w:val="24"/>
          <w:highlight w:val="none"/>
        </w:rPr>
        <w:t>总报价</w:t>
      </w:r>
    </w:p>
    <w:p w14:paraId="26139739">
      <w:pPr>
        <w:spacing w:line="360" w:lineRule="auto"/>
        <w:jc w:val="center"/>
        <w:rPr>
          <w:b/>
          <w:color w:val="auto"/>
          <w:spacing w:val="80"/>
          <w:sz w:val="36"/>
          <w:szCs w:val="32"/>
          <w:highlight w:val="none"/>
        </w:rPr>
      </w:pPr>
      <w:r>
        <w:rPr>
          <w:b/>
          <w:color w:val="auto"/>
          <w:spacing w:val="80"/>
          <w:sz w:val="36"/>
          <w:szCs w:val="32"/>
          <w:highlight w:val="none"/>
        </w:rPr>
        <w:t>总报价</w:t>
      </w:r>
    </w:p>
    <w:tbl>
      <w:tblPr>
        <w:tblStyle w:val="31"/>
        <w:tblW w:w="7953" w:type="dxa"/>
        <w:jc w:val="center"/>
        <w:tblLayout w:type="autofit"/>
        <w:tblCellMar>
          <w:top w:w="0" w:type="dxa"/>
          <w:left w:w="108" w:type="dxa"/>
          <w:bottom w:w="0" w:type="dxa"/>
          <w:right w:w="108" w:type="dxa"/>
        </w:tblCellMar>
      </w:tblPr>
      <w:tblGrid>
        <w:gridCol w:w="1663"/>
        <w:gridCol w:w="481"/>
        <w:gridCol w:w="799"/>
        <w:gridCol w:w="2862"/>
        <w:gridCol w:w="2148"/>
      </w:tblGrid>
      <w:tr w14:paraId="3D9A0783">
        <w:tblPrEx>
          <w:tblCellMar>
            <w:top w:w="0" w:type="dxa"/>
            <w:left w:w="108" w:type="dxa"/>
            <w:bottom w:w="0" w:type="dxa"/>
            <w:right w:w="108" w:type="dxa"/>
          </w:tblCellMar>
        </w:tblPrEx>
        <w:trPr>
          <w:trHeight w:val="924" w:hRule="atLeast"/>
          <w:jc w:val="center"/>
        </w:trPr>
        <w:tc>
          <w:tcPr>
            <w:tcW w:w="1663" w:type="dxa"/>
            <w:vAlign w:val="bottom"/>
          </w:tcPr>
          <w:p w14:paraId="589D3EDF">
            <w:pPr>
              <w:spacing w:line="360" w:lineRule="auto"/>
              <w:jc w:val="distribute"/>
              <w:rPr>
                <w:rFonts w:hint="eastAsia" w:ascii="宋体" w:hAnsi="宋体"/>
                <w:color w:val="auto"/>
                <w:sz w:val="24"/>
                <w:highlight w:val="none"/>
              </w:rPr>
            </w:pPr>
            <w:r>
              <w:rPr>
                <w:rFonts w:hint="eastAsia" w:ascii="宋体" w:hAnsi="宋体"/>
                <w:color w:val="auto"/>
                <w:sz w:val="24"/>
                <w:highlight w:val="none"/>
              </w:rPr>
              <w:t>采购人</w:t>
            </w:r>
          </w:p>
        </w:tc>
        <w:tc>
          <w:tcPr>
            <w:tcW w:w="481" w:type="dxa"/>
            <w:vAlign w:val="bottom"/>
          </w:tcPr>
          <w:p w14:paraId="2381D0B2">
            <w:pPr>
              <w:spacing w:line="360" w:lineRule="auto"/>
              <w:jc w:val="center"/>
              <w:rPr>
                <w:rFonts w:hint="eastAsia" w:ascii="宋体" w:hAnsi="宋体"/>
                <w:color w:val="auto"/>
                <w:sz w:val="24"/>
                <w:highlight w:val="none"/>
              </w:rPr>
            </w:pPr>
            <w:r>
              <w:rPr>
                <w:rFonts w:ascii="宋体" w:hAnsi="宋体"/>
                <w:color w:val="auto"/>
                <w:sz w:val="24"/>
                <w:highlight w:val="none"/>
              </w:rPr>
              <w:t>：</w:t>
            </w:r>
          </w:p>
        </w:tc>
        <w:tc>
          <w:tcPr>
            <w:tcW w:w="5809" w:type="dxa"/>
            <w:gridSpan w:val="3"/>
            <w:tcBorders>
              <w:bottom w:val="single" w:color="auto" w:sz="4" w:space="0"/>
            </w:tcBorders>
            <w:vAlign w:val="bottom"/>
          </w:tcPr>
          <w:p w14:paraId="463014C8">
            <w:pPr>
              <w:spacing w:line="360" w:lineRule="auto"/>
              <w:jc w:val="left"/>
              <w:rPr>
                <w:rFonts w:hint="eastAsia" w:ascii="宋体" w:hAnsi="宋体"/>
                <w:color w:val="auto"/>
                <w:sz w:val="24"/>
                <w:highlight w:val="none"/>
              </w:rPr>
            </w:pPr>
          </w:p>
        </w:tc>
      </w:tr>
      <w:tr w14:paraId="33E58395">
        <w:tblPrEx>
          <w:tblCellMar>
            <w:top w:w="0" w:type="dxa"/>
            <w:left w:w="108" w:type="dxa"/>
            <w:bottom w:w="0" w:type="dxa"/>
            <w:right w:w="108" w:type="dxa"/>
          </w:tblCellMar>
        </w:tblPrEx>
        <w:trPr>
          <w:trHeight w:val="924" w:hRule="atLeast"/>
          <w:jc w:val="center"/>
        </w:trPr>
        <w:tc>
          <w:tcPr>
            <w:tcW w:w="1663" w:type="dxa"/>
            <w:vAlign w:val="bottom"/>
          </w:tcPr>
          <w:p w14:paraId="591EF1AC">
            <w:pPr>
              <w:spacing w:line="360" w:lineRule="auto"/>
              <w:jc w:val="distribute"/>
              <w:rPr>
                <w:rFonts w:hint="eastAsia" w:ascii="宋体" w:hAnsi="宋体"/>
                <w:color w:val="auto"/>
                <w:sz w:val="24"/>
                <w:highlight w:val="none"/>
              </w:rPr>
            </w:pPr>
            <w:r>
              <w:rPr>
                <w:rFonts w:ascii="宋体" w:hAnsi="宋体"/>
                <w:color w:val="auto"/>
                <w:sz w:val="24"/>
                <w:highlight w:val="none"/>
              </w:rPr>
              <w:t>工程名称</w:t>
            </w:r>
          </w:p>
        </w:tc>
        <w:tc>
          <w:tcPr>
            <w:tcW w:w="481" w:type="dxa"/>
            <w:vAlign w:val="bottom"/>
          </w:tcPr>
          <w:p w14:paraId="132A3F76">
            <w:pPr>
              <w:spacing w:line="360" w:lineRule="auto"/>
              <w:jc w:val="center"/>
              <w:rPr>
                <w:rFonts w:hint="eastAsia" w:ascii="宋体" w:hAnsi="宋体"/>
                <w:color w:val="auto"/>
                <w:sz w:val="24"/>
                <w:highlight w:val="none"/>
              </w:rPr>
            </w:pPr>
            <w:r>
              <w:rPr>
                <w:rFonts w:ascii="宋体" w:hAnsi="宋体"/>
                <w:color w:val="auto"/>
                <w:sz w:val="24"/>
                <w:highlight w:val="none"/>
              </w:rPr>
              <w:t>：</w:t>
            </w:r>
          </w:p>
        </w:tc>
        <w:tc>
          <w:tcPr>
            <w:tcW w:w="5809" w:type="dxa"/>
            <w:gridSpan w:val="3"/>
            <w:tcBorders>
              <w:top w:val="single" w:color="auto" w:sz="4" w:space="0"/>
              <w:bottom w:val="single" w:color="auto" w:sz="4" w:space="0"/>
            </w:tcBorders>
            <w:vAlign w:val="bottom"/>
          </w:tcPr>
          <w:p w14:paraId="56D13B87">
            <w:pPr>
              <w:spacing w:line="360" w:lineRule="auto"/>
              <w:jc w:val="left"/>
              <w:rPr>
                <w:rFonts w:hint="eastAsia" w:ascii="宋体" w:hAnsi="宋体"/>
                <w:color w:val="auto"/>
                <w:sz w:val="24"/>
                <w:highlight w:val="none"/>
              </w:rPr>
            </w:pPr>
          </w:p>
        </w:tc>
      </w:tr>
      <w:tr w14:paraId="687B88B2">
        <w:tblPrEx>
          <w:tblCellMar>
            <w:top w:w="0" w:type="dxa"/>
            <w:left w:w="108" w:type="dxa"/>
            <w:bottom w:w="0" w:type="dxa"/>
            <w:right w:w="108" w:type="dxa"/>
          </w:tblCellMar>
        </w:tblPrEx>
        <w:trPr>
          <w:trHeight w:val="924" w:hRule="atLeast"/>
          <w:jc w:val="center"/>
        </w:trPr>
        <w:tc>
          <w:tcPr>
            <w:tcW w:w="1663" w:type="dxa"/>
            <w:vAlign w:val="bottom"/>
          </w:tcPr>
          <w:p w14:paraId="06F5C74B">
            <w:pPr>
              <w:spacing w:line="360" w:lineRule="auto"/>
              <w:jc w:val="distribute"/>
              <w:rPr>
                <w:rFonts w:hint="eastAsia" w:ascii="宋体" w:hAnsi="宋体"/>
                <w:color w:val="auto"/>
                <w:sz w:val="24"/>
                <w:highlight w:val="none"/>
              </w:rPr>
            </w:pPr>
          </w:p>
          <w:p w14:paraId="1DEB4BC2">
            <w:pPr>
              <w:spacing w:line="360" w:lineRule="auto"/>
              <w:jc w:val="distribute"/>
              <w:rPr>
                <w:rFonts w:hint="eastAsia" w:ascii="宋体" w:hAnsi="宋体"/>
                <w:b/>
                <w:color w:val="auto"/>
                <w:sz w:val="24"/>
                <w:highlight w:val="none"/>
              </w:rPr>
            </w:pPr>
            <w:r>
              <w:rPr>
                <w:rFonts w:hint="eastAsia" w:ascii="宋体" w:hAnsi="宋体"/>
                <w:b/>
                <w:color w:val="auto"/>
                <w:sz w:val="24"/>
                <w:highlight w:val="none"/>
              </w:rPr>
              <w:t>不含增值税</w:t>
            </w:r>
          </w:p>
          <w:p w14:paraId="66C61E33">
            <w:pPr>
              <w:spacing w:line="360" w:lineRule="auto"/>
              <w:jc w:val="distribute"/>
              <w:rPr>
                <w:rFonts w:hint="eastAsia" w:ascii="宋体" w:hAnsi="宋体"/>
                <w:color w:val="auto"/>
                <w:sz w:val="24"/>
                <w:highlight w:val="none"/>
              </w:rPr>
            </w:pPr>
            <w:r>
              <w:rPr>
                <w:rFonts w:hint="eastAsia" w:ascii="宋体" w:hAnsi="宋体"/>
                <w:b/>
                <w:color w:val="auto"/>
                <w:sz w:val="24"/>
                <w:highlight w:val="none"/>
              </w:rPr>
              <w:t>总报价</w:t>
            </w:r>
          </w:p>
        </w:tc>
        <w:tc>
          <w:tcPr>
            <w:tcW w:w="1280" w:type="dxa"/>
            <w:gridSpan w:val="2"/>
            <w:vAlign w:val="bottom"/>
          </w:tcPr>
          <w:p w14:paraId="59818ABA">
            <w:pPr>
              <w:spacing w:line="360" w:lineRule="auto"/>
              <w:jc w:val="center"/>
              <w:rPr>
                <w:rFonts w:hint="eastAsia" w:ascii="宋体" w:hAnsi="宋体"/>
                <w:color w:val="auto"/>
                <w:sz w:val="24"/>
                <w:highlight w:val="none"/>
              </w:rPr>
            </w:pPr>
            <w:r>
              <w:rPr>
                <w:rFonts w:ascii="宋体" w:hAnsi="宋体"/>
                <w:color w:val="auto"/>
                <w:sz w:val="24"/>
                <w:highlight w:val="none"/>
              </w:rPr>
              <w:t>(小写)：</w:t>
            </w:r>
          </w:p>
        </w:tc>
        <w:tc>
          <w:tcPr>
            <w:tcW w:w="5010" w:type="dxa"/>
            <w:gridSpan w:val="2"/>
            <w:tcBorders>
              <w:bottom w:val="single" w:color="auto" w:sz="4" w:space="0"/>
            </w:tcBorders>
            <w:vAlign w:val="bottom"/>
          </w:tcPr>
          <w:p w14:paraId="59B3F99B">
            <w:pPr>
              <w:spacing w:line="360" w:lineRule="auto"/>
              <w:jc w:val="left"/>
              <w:rPr>
                <w:rFonts w:hint="eastAsia" w:ascii="宋体" w:hAnsi="宋体"/>
                <w:color w:val="auto"/>
                <w:sz w:val="24"/>
                <w:highlight w:val="none"/>
              </w:rPr>
            </w:pPr>
          </w:p>
        </w:tc>
      </w:tr>
      <w:tr w14:paraId="41588482">
        <w:tblPrEx>
          <w:tblCellMar>
            <w:top w:w="0" w:type="dxa"/>
            <w:left w:w="108" w:type="dxa"/>
            <w:bottom w:w="0" w:type="dxa"/>
            <w:right w:w="108" w:type="dxa"/>
          </w:tblCellMar>
        </w:tblPrEx>
        <w:trPr>
          <w:trHeight w:val="924" w:hRule="atLeast"/>
          <w:jc w:val="center"/>
        </w:trPr>
        <w:tc>
          <w:tcPr>
            <w:tcW w:w="1663" w:type="dxa"/>
            <w:vAlign w:val="bottom"/>
          </w:tcPr>
          <w:p w14:paraId="66380940">
            <w:pPr>
              <w:spacing w:line="360" w:lineRule="auto"/>
              <w:jc w:val="distribute"/>
              <w:rPr>
                <w:rFonts w:hint="eastAsia" w:ascii="宋体" w:hAnsi="宋体"/>
                <w:color w:val="auto"/>
                <w:sz w:val="24"/>
                <w:highlight w:val="none"/>
              </w:rPr>
            </w:pPr>
          </w:p>
        </w:tc>
        <w:tc>
          <w:tcPr>
            <w:tcW w:w="1280" w:type="dxa"/>
            <w:gridSpan w:val="2"/>
            <w:vAlign w:val="bottom"/>
          </w:tcPr>
          <w:p w14:paraId="0EC7CE5E">
            <w:pPr>
              <w:spacing w:line="360" w:lineRule="auto"/>
              <w:jc w:val="center"/>
              <w:rPr>
                <w:rFonts w:hint="eastAsia" w:ascii="宋体" w:hAnsi="宋体"/>
                <w:color w:val="auto"/>
                <w:sz w:val="24"/>
                <w:highlight w:val="none"/>
              </w:rPr>
            </w:pPr>
            <w:r>
              <w:rPr>
                <w:rFonts w:ascii="宋体" w:hAnsi="宋体"/>
                <w:color w:val="auto"/>
                <w:sz w:val="24"/>
                <w:highlight w:val="none"/>
              </w:rPr>
              <w:t>(大写)：</w:t>
            </w:r>
          </w:p>
        </w:tc>
        <w:tc>
          <w:tcPr>
            <w:tcW w:w="5010" w:type="dxa"/>
            <w:gridSpan w:val="2"/>
            <w:tcBorders>
              <w:top w:val="single" w:color="auto" w:sz="4" w:space="0"/>
              <w:bottom w:val="single" w:color="auto" w:sz="4" w:space="0"/>
            </w:tcBorders>
            <w:vAlign w:val="bottom"/>
          </w:tcPr>
          <w:p w14:paraId="2244B821">
            <w:pPr>
              <w:spacing w:line="360" w:lineRule="auto"/>
              <w:jc w:val="left"/>
              <w:rPr>
                <w:rFonts w:hint="eastAsia" w:ascii="宋体" w:hAnsi="宋体"/>
                <w:color w:val="auto"/>
                <w:sz w:val="24"/>
                <w:highlight w:val="none"/>
              </w:rPr>
            </w:pPr>
          </w:p>
        </w:tc>
      </w:tr>
      <w:tr w14:paraId="157F9269">
        <w:tblPrEx>
          <w:tblCellMar>
            <w:top w:w="0" w:type="dxa"/>
            <w:left w:w="108" w:type="dxa"/>
            <w:bottom w:w="0" w:type="dxa"/>
            <w:right w:w="108" w:type="dxa"/>
          </w:tblCellMar>
        </w:tblPrEx>
        <w:trPr>
          <w:trHeight w:val="924" w:hRule="atLeast"/>
          <w:jc w:val="center"/>
        </w:trPr>
        <w:tc>
          <w:tcPr>
            <w:tcW w:w="1663" w:type="dxa"/>
            <w:vAlign w:val="bottom"/>
          </w:tcPr>
          <w:p w14:paraId="7BE043BE">
            <w:pPr>
              <w:spacing w:line="360" w:lineRule="auto"/>
              <w:jc w:val="distribute"/>
              <w:rPr>
                <w:rFonts w:hint="eastAsia" w:ascii="宋体" w:hAnsi="宋体"/>
                <w:color w:val="auto"/>
                <w:sz w:val="24"/>
                <w:highlight w:val="none"/>
              </w:rPr>
            </w:pPr>
            <w:r>
              <w:rPr>
                <w:rFonts w:ascii="宋体" w:hAnsi="宋体"/>
                <w:color w:val="auto"/>
                <w:sz w:val="24"/>
                <w:highlight w:val="none"/>
              </w:rPr>
              <w:t>总报价</w:t>
            </w:r>
          </w:p>
        </w:tc>
        <w:tc>
          <w:tcPr>
            <w:tcW w:w="1280" w:type="dxa"/>
            <w:gridSpan w:val="2"/>
            <w:vAlign w:val="bottom"/>
          </w:tcPr>
          <w:p w14:paraId="6593CC07">
            <w:pPr>
              <w:spacing w:line="360" w:lineRule="auto"/>
              <w:jc w:val="center"/>
              <w:rPr>
                <w:rFonts w:hint="eastAsia" w:ascii="宋体" w:hAnsi="宋体"/>
                <w:color w:val="auto"/>
                <w:sz w:val="24"/>
                <w:highlight w:val="none"/>
              </w:rPr>
            </w:pPr>
            <w:r>
              <w:rPr>
                <w:rFonts w:ascii="宋体" w:hAnsi="宋体"/>
                <w:color w:val="auto"/>
                <w:sz w:val="24"/>
                <w:highlight w:val="none"/>
              </w:rPr>
              <w:t>(小写)：</w:t>
            </w:r>
          </w:p>
        </w:tc>
        <w:tc>
          <w:tcPr>
            <w:tcW w:w="5010" w:type="dxa"/>
            <w:gridSpan w:val="2"/>
            <w:tcBorders>
              <w:top w:val="single" w:color="auto" w:sz="4" w:space="0"/>
              <w:bottom w:val="single" w:color="auto" w:sz="4" w:space="0"/>
            </w:tcBorders>
            <w:vAlign w:val="bottom"/>
          </w:tcPr>
          <w:p w14:paraId="72071A0E">
            <w:pPr>
              <w:spacing w:line="360" w:lineRule="auto"/>
              <w:jc w:val="left"/>
              <w:rPr>
                <w:rFonts w:hint="eastAsia" w:ascii="宋体" w:hAnsi="宋体"/>
                <w:color w:val="auto"/>
                <w:sz w:val="24"/>
                <w:highlight w:val="none"/>
              </w:rPr>
            </w:pPr>
          </w:p>
        </w:tc>
      </w:tr>
      <w:tr w14:paraId="79085892">
        <w:tblPrEx>
          <w:tblCellMar>
            <w:top w:w="0" w:type="dxa"/>
            <w:left w:w="108" w:type="dxa"/>
            <w:bottom w:w="0" w:type="dxa"/>
            <w:right w:w="108" w:type="dxa"/>
          </w:tblCellMar>
        </w:tblPrEx>
        <w:trPr>
          <w:trHeight w:val="924" w:hRule="atLeast"/>
          <w:jc w:val="center"/>
        </w:trPr>
        <w:tc>
          <w:tcPr>
            <w:tcW w:w="1663" w:type="dxa"/>
            <w:vAlign w:val="bottom"/>
          </w:tcPr>
          <w:p w14:paraId="5A207B6B">
            <w:pPr>
              <w:spacing w:line="360" w:lineRule="auto"/>
              <w:jc w:val="distribute"/>
              <w:rPr>
                <w:rFonts w:hint="eastAsia" w:ascii="宋体" w:hAnsi="宋体"/>
                <w:color w:val="auto"/>
                <w:sz w:val="24"/>
                <w:highlight w:val="none"/>
              </w:rPr>
            </w:pPr>
          </w:p>
        </w:tc>
        <w:tc>
          <w:tcPr>
            <w:tcW w:w="1280" w:type="dxa"/>
            <w:gridSpan w:val="2"/>
            <w:vAlign w:val="bottom"/>
          </w:tcPr>
          <w:p w14:paraId="2B2B9755">
            <w:pPr>
              <w:spacing w:line="360" w:lineRule="auto"/>
              <w:jc w:val="center"/>
              <w:rPr>
                <w:rFonts w:hint="eastAsia" w:ascii="宋体" w:hAnsi="宋体"/>
                <w:color w:val="auto"/>
                <w:sz w:val="24"/>
                <w:highlight w:val="none"/>
              </w:rPr>
            </w:pPr>
            <w:r>
              <w:rPr>
                <w:rFonts w:ascii="宋体" w:hAnsi="宋体"/>
                <w:color w:val="auto"/>
                <w:sz w:val="24"/>
                <w:highlight w:val="none"/>
              </w:rPr>
              <w:t>(大写)：</w:t>
            </w:r>
          </w:p>
        </w:tc>
        <w:tc>
          <w:tcPr>
            <w:tcW w:w="5010" w:type="dxa"/>
            <w:gridSpan w:val="2"/>
            <w:tcBorders>
              <w:top w:val="single" w:color="auto" w:sz="4" w:space="0"/>
              <w:bottom w:val="single" w:color="auto" w:sz="4" w:space="0"/>
            </w:tcBorders>
            <w:vAlign w:val="bottom"/>
          </w:tcPr>
          <w:p w14:paraId="42595B17">
            <w:pPr>
              <w:spacing w:line="360" w:lineRule="auto"/>
              <w:jc w:val="left"/>
              <w:rPr>
                <w:rFonts w:hint="eastAsia" w:ascii="宋体" w:hAnsi="宋体"/>
                <w:color w:val="auto"/>
                <w:sz w:val="24"/>
                <w:highlight w:val="none"/>
              </w:rPr>
            </w:pPr>
          </w:p>
        </w:tc>
      </w:tr>
      <w:tr w14:paraId="58640483">
        <w:tblPrEx>
          <w:tblCellMar>
            <w:top w:w="0" w:type="dxa"/>
            <w:left w:w="108" w:type="dxa"/>
            <w:bottom w:w="0" w:type="dxa"/>
            <w:right w:w="108" w:type="dxa"/>
          </w:tblCellMar>
        </w:tblPrEx>
        <w:trPr>
          <w:trHeight w:val="3004" w:hRule="atLeast"/>
          <w:jc w:val="center"/>
        </w:trPr>
        <w:tc>
          <w:tcPr>
            <w:tcW w:w="1663" w:type="dxa"/>
            <w:vAlign w:val="bottom"/>
          </w:tcPr>
          <w:p w14:paraId="503AC35D">
            <w:pPr>
              <w:spacing w:line="360" w:lineRule="auto"/>
              <w:jc w:val="distribute"/>
              <w:rPr>
                <w:rFonts w:hint="eastAsia" w:ascii="宋体" w:hAnsi="宋体"/>
                <w:color w:val="auto"/>
                <w:sz w:val="24"/>
                <w:highlight w:val="none"/>
              </w:rPr>
            </w:pPr>
            <w:r>
              <w:rPr>
                <w:rFonts w:ascii="宋体" w:hAnsi="宋体"/>
                <w:color w:val="auto"/>
                <w:sz w:val="24"/>
                <w:highlight w:val="none"/>
              </w:rPr>
              <w:t>响应单位</w:t>
            </w:r>
          </w:p>
        </w:tc>
        <w:tc>
          <w:tcPr>
            <w:tcW w:w="481" w:type="dxa"/>
            <w:vAlign w:val="bottom"/>
          </w:tcPr>
          <w:p w14:paraId="79659708">
            <w:pPr>
              <w:spacing w:line="360" w:lineRule="auto"/>
              <w:jc w:val="center"/>
              <w:rPr>
                <w:rFonts w:hint="eastAsia" w:ascii="宋体" w:hAnsi="宋体"/>
                <w:color w:val="auto"/>
                <w:sz w:val="24"/>
                <w:highlight w:val="none"/>
              </w:rPr>
            </w:pPr>
            <w:r>
              <w:rPr>
                <w:rFonts w:ascii="宋体" w:hAnsi="宋体"/>
                <w:color w:val="auto"/>
                <w:sz w:val="24"/>
                <w:highlight w:val="none"/>
              </w:rPr>
              <w:t>：</w:t>
            </w:r>
          </w:p>
        </w:tc>
        <w:tc>
          <w:tcPr>
            <w:tcW w:w="3661" w:type="dxa"/>
            <w:gridSpan w:val="2"/>
            <w:tcBorders>
              <w:bottom w:val="single" w:color="auto" w:sz="4" w:space="0"/>
            </w:tcBorders>
            <w:vAlign w:val="bottom"/>
          </w:tcPr>
          <w:p w14:paraId="495FFC5A">
            <w:pPr>
              <w:spacing w:line="360" w:lineRule="auto"/>
              <w:jc w:val="left"/>
              <w:rPr>
                <w:rFonts w:hint="eastAsia" w:ascii="宋体" w:hAnsi="宋体"/>
                <w:color w:val="auto"/>
                <w:sz w:val="24"/>
                <w:highlight w:val="none"/>
              </w:rPr>
            </w:pPr>
          </w:p>
        </w:tc>
        <w:tc>
          <w:tcPr>
            <w:tcW w:w="2148" w:type="dxa"/>
            <w:vAlign w:val="bottom"/>
          </w:tcPr>
          <w:p w14:paraId="0260D8A6">
            <w:pPr>
              <w:spacing w:line="360" w:lineRule="auto"/>
              <w:jc w:val="center"/>
              <w:rPr>
                <w:rFonts w:hint="eastAsia" w:ascii="宋体" w:hAnsi="宋体"/>
                <w:color w:val="auto"/>
                <w:sz w:val="24"/>
                <w:highlight w:val="none"/>
              </w:rPr>
            </w:pPr>
            <w:r>
              <w:rPr>
                <w:rFonts w:ascii="宋体" w:hAnsi="宋体"/>
                <w:color w:val="auto"/>
                <w:sz w:val="24"/>
                <w:highlight w:val="none"/>
              </w:rPr>
              <w:t>(单位签字盖章)</w:t>
            </w:r>
          </w:p>
        </w:tc>
      </w:tr>
      <w:tr w14:paraId="7A56A87C">
        <w:tblPrEx>
          <w:tblCellMar>
            <w:top w:w="0" w:type="dxa"/>
            <w:left w:w="108" w:type="dxa"/>
            <w:bottom w:w="0" w:type="dxa"/>
            <w:right w:w="108" w:type="dxa"/>
          </w:tblCellMar>
        </w:tblPrEx>
        <w:trPr>
          <w:trHeight w:val="1488" w:hRule="atLeast"/>
          <w:jc w:val="center"/>
        </w:trPr>
        <w:tc>
          <w:tcPr>
            <w:tcW w:w="1663" w:type="dxa"/>
            <w:vAlign w:val="bottom"/>
          </w:tcPr>
          <w:p w14:paraId="100DF5E1">
            <w:pPr>
              <w:spacing w:line="360" w:lineRule="auto"/>
              <w:jc w:val="distribute"/>
              <w:rPr>
                <w:rFonts w:hint="eastAsia" w:ascii="宋体" w:hAnsi="宋体"/>
                <w:color w:val="auto"/>
                <w:sz w:val="24"/>
                <w:highlight w:val="none"/>
              </w:rPr>
            </w:pPr>
            <w:r>
              <w:rPr>
                <w:rFonts w:ascii="宋体" w:hAnsi="宋体"/>
                <w:color w:val="auto"/>
                <w:sz w:val="24"/>
                <w:highlight w:val="none"/>
              </w:rPr>
              <w:t>法定代表人</w:t>
            </w:r>
          </w:p>
        </w:tc>
        <w:tc>
          <w:tcPr>
            <w:tcW w:w="481" w:type="dxa"/>
            <w:vAlign w:val="bottom"/>
          </w:tcPr>
          <w:p w14:paraId="029E6C85">
            <w:pPr>
              <w:spacing w:line="360" w:lineRule="auto"/>
              <w:jc w:val="center"/>
              <w:rPr>
                <w:rFonts w:hint="eastAsia" w:ascii="宋体" w:hAnsi="宋体"/>
                <w:color w:val="auto"/>
                <w:sz w:val="24"/>
                <w:highlight w:val="none"/>
              </w:rPr>
            </w:pPr>
            <w:r>
              <w:rPr>
                <w:rFonts w:ascii="宋体" w:hAnsi="宋体"/>
                <w:color w:val="auto"/>
                <w:sz w:val="24"/>
                <w:highlight w:val="none"/>
              </w:rPr>
              <w:t>：</w:t>
            </w:r>
          </w:p>
        </w:tc>
        <w:tc>
          <w:tcPr>
            <w:tcW w:w="3661" w:type="dxa"/>
            <w:gridSpan w:val="2"/>
            <w:tcBorders>
              <w:top w:val="single" w:color="auto" w:sz="4" w:space="0"/>
              <w:bottom w:val="single" w:color="auto" w:sz="4" w:space="0"/>
            </w:tcBorders>
            <w:vAlign w:val="bottom"/>
          </w:tcPr>
          <w:p w14:paraId="12B5CB23">
            <w:pPr>
              <w:spacing w:line="360" w:lineRule="auto"/>
              <w:jc w:val="center"/>
              <w:rPr>
                <w:rFonts w:hint="eastAsia" w:ascii="宋体" w:hAnsi="宋体"/>
                <w:color w:val="auto"/>
                <w:sz w:val="24"/>
                <w:highlight w:val="none"/>
              </w:rPr>
            </w:pPr>
          </w:p>
        </w:tc>
        <w:tc>
          <w:tcPr>
            <w:tcW w:w="2148" w:type="dxa"/>
            <w:vAlign w:val="bottom"/>
          </w:tcPr>
          <w:p w14:paraId="633EC69F">
            <w:pPr>
              <w:spacing w:line="360" w:lineRule="auto"/>
              <w:jc w:val="center"/>
              <w:rPr>
                <w:rFonts w:hint="eastAsia" w:ascii="宋体" w:hAnsi="宋体"/>
                <w:color w:val="auto"/>
                <w:sz w:val="24"/>
                <w:highlight w:val="none"/>
              </w:rPr>
            </w:pPr>
            <w:r>
              <w:rPr>
                <w:rFonts w:ascii="宋体" w:hAnsi="宋体"/>
                <w:color w:val="auto"/>
                <w:sz w:val="24"/>
                <w:highlight w:val="none"/>
              </w:rPr>
              <w:t>(签字盖章)</w:t>
            </w:r>
          </w:p>
        </w:tc>
      </w:tr>
      <w:tr w14:paraId="41C8AEE3">
        <w:tblPrEx>
          <w:tblCellMar>
            <w:top w:w="0" w:type="dxa"/>
            <w:left w:w="108" w:type="dxa"/>
            <w:bottom w:w="0" w:type="dxa"/>
            <w:right w:w="108" w:type="dxa"/>
          </w:tblCellMar>
        </w:tblPrEx>
        <w:trPr>
          <w:trHeight w:val="1488" w:hRule="atLeast"/>
          <w:jc w:val="center"/>
        </w:trPr>
        <w:tc>
          <w:tcPr>
            <w:tcW w:w="1663" w:type="dxa"/>
            <w:vAlign w:val="bottom"/>
          </w:tcPr>
          <w:p w14:paraId="698A9E5F">
            <w:pPr>
              <w:spacing w:line="360" w:lineRule="auto"/>
              <w:jc w:val="distribute"/>
              <w:rPr>
                <w:rFonts w:hint="eastAsia" w:ascii="宋体" w:hAnsi="宋体"/>
                <w:color w:val="auto"/>
                <w:sz w:val="24"/>
                <w:highlight w:val="none"/>
              </w:rPr>
            </w:pPr>
            <w:r>
              <w:rPr>
                <w:rFonts w:ascii="宋体" w:hAnsi="宋体"/>
                <w:color w:val="auto"/>
                <w:sz w:val="24"/>
                <w:highlight w:val="none"/>
              </w:rPr>
              <w:t>编制时间</w:t>
            </w:r>
          </w:p>
        </w:tc>
        <w:tc>
          <w:tcPr>
            <w:tcW w:w="481" w:type="dxa"/>
            <w:vAlign w:val="bottom"/>
          </w:tcPr>
          <w:p w14:paraId="05EA9023">
            <w:pPr>
              <w:spacing w:line="360" w:lineRule="auto"/>
              <w:jc w:val="center"/>
              <w:rPr>
                <w:rFonts w:hint="eastAsia" w:ascii="宋体" w:hAnsi="宋体"/>
                <w:color w:val="auto"/>
                <w:sz w:val="24"/>
                <w:highlight w:val="none"/>
              </w:rPr>
            </w:pPr>
            <w:r>
              <w:rPr>
                <w:rFonts w:ascii="宋体" w:hAnsi="宋体"/>
                <w:color w:val="auto"/>
                <w:sz w:val="24"/>
                <w:highlight w:val="none"/>
              </w:rPr>
              <w:t>：</w:t>
            </w:r>
          </w:p>
        </w:tc>
        <w:tc>
          <w:tcPr>
            <w:tcW w:w="3661" w:type="dxa"/>
            <w:gridSpan w:val="2"/>
            <w:tcBorders>
              <w:top w:val="single" w:color="auto" w:sz="4" w:space="0"/>
              <w:bottom w:val="single" w:color="auto" w:sz="4" w:space="0"/>
            </w:tcBorders>
            <w:vAlign w:val="bottom"/>
          </w:tcPr>
          <w:p w14:paraId="12A8383A">
            <w:pPr>
              <w:spacing w:line="360" w:lineRule="auto"/>
              <w:jc w:val="center"/>
              <w:rPr>
                <w:rFonts w:hint="eastAsia" w:ascii="宋体" w:hAnsi="宋体"/>
                <w:color w:val="auto"/>
                <w:sz w:val="24"/>
                <w:highlight w:val="none"/>
              </w:rPr>
            </w:pPr>
          </w:p>
        </w:tc>
        <w:tc>
          <w:tcPr>
            <w:tcW w:w="2148" w:type="dxa"/>
            <w:vAlign w:val="bottom"/>
          </w:tcPr>
          <w:p w14:paraId="5A81D4AC">
            <w:pPr>
              <w:spacing w:line="360" w:lineRule="auto"/>
              <w:jc w:val="center"/>
              <w:rPr>
                <w:rFonts w:hint="eastAsia" w:ascii="宋体" w:hAnsi="宋体"/>
                <w:color w:val="auto"/>
                <w:sz w:val="24"/>
                <w:highlight w:val="none"/>
              </w:rPr>
            </w:pPr>
          </w:p>
        </w:tc>
      </w:tr>
    </w:tbl>
    <w:p w14:paraId="4AEA2397">
      <w:pPr>
        <w:rPr>
          <w:rStyle w:val="46"/>
          <w:rFonts w:ascii="Times New Roman" w:hAnsi="Times New Roman" w:eastAsia="宋体"/>
          <w:b w:val="0"/>
          <w:color w:val="auto"/>
          <w:highlight w:val="none"/>
        </w:rPr>
      </w:pPr>
    </w:p>
    <w:p w14:paraId="60863C11">
      <w:pPr>
        <w:rPr>
          <w:rStyle w:val="46"/>
          <w:rFonts w:ascii="Times New Roman" w:hAnsi="Times New Roman" w:eastAsia="宋体"/>
          <w:b w:val="0"/>
          <w:color w:val="auto"/>
          <w:highlight w:val="none"/>
        </w:rPr>
        <w:sectPr>
          <w:pgSz w:w="11907" w:h="16840"/>
          <w:pgMar w:top="1417" w:right="1701" w:bottom="1417" w:left="1701" w:header="850" w:footer="1134" w:gutter="0"/>
          <w:pgNumType w:fmt="decimal"/>
          <w:cols w:space="0" w:num="1"/>
          <w:rtlGutter w:val="0"/>
          <w:docGrid w:linePitch="312" w:charSpace="0"/>
        </w:sectPr>
      </w:pPr>
    </w:p>
    <w:p w14:paraId="04EA75D1">
      <w:pPr>
        <w:pStyle w:val="53"/>
        <w:spacing w:before="120"/>
        <w:rPr>
          <w:rStyle w:val="46"/>
          <w:rFonts w:ascii="Times New Roman" w:hAnsi="Times New Roman" w:eastAsia="宋体" w:cs="Times New Roman"/>
          <w:b/>
          <w:bCs w:val="0"/>
          <w:color w:val="auto"/>
          <w:szCs w:val="24"/>
          <w:highlight w:val="none"/>
        </w:rPr>
      </w:pPr>
      <w:r>
        <w:rPr>
          <w:rStyle w:val="46"/>
          <w:rFonts w:ascii="Times New Roman" w:hAnsi="Times New Roman" w:eastAsia="宋体" w:cs="Times New Roman"/>
          <w:b/>
          <w:bCs w:val="0"/>
          <w:color w:val="auto"/>
          <w:szCs w:val="24"/>
          <w:highlight w:val="none"/>
        </w:rPr>
        <w:t>格式</w:t>
      </w:r>
      <w:r>
        <w:rPr>
          <w:rStyle w:val="46"/>
          <w:rFonts w:hint="eastAsia" w:ascii="Times New Roman" w:hAnsi="Times New Roman" w:eastAsia="宋体" w:cs="Times New Roman"/>
          <w:b/>
          <w:bCs w:val="0"/>
          <w:color w:val="auto"/>
          <w:szCs w:val="24"/>
          <w:highlight w:val="none"/>
        </w:rPr>
        <w:t>6</w:t>
      </w:r>
      <w:r>
        <w:rPr>
          <w:rStyle w:val="46"/>
          <w:rFonts w:ascii="Times New Roman" w:hAnsi="Times New Roman" w:eastAsia="宋体" w:cs="Times New Roman"/>
          <w:b/>
          <w:bCs w:val="0"/>
          <w:color w:val="auto"/>
          <w:szCs w:val="24"/>
          <w:highlight w:val="none"/>
        </w:rPr>
        <w:t xml:space="preserve">  </w:t>
      </w:r>
      <w:r>
        <w:rPr>
          <w:rStyle w:val="46"/>
          <w:rFonts w:hint="eastAsia" w:ascii="Times New Roman" w:hAnsi="Times New Roman" w:eastAsia="宋体" w:cs="Times New Roman"/>
          <w:b/>
          <w:bCs w:val="0"/>
          <w:color w:val="auto"/>
          <w:szCs w:val="24"/>
          <w:highlight w:val="none"/>
        </w:rPr>
        <w:t>工程量清单报价格式见第五篇第二章相应格式</w:t>
      </w:r>
    </w:p>
    <w:p w14:paraId="31B67A7D">
      <w:pPr>
        <w:rPr>
          <w:color w:val="auto"/>
          <w:highlight w:val="none"/>
        </w:rPr>
      </w:pPr>
    </w:p>
    <w:p w14:paraId="4085E3A7">
      <w:pPr>
        <w:rPr>
          <w:color w:val="auto"/>
          <w:highlight w:val="none"/>
        </w:rPr>
      </w:pPr>
    </w:p>
    <w:p w14:paraId="6B7B5A21">
      <w:pPr>
        <w:rPr>
          <w:rStyle w:val="46"/>
          <w:rFonts w:ascii="Times New Roman" w:hAnsi="Times New Roman" w:eastAsia="宋体"/>
          <w:color w:val="auto"/>
          <w:sz w:val="28"/>
          <w:szCs w:val="28"/>
          <w:highlight w:val="none"/>
        </w:rPr>
      </w:pPr>
      <w:r>
        <w:rPr>
          <w:rStyle w:val="46"/>
          <w:rFonts w:hint="eastAsia" w:ascii="Times New Roman" w:hAnsi="Times New Roman" w:eastAsia="宋体"/>
          <w:color w:val="auto"/>
          <w:sz w:val="28"/>
          <w:szCs w:val="28"/>
          <w:highlight w:val="none"/>
        </w:rPr>
        <w:t>报价格式见第五篇第二章相应格式</w:t>
      </w:r>
    </w:p>
    <w:p w14:paraId="763D835E">
      <w:pPr>
        <w:rPr>
          <w:color w:val="auto"/>
          <w:highlight w:val="none"/>
        </w:rPr>
      </w:pPr>
    </w:p>
    <w:p w14:paraId="30E5B632">
      <w:pPr>
        <w:rPr>
          <w:color w:val="auto"/>
          <w:highlight w:val="none"/>
        </w:rPr>
      </w:pPr>
    </w:p>
    <w:p w14:paraId="778B582E">
      <w:pPr>
        <w:rPr>
          <w:color w:val="auto"/>
          <w:highlight w:val="none"/>
        </w:rPr>
      </w:pPr>
    </w:p>
    <w:p w14:paraId="37C2C982">
      <w:pPr>
        <w:rPr>
          <w:color w:val="auto"/>
          <w:highlight w:val="none"/>
        </w:rPr>
      </w:pPr>
    </w:p>
    <w:p w14:paraId="46B9502D">
      <w:pPr>
        <w:rPr>
          <w:color w:val="auto"/>
          <w:highlight w:val="none"/>
        </w:rPr>
      </w:pPr>
    </w:p>
    <w:p w14:paraId="4E45A0EB">
      <w:pPr>
        <w:rPr>
          <w:color w:val="auto"/>
          <w:highlight w:val="none"/>
        </w:rPr>
      </w:pPr>
    </w:p>
    <w:p w14:paraId="603B37A7">
      <w:pPr>
        <w:rPr>
          <w:color w:val="auto"/>
          <w:highlight w:val="none"/>
        </w:rPr>
      </w:pPr>
    </w:p>
    <w:p w14:paraId="5AD2EB2A">
      <w:pPr>
        <w:rPr>
          <w:color w:val="auto"/>
          <w:highlight w:val="none"/>
        </w:rPr>
      </w:pPr>
    </w:p>
    <w:p w14:paraId="6894A0DE">
      <w:pPr>
        <w:rPr>
          <w:color w:val="auto"/>
          <w:highlight w:val="none"/>
        </w:rPr>
      </w:pPr>
    </w:p>
    <w:p w14:paraId="1E341ADA">
      <w:pPr>
        <w:pStyle w:val="3"/>
        <w:spacing w:before="240" w:beforeLines="100" w:after="120" w:afterLines="50" w:line="360" w:lineRule="auto"/>
        <w:jc w:val="center"/>
        <w:rPr>
          <w:rStyle w:val="46"/>
          <w:rFonts w:ascii="Times New Roman" w:hAnsi="Times New Roman" w:eastAsia="宋体"/>
          <w:b/>
          <w:bCs/>
          <w:color w:val="auto"/>
          <w:sz w:val="28"/>
          <w:szCs w:val="28"/>
          <w:highlight w:val="none"/>
        </w:rPr>
        <w:sectPr>
          <w:pgSz w:w="11907" w:h="16840"/>
          <w:pgMar w:top="1417" w:right="1701" w:bottom="1417" w:left="1701" w:header="850" w:footer="1134" w:gutter="0"/>
          <w:pgNumType w:fmt="decimal"/>
          <w:cols w:space="0" w:num="1"/>
          <w:rtlGutter w:val="0"/>
          <w:docGrid w:linePitch="312" w:charSpace="0"/>
        </w:sectPr>
      </w:pPr>
    </w:p>
    <w:p w14:paraId="0D3C8F85">
      <w:pPr>
        <w:pStyle w:val="3"/>
        <w:spacing w:before="240" w:beforeLines="100" w:after="120" w:afterLines="50" w:line="360" w:lineRule="auto"/>
        <w:jc w:val="center"/>
        <w:rPr>
          <w:rStyle w:val="46"/>
          <w:rFonts w:ascii="Times New Roman" w:hAnsi="Times New Roman" w:eastAsia="宋体"/>
          <w:b/>
          <w:bCs w:val="0"/>
          <w:color w:val="auto"/>
          <w:sz w:val="32"/>
          <w:highlight w:val="none"/>
        </w:rPr>
      </w:pPr>
      <w:r>
        <w:rPr>
          <w:rStyle w:val="46"/>
          <w:rFonts w:ascii="Times New Roman" w:hAnsi="Times New Roman" w:eastAsia="宋体"/>
          <w:b/>
          <w:bCs w:val="0"/>
          <w:color w:val="auto"/>
          <w:sz w:val="32"/>
          <w:highlight w:val="none"/>
        </w:rPr>
        <w:t>第</w:t>
      </w:r>
      <w:r>
        <w:rPr>
          <w:rStyle w:val="46"/>
          <w:rFonts w:hint="eastAsia" w:ascii="Times New Roman" w:hAnsi="Times New Roman" w:eastAsia="宋体"/>
          <w:b/>
          <w:bCs w:val="0"/>
          <w:color w:val="auto"/>
          <w:sz w:val="32"/>
          <w:highlight w:val="none"/>
        </w:rPr>
        <w:t>二</w:t>
      </w:r>
      <w:r>
        <w:rPr>
          <w:rStyle w:val="46"/>
          <w:rFonts w:ascii="Times New Roman" w:hAnsi="Times New Roman" w:eastAsia="宋体"/>
          <w:b/>
          <w:bCs w:val="0"/>
          <w:color w:val="auto"/>
          <w:sz w:val="32"/>
          <w:highlight w:val="none"/>
        </w:rPr>
        <w:t xml:space="preserve">章 </w:t>
      </w:r>
      <w:r>
        <w:rPr>
          <w:rStyle w:val="46"/>
          <w:rFonts w:hint="eastAsia" w:ascii="Times New Roman" w:hAnsi="Times New Roman" w:eastAsia="宋体"/>
          <w:b/>
          <w:bCs w:val="0"/>
          <w:color w:val="auto"/>
          <w:sz w:val="32"/>
          <w:highlight w:val="none"/>
        </w:rPr>
        <w:t>商务</w:t>
      </w:r>
      <w:r>
        <w:rPr>
          <w:rStyle w:val="46"/>
          <w:rFonts w:ascii="Times New Roman" w:hAnsi="Times New Roman" w:eastAsia="宋体"/>
          <w:b/>
          <w:bCs w:val="0"/>
          <w:color w:val="auto"/>
          <w:sz w:val="32"/>
          <w:highlight w:val="none"/>
        </w:rPr>
        <w:t>部分</w:t>
      </w:r>
      <w:bookmarkEnd w:id="1827"/>
      <w:bookmarkEnd w:id="1828"/>
      <w:bookmarkEnd w:id="1829"/>
      <w:bookmarkEnd w:id="1830"/>
      <w:bookmarkEnd w:id="1831"/>
      <w:bookmarkEnd w:id="1832"/>
      <w:bookmarkEnd w:id="1833"/>
      <w:r>
        <w:rPr>
          <w:rStyle w:val="46"/>
          <w:rFonts w:ascii="Times New Roman" w:hAnsi="Times New Roman" w:eastAsia="宋体"/>
          <w:b/>
          <w:bCs w:val="0"/>
          <w:color w:val="auto"/>
          <w:sz w:val="32"/>
          <w:highlight w:val="none"/>
        </w:rPr>
        <w:t>格式</w:t>
      </w:r>
      <w:bookmarkEnd w:id="1834"/>
    </w:p>
    <w:p w14:paraId="675AA5F3">
      <w:pPr>
        <w:pStyle w:val="53"/>
        <w:spacing w:before="120"/>
        <w:rPr>
          <w:rStyle w:val="46"/>
          <w:rFonts w:ascii="Times New Roman" w:hAnsi="Times New Roman" w:eastAsia="宋体" w:cs="Times New Roman"/>
          <w:b/>
          <w:bCs w:val="0"/>
          <w:color w:val="auto"/>
          <w:szCs w:val="24"/>
          <w:highlight w:val="none"/>
        </w:rPr>
      </w:pPr>
      <w:r>
        <w:rPr>
          <w:rStyle w:val="46"/>
          <w:rFonts w:ascii="Times New Roman" w:hAnsi="Times New Roman" w:eastAsia="宋体" w:cs="Times New Roman"/>
          <w:b/>
          <w:bCs w:val="0"/>
          <w:color w:val="auto"/>
          <w:szCs w:val="24"/>
          <w:highlight w:val="none"/>
        </w:rPr>
        <w:t>格式</w:t>
      </w:r>
      <w:r>
        <w:rPr>
          <w:rStyle w:val="46"/>
          <w:rFonts w:hint="eastAsia" w:ascii="Times New Roman" w:hAnsi="Times New Roman" w:eastAsia="宋体" w:cs="Times New Roman"/>
          <w:b/>
          <w:bCs w:val="0"/>
          <w:color w:val="auto"/>
          <w:szCs w:val="24"/>
          <w:highlight w:val="none"/>
        </w:rPr>
        <w:t>7</w:t>
      </w:r>
      <w:r>
        <w:rPr>
          <w:rStyle w:val="46"/>
          <w:rFonts w:ascii="Times New Roman" w:hAnsi="Times New Roman" w:eastAsia="宋体" w:cs="Times New Roman"/>
          <w:b/>
          <w:bCs w:val="0"/>
          <w:color w:val="auto"/>
          <w:szCs w:val="24"/>
          <w:highlight w:val="none"/>
        </w:rPr>
        <w:t xml:space="preserve">  拟投入本工程主要施工机械表</w:t>
      </w:r>
    </w:p>
    <w:p w14:paraId="1B9D43CE">
      <w:pPr>
        <w:spacing w:line="360" w:lineRule="auto"/>
        <w:jc w:val="center"/>
        <w:rPr>
          <w:color w:val="auto"/>
          <w:sz w:val="32"/>
          <w:szCs w:val="32"/>
          <w:highlight w:val="none"/>
        </w:rPr>
      </w:pPr>
      <w:bookmarkStart w:id="1857" w:name="_Toc18407870"/>
    </w:p>
    <w:p w14:paraId="7B3EF838">
      <w:pPr>
        <w:spacing w:line="360" w:lineRule="auto"/>
        <w:jc w:val="center"/>
        <w:rPr>
          <w:b/>
          <w:color w:val="auto"/>
          <w:sz w:val="28"/>
          <w:szCs w:val="28"/>
          <w:highlight w:val="none"/>
        </w:rPr>
      </w:pPr>
      <w:r>
        <w:rPr>
          <w:b/>
          <w:color w:val="auto"/>
          <w:sz w:val="28"/>
          <w:szCs w:val="28"/>
          <w:highlight w:val="none"/>
        </w:rPr>
        <w:t>拟投入本工程主要施工机械表</w:t>
      </w:r>
      <w:bookmarkEnd w:id="1857"/>
    </w:p>
    <w:tbl>
      <w:tblPr>
        <w:tblStyle w:val="31"/>
        <w:tblW w:w="882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5"/>
        <w:gridCol w:w="1013"/>
        <w:gridCol w:w="1071"/>
        <w:gridCol w:w="1359"/>
        <w:gridCol w:w="947"/>
        <w:gridCol w:w="756"/>
        <w:gridCol w:w="754"/>
        <w:gridCol w:w="702"/>
        <w:gridCol w:w="755"/>
        <w:gridCol w:w="851"/>
      </w:tblGrid>
      <w:tr w14:paraId="6A49C7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615" w:type="dxa"/>
            <w:vMerge w:val="restart"/>
            <w:vAlign w:val="center"/>
          </w:tcPr>
          <w:p w14:paraId="39C57A00">
            <w:pPr>
              <w:adjustRightInd w:val="0"/>
              <w:jc w:val="center"/>
              <w:rPr>
                <w:color w:val="auto"/>
                <w:kern w:val="0"/>
                <w:szCs w:val="21"/>
                <w:highlight w:val="none"/>
              </w:rPr>
            </w:pPr>
            <w:r>
              <w:rPr>
                <w:color w:val="auto"/>
                <w:kern w:val="0"/>
                <w:szCs w:val="21"/>
                <w:highlight w:val="none"/>
              </w:rPr>
              <w:t>序号</w:t>
            </w:r>
          </w:p>
        </w:tc>
        <w:tc>
          <w:tcPr>
            <w:tcW w:w="1013" w:type="dxa"/>
            <w:vMerge w:val="restart"/>
            <w:vAlign w:val="center"/>
          </w:tcPr>
          <w:p w14:paraId="67E61D00">
            <w:pPr>
              <w:adjustRightInd w:val="0"/>
              <w:jc w:val="center"/>
              <w:rPr>
                <w:color w:val="auto"/>
                <w:kern w:val="0"/>
                <w:szCs w:val="21"/>
                <w:highlight w:val="none"/>
              </w:rPr>
            </w:pPr>
            <w:r>
              <w:rPr>
                <w:color w:val="auto"/>
                <w:kern w:val="0"/>
                <w:szCs w:val="21"/>
                <w:highlight w:val="none"/>
              </w:rPr>
              <w:t>机械</w:t>
            </w:r>
            <w:r>
              <w:rPr>
                <w:color w:val="auto"/>
                <w:kern w:val="0"/>
                <w:szCs w:val="21"/>
                <w:highlight w:val="none"/>
              </w:rPr>
              <w:br w:type="textWrapping"/>
            </w:r>
            <w:r>
              <w:rPr>
                <w:color w:val="auto"/>
                <w:kern w:val="0"/>
                <w:szCs w:val="21"/>
                <w:highlight w:val="none"/>
              </w:rPr>
              <w:t>名称</w:t>
            </w:r>
          </w:p>
        </w:tc>
        <w:tc>
          <w:tcPr>
            <w:tcW w:w="1071" w:type="dxa"/>
            <w:vMerge w:val="restart"/>
            <w:vAlign w:val="center"/>
          </w:tcPr>
          <w:p w14:paraId="01F38263">
            <w:pPr>
              <w:adjustRightInd w:val="0"/>
              <w:jc w:val="center"/>
              <w:rPr>
                <w:color w:val="auto"/>
                <w:kern w:val="0"/>
                <w:szCs w:val="21"/>
                <w:highlight w:val="none"/>
              </w:rPr>
            </w:pPr>
            <w:r>
              <w:rPr>
                <w:color w:val="auto"/>
                <w:kern w:val="0"/>
                <w:szCs w:val="21"/>
                <w:highlight w:val="none"/>
              </w:rPr>
              <w:t>规格</w:t>
            </w:r>
            <w:r>
              <w:rPr>
                <w:color w:val="auto"/>
                <w:kern w:val="0"/>
                <w:szCs w:val="21"/>
                <w:highlight w:val="none"/>
              </w:rPr>
              <w:br w:type="textWrapping"/>
            </w:r>
            <w:r>
              <w:rPr>
                <w:color w:val="auto"/>
                <w:kern w:val="0"/>
                <w:szCs w:val="21"/>
                <w:highlight w:val="none"/>
              </w:rPr>
              <w:t>型号</w:t>
            </w:r>
          </w:p>
        </w:tc>
        <w:tc>
          <w:tcPr>
            <w:tcW w:w="1359" w:type="dxa"/>
            <w:vMerge w:val="restart"/>
            <w:vAlign w:val="center"/>
          </w:tcPr>
          <w:p w14:paraId="75DDCD54">
            <w:pPr>
              <w:jc w:val="center"/>
              <w:rPr>
                <w:color w:val="auto"/>
                <w:kern w:val="0"/>
                <w:szCs w:val="21"/>
                <w:highlight w:val="none"/>
              </w:rPr>
            </w:pPr>
            <w:r>
              <w:rPr>
                <w:color w:val="auto"/>
                <w:kern w:val="0"/>
                <w:szCs w:val="21"/>
                <w:highlight w:val="none"/>
              </w:rPr>
              <w:t>额定功率(Kw)或容量(m3)或吨位(t)</w:t>
            </w:r>
          </w:p>
        </w:tc>
        <w:tc>
          <w:tcPr>
            <w:tcW w:w="947" w:type="dxa"/>
            <w:vMerge w:val="restart"/>
            <w:vAlign w:val="center"/>
          </w:tcPr>
          <w:p w14:paraId="591B06A7">
            <w:pPr>
              <w:adjustRightInd w:val="0"/>
              <w:jc w:val="center"/>
              <w:rPr>
                <w:color w:val="auto"/>
                <w:kern w:val="0"/>
                <w:szCs w:val="21"/>
                <w:highlight w:val="none"/>
              </w:rPr>
            </w:pPr>
            <w:r>
              <w:rPr>
                <w:color w:val="auto"/>
                <w:kern w:val="0"/>
                <w:szCs w:val="21"/>
                <w:highlight w:val="none"/>
              </w:rPr>
              <w:t>厂牌及出厂时间</w:t>
            </w:r>
          </w:p>
        </w:tc>
        <w:tc>
          <w:tcPr>
            <w:tcW w:w="2967" w:type="dxa"/>
            <w:gridSpan w:val="4"/>
            <w:vAlign w:val="center"/>
          </w:tcPr>
          <w:p w14:paraId="7CDB1E3D">
            <w:pPr>
              <w:adjustRightInd w:val="0"/>
              <w:jc w:val="center"/>
              <w:rPr>
                <w:color w:val="auto"/>
                <w:kern w:val="0"/>
                <w:szCs w:val="21"/>
                <w:highlight w:val="none"/>
              </w:rPr>
            </w:pPr>
            <w:r>
              <w:rPr>
                <w:color w:val="auto"/>
                <w:kern w:val="0"/>
                <w:szCs w:val="21"/>
                <w:highlight w:val="none"/>
              </w:rPr>
              <w:t>数量(台)</w:t>
            </w:r>
          </w:p>
        </w:tc>
        <w:tc>
          <w:tcPr>
            <w:tcW w:w="851" w:type="dxa"/>
            <w:vMerge w:val="restart"/>
            <w:vAlign w:val="center"/>
          </w:tcPr>
          <w:p w14:paraId="7D2407BD">
            <w:pPr>
              <w:adjustRightInd w:val="0"/>
              <w:jc w:val="center"/>
              <w:rPr>
                <w:color w:val="auto"/>
                <w:szCs w:val="21"/>
                <w:highlight w:val="none"/>
              </w:rPr>
            </w:pPr>
            <w:r>
              <w:rPr>
                <w:color w:val="auto"/>
                <w:szCs w:val="21"/>
                <w:highlight w:val="none"/>
              </w:rPr>
              <w:t>新旧</w:t>
            </w:r>
            <w:r>
              <w:rPr>
                <w:color w:val="auto"/>
                <w:kern w:val="0"/>
                <w:szCs w:val="21"/>
                <w:highlight w:val="none"/>
              </w:rPr>
              <w:t>程度</w:t>
            </w:r>
            <w:r>
              <w:rPr>
                <w:color w:val="auto"/>
                <w:szCs w:val="21"/>
                <w:highlight w:val="none"/>
              </w:rPr>
              <w:t>(%)</w:t>
            </w:r>
          </w:p>
        </w:tc>
      </w:tr>
      <w:tr w14:paraId="3955BA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615" w:type="dxa"/>
            <w:vMerge w:val="continue"/>
          </w:tcPr>
          <w:p w14:paraId="2B89DECC">
            <w:pPr>
              <w:adjustRightInd w:val="0"/>
              <w:jc w:val="center"/>
              <w:rPr>
                <w:color w:val="auto"/>
                <w:kern w:val="0"/>
                <w:szCs w:val="21"/>
                <w:highlight w:val="none"/>
              </w:rPr>
            </w:pPr>
          </w:p>
        </w:tc>
        <w:tc>
          <w:tcPr>
            <w:tcW w:w="1013" w:type="dxa"/>
            <w:vMerge w:val="continue"/>
            <w:vAlign w:val="center"/>
          </w:tcPr>
          <w:p w14:paraId="63350030">
            <w:pPr>
              <w:adjustRightInd w:val="0"/>
              <w:jc w:val="center"/>
              <w:rPr>
                <w:color w:val="auto"/>
                <w:kern w:val="0"/>
                <w:szCs w:val="21"/>
                <w:highlight w:val="none"/>
              </w:rPr>
            </w:pPr>
          </w:p>
        </w:tc>
        <w:tc>
          <w:tcPr>
            <w:tcW w:w="1071" w:type="dxa"/>
            <w:vMerge w:val="continue"/>
            <w:vAlign w:val="center"/>
          </w:tcPr>
          <w:p w14:paraId="0355279A">
            <w:pPr>
              <w:adjustRightInd w:val="0"/>
              <w:jc w:val="center"/>
              <w:rPr>
                <w:color w:val="auto"/>
                <w:kern w:val="0"/>
                <w:szCs w:val="21"/>
                <w:highlight w:val="none"/>
              </w:rPr>
            </w:pPr>
          </w:p>
        </w:tc>
        <w:tc>
          <w:tcPr>
            <w:tcW w:w="1359" w:type="dxa"/>
            <w:vMerge w:val="continue"/>
            <w:vAlign w:val="center"/>
          </w:tcPr>
          <w:p w14:paraId="74DD0394">
            <w:pPr>
              <w:adjustRightInd w:val="0"/>
              <w:jc w:val="center"/>
              <w:rPr>
                <w:color w:val="auto"/>
                <w:kern w:val="0"/>
                <w:szCs w:val="21"/>
                <w:highlight w:val="none"/>
              </w:rPr>
            </w:pPr>
          </w:p>
        </w:tc>
        <w:tc>
          <w:tcPr>
            <w:tcW w:w="947" w:type="dxa"/>
            <w:vMerge w:val="continue"/>
            <w:vAlign w:val="center"/>
          </w:tcPr>
          <w:p w14:paraId="5DDF2D4B">
            <w:pPr>
              <w:adjustRightInd w:val="0"/>
              <w:jc w:val="center"/>
              <w:rPr>
                <w:color w:val="auto"/>
                <w:kern w:val="0"/>
                <w:szCs w:val="21"/>
                <w:highlight w:val="none"/>
              </w:rPr>
            </w:pPr>
          </w:p>
        </w:tc>
        <w:tc>
          <w:tcPr>
            <w:tcW w:w="756" w:type="dxa"/>
            <w:vMerge w:val="restart"/>
            <w:vAlign w:val="center"/>
          </w:tcPr>
          <w:p w14:paraId="55D96FA2">
            <w:pPr>
              <w:adjustRightInd w:val="0"/>
              <w:jc w:val="center"/>
              <w:rPr>
                <w:color w:val="auto"/>
                <w:kern w:val="0"/>
                <w:szCs w:val="21"/>
                <w:highlight w:val="none"/>
              </w:rPr>
            </w:pPr>
            <w:r>
              <w:rPr>
                <w:color w:val="auto"/>
                <w:kern w:val="0"/>
                <w:szCs w:val="21"/>
                <w:highlight w:val="none"/>
              </w:rPr>
              <w:t>小计</w:t>
            </w:r>
          </w:p>
        </w:tc>
        <w:tc>
          <w:tcPr>
            <w:tcW w:w="2211" w:type="dxa"/>
            <w:gridSpan w:val="3"/>
            <w:vAlign w:val="center"/>
          </w:tcPr>
          <w:p w14:paraId="119C8E71">
            <w:pPr>
              <w:adjustRightInd w:val="0"/>
              <w:jc w:val="center"/>
              <w:rPr>
                <w:color w:val="auto"/>
                <w:kern w:val="0"/>
                <w:szCs w:val="21"/>
                <w:highlight w:val="none"/>
              </w:rPr>
            </w:pPr>
            <w:r>
              <w:rPr>
                <w:color w:val="auto"/>
                <w:kern w:val="0"/>
                <w:szCs w:val="21"/>
                <w:highlight w:val="none"/>
              </w:rPr>
              <w:t>其中</w:t>
            </w:r>
          </w:p>
        </w:tc>
        <w:tc>
          <w:tcPr>
            <w:tcW w:w="851" w:type="dxa"/>
            <w:vMerge w:val="continue"/>
            <w:vAlign w:val="center"/>
          </w:tcPr>
          <w:p w14:paraId="3E1150CE">
            <w:pPr>
              <w:adjustRightInd w:val="0"/>
              <w:spacing w:line="360" w:lineRule="auto"/>
              <w:jc w:val="center"/>
              <w:rPr>
                <w:color w:val="auto"/>
                <w:szCs w:val="21"/>
                <w:highlight w:val="none"/>
              </w:rPr>
            </w:pPr>
          </w:p>
        </w:tc>
      </w:tr>
      <w:tr w14:paraId="2469B7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71" w:hRule="atLeast"/>
          <w:jc w:val="center"/>
        </w:trPr>
        <w:tc>
          <w:tcPr>
            <w:tcW w:w="615" w:type="dxa"/>
            <w:vMerge w:val="continue"/>
          </w:tcPr>
          <w:p w14:paraId="28EC9E72">
            <w:pPr>
              <w:adjustRightInd w:val="0"/>
              <w:jc w:val="center"/>
              <w:rPr>
                <w:color w:val="auto"/>
                <w:kern w:val="0"/>
                <w:szCs w:val="21"/>
                <w:highlight w:val="none"/>
              </w:rPr>
            </w:pPr>
          </w:p>
        </w:tc>
        <w:tc>
          <w:tcPr>
            <w:tcW w:w="1013" w:type="dxa"/>
            <w:vMerge w:val="continue"/>
            <w:vAlign w:val="center"/>
          </w:tcPr>
          <w:p w14:paraId="18874FF0">
            <w:pPr>
              <w:adjustRightInd w:val="0"/>
              <w:jc w:val="center"/>
              <w:rPr>
                <w:color w:val="auto"/>
                <w:kern w:val="0"/>
                <w:szCs w:val="21"/>
                <w:highlight w:val="none"/>
              </w:rPr>
            </w:pPr>
          </w:p>
        </w:tc>
        <w:tc>
          <w:tcPr>
            <w:tcW w:w="1071" w:type="dxa"/>
            <w:vMerge w:val="continue"/>
            <w:vAlign w:val="center"/>
          </w:tcPr>
          <w:p w14:paraId="1A125978">
            <w:pPr>
              <w:adjustRightInd w:val="0"/>
              <w:jc w:val="center"/>
              <w:rPr>
                <w:color w:val="auto"/>
                <w:kern w:val="0"/>
                <w:szCs w:val="21"/>
                <w:highlight w:val="none"/>
              </w:rPr>
            </w:pPr>
          </w:p>
        </w:tc>
        <w:tc>
          <w:tcPr>
            <w:tcW w:w="1359" w:type="dxa"/>
            <w:vMerge w:val="continue"/>
            <w:vAlign w:val="center"/>
          </w:tcPr>
          <w:p w14:paraId="4CFF1BAC">
            <w:pPr>
              <w:adjustRightInd w:val="0"/>
              <w:jc w:val="center"/>
              <w:rPr>
                <w:color w:val="auto"/>
                <w:kern w:val="0"/>
                <w:szCs w:val="21"/>
                <w:highlight w:val="none"/>
              </w:rPr>
            </w:pPr>
          </w:p>
        </w:tc>
        <w:tc>
          <w:tcPr>
            <w:tcW w:w="947" w:type="dxa"/>
            <w:vMerge w:val="continue"/>
            <w:vAlign w:val="center"/>
          </w:tcPr>
          <w:p w14:paraId="71D56F78">
            <w:pPr>
              <w:adjustRightInd w:val="0"/>
              <w:jc w:val="center"/>
              <w:rPr>
                <w:color w:val="auto"/>
                <w:kern w:val="0"/>
                <w:szCs w:val="21"/>
                <w:highlight w:val="none"/>
              </w:rPr>
            </w:pPr>
          </w:p>
        </w:tc>
        <w:tc>
          <w:tcPr>
            <w:tcW w:w="756" w:type="dxa"/>
            <w:vMerge w:val="continue"/>
            <w:vAlign w:val="center"/>
          </w:tcPr>
          <w:p w14:paraId="24225491">
            <w:pPr>
              <w:adjustRightInd w:val="0"/>
              <w:jc w:val="center"/>
              <w:rPr>
                <w:color w:val="auto"/>
                <w:kern w:val="0"/>
                <w:szCs w:val="21"/>
                <w:highlight w:val="none"/>
              </w:rPr>
            </w:pPr>
          </w:p>
        </w:tc>
        <w:tc>
          <w:tcPr>
            <w:tcW w:w="754" w:type="dxa"/>
            <w:vAlign w:val="center"/>
          </w:tcPr>
          <w:p w14:paraId="54130FD2">
            <w:pPr>
              <w:adjustRightInd w:val="0"/>
              <w:jc w:val="center"/>
              <w:rPr>
                <w:color w:val="auto"/>
                <w:kern w:val="0"/>
                <w:szCs w:val="21"/>
                <w:highlight w:val="none"/>
              </w:rPr>
            </w:pPr>
            <w:r>
              <w:rPr>
                <w:color w:val="auto"/>
                <w:kern w:val="0"/>
                <w:szCs w:val="21"/>
                <w:highlight w:val="none"/>
              </w:rPr>
              <w:t>自有</w:t>
            </w:r>
          </w:p>
        </w:tc>
        <w:tc>
          <w:tcPr>
            <w:tcW w:w="702" w:type="dxa"/>
            <w:vAlign w:val="center"/>
          </w:tcPr>
          <w:p w14:paraId="7A52E0A0">
            <w:pPr>
              <w:adjustRightInd w:val="0"/>
              <w:jc w:val="center"/>
              <w:rPr>
                <w:color w:val="auto"/>
                <w:kern w:val="0"/>
                <w:szCs w:val="21"/>
                <w:highlight w:val="none"/>
              </w:rPr>
            </w:pPr>
            <w:r>
              <w:rPr>
                <w:color w:val="auto"/>
                <w:kern w:val="0"/>
                <w:szCs w:val="21"/>
                <w:highlight w:val="none"/>
              </w:rPr>
              <w:t>新购</w:t>
            </w:r>
          </w:p>
        </w:tc>
        <w:tc>
          <w:tcPr>
            <w:tcW w:w="755" w:type="dxa"/>
            <w:vAlign w:val="center"/>
          </w:tcPr>
          <w:p w14:paraId="58804532">
            <w:pPr>
              <w:adjustRightInd w:val="0"/>
              <w:jc w:val="center"/>
              <w:rPr>
                <w:color w:val="auto"/>
                <w:kern w:val="0"/>
                <w:szCs w:val="21"/>
                <w:highlight w:val="none"/>
              </w:rPr>
            </w:pPr>
            <w:r>
              <w:rPr>
                <w:color w:val="auto"/>
                <w:kern w:val="0"/>
                <w:szCs w:val="21"/>
                <w:highlight w:val="none"/>
              </w:rPr>
              <w:t>租赁</w:t>
            </w:r>
          </w:p>
        </w:tc>
        <w:tc>
          <w:tcPr>
            <w:tcW w:w="851" w:type="dxa"/>
            <w:vMerge w:val="continue"/>
            <w:vAlign w:val="center"/>
          </w:tcPr>
          <w:p w14:paraId="4BEB7EBB">
            <w:pPr>
              <w:adjustRightInd w:val="0"/>
              <w:spacing w:line="360" w:lineRule="auto"/>
              <w:jc w:val="center"/>
              <w:rPr>
                <w:color w:val="auto"/>
                <w:szCs w:val="21"/>
                <w:highlight w:val="none"/>
              </w:rPr>
            </w:pPr>
          </w:p>
        </w:tc>
      </w:tr>
      <w:tr w14:paraId="23C8F3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6B2AFF5">
            <w:pPr>
              <w:spacing w:line="360" w:lineRule="auto"/>
              <w:jc w:val="center"/>
              <w:rPr>
                <w:color w:val="auto"/>
                <w:szCs w:val="21"/>
                <w:highlight w:val="none"/>
              </w:rPr>
            </w:pPr>
          </w:p>
        </w:tc>
        <w:tc>
          <w:tcPr>
            <w:tcW w:w="1013" w:type="dxa"/>
            <w:vAlign w:val="center"/>
          </w:tcPr>
          <w:p w14:paraId="1014EB6D">
            <w:pPr>
              <w:spacing w:line="360" w:lineRule="auto"/>
              <w:jc w:val="center"/>
              <w:rPr>
                <w:color w:val="auto"/>
                <w:szCs w:val="21"/>
                <w:highlight w:val="none"/>
              </w:rPr>
            </w:pPr>
          </w:p>
        </w:tc>
        <w:tc>
          <w:tcPr>
            <w:tcW w:w="1071" w:type="dxa"/>
            <w:vAlign w:val="center"/>
          </w:tcPr>
          <w:p w14:paraId="0D986887">
            <w:pPr>
              <w:adjustRightInd w:val="0"/>
              <w:spacing w:line="360" w:lineRule="auto"/>
              <w:jc w:val="center"/>
              <w:rPr>
                <w:color w:val="auto"/>
                <w:szCs w:val="21"/>
                <w:highlight w:val="none"/>
              </w:rPr>
            </w:pPr>
          </w:p>
        </w:tc>
        <w:tc>
          <w:tcPr>
            <w:tcW w:w="1359" w:type="dxa"/>
            <w:vAlign w:val="center"/>
          </w:tcPr>
          <w:p w14:paraId="2AEEB1CD">
            <w:pPr>
              <w:adjustRightInd w:val="0"/>
              <w:spacing w:line="360" w:lineRule="auto"/>
              <w:jc w:val="center"/>
              <w:rPr>
                <w:color w:val="auto"/>
                <w:szCs w:val="21"/>
                <w:highlight w:val="none"/>
              </w:rPr>
            </w:pPr>
          </w:p>
        </w:tc>
        <w:tc>
          <w:tcPr>
            <w:tcW w:w="947" w:type="dxa"/>
            <w:vAlign w:val="center"/>
          </w:tcPr>
          <w:p w14:paraId="2227C623">
            <w:pPr>
              <w:adjustRightInd w:val="0"/>
              <w:spacing w:line="360" w:lineRule="auto"/>
              <w:jc w:val="center"/>
              <w:rPr>
                <w:color w:val="auto"/>
                <w:szCs w:val="21"/>
                <w:highlight w:val="none"/>
              </w:rPr>
            </w:pPr>
          </w:p>
        </w:tc>
        <w:tc>
          <w:tcPr>
            <w:tcW w:w="756" w:type="dxa"/>
            <w:vAlign w:val="center"/>
          </w:tcPr>
          <w:p w14:paraId="6AE8FD2F">
            <w:pPr>
              <w:adjustRightInd w:val="0"/>
              <w:spacing w:line="360" w:lineRule="auto"/>
              <w:jc w:val="center"/>
              <w:rPr>
                <w:color w:val="auto"/>
                <w:szCs w:val="21"/>
                <w:highlight w:val="none"/>
              </w:rPr>
            </w:pPr>
          </w:p>
        </w:tc>
        <w:tc>
          <w:tcPr>
            <w:tcW w:w="754" w:type="dxa"/>
            <w:vAlign w:val="center"/>
          </w:tcPr>
          <w:p w14:paraId="0745F76D">
            <w:pPr>
              <w:adjustRightInd w:val="0"/>
              <w:spacing w:line="360" w:lineRule="auto"/>
              <w:jc w:val="center"/>
              <w:rPr>
                <w:color w:val="auto"/>
                <w:szCs w:val="21"/>
                <w:highlight w:val="none"/>
              </w:rPr>
            </w:pPr>
          </w:p>
        </w:tc>
        <w:tc>
          <w:tcPr>
            <w:tcW w:w="702" w:type="dxa"/>
            <w:vAlign w:val="center"/>
          </w:tcPr>
          <w:p w14:paraId="2231D41C">
            <w:pPr>
              <w:adjustRightInd w:val="0"/>
              <w:spacing w:line="360" w:lineRule="auto"/>
              <w:jc w:val="center"/>
              <w:rPr>
                <w:color w:val="auto"/>
                <w:szCs w:val="21"/>
                <w:highlight w:val="none"/>
              </w:rPr>
            </w:pPr>
          </w:p>
        </w:tc>
        <w:tc>
          <w:tcPr>
            <w:tcW w:w="755" w:type="dxa"/>
            <w:vAlign w:val="center"/>
          </w:tcPr>
          <w:p w14:paraId="6CA302E5">
            <w:pPr>
              <w:adjustRightInd w:val="0"/>
              <w:spacing w:line="360" w:lineRule="auto"/>
              <w:jc w:val="center"/>
              <w:rPr>
                <w:color w:val="auto"/>
                <w:szCs w:val="21"/>
                <w:highlight w:val="none"/>
              </w:rPr>
            </w:pPr>
          </w:p>
        </w:tc>
        <w:tc>
          <w:tcPr>
            <w:tcW w:w="851" w:type="dxa"/>
            <w:vAlign w:val="center"/>
          </w:tcPr>
          <w:p w14:paraId="44B30B65">
            <w:pPr>
              <w:adjustRightInd w:val="0"/>
              <w:spacing w:line="360" w:lineRule="auto"/>
              <w:jc w:val="center"/>
              <w:rPr>
                <w:color w:val="auto"/>
                <w:szCs w:val="21"/>
                <w:highlight w:val="none"/>
              </w:rPr>
            </w:pPr>
          </w:p>
        </w:tc>
      </w:tr>
      <w:tr w14:paraId="1331EC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F2FF00B">
            <w:pPr>
              <w:spacing w:line="360" w:lineRule="auto"/>
              <w:jc w:val="center"/>
              <w:rPr>
                <w:color w:val="auto"/>
                <w:szCs w:val="21"/>
                <w:highlight w:val="none"/>
              </w:rPr>
            </w:pPr>
          </w:p>
        </w:tc>
        <w:tc>
          <w:tcPr>
            <w:tcW w:w="1013" w:type="dxa"/>
            <w:vAlign w:val="center"/>
          </w:tcPr>
          <w:p w14:paraId="1D18C677">
            <w:pPr>
              <w:spacing w:line="360" w:lineRule="auto"/>
              <w:jc w:val="center"/>
              <w:rPr>
                <w:color w:val="auto"/>
                <w:szCs w:val="21"/>
                <w:highlight w:val="none"/>
              </w:rPr>
            </w:pPr>
          </w:p>
        </w:tc>
        <w:tc>
          <w:tcPr>
            <w:tcW w:w="1071" w:type="dxa"/>
            <w:vAlign w:val="center"/>
          </w:tcPr>
          <w:p w14:paraId="5A828F6E">
            <w:pPr>
              <w:adjustRightInd w:val="0"/>
              <w:spacing w:line="360" w:lineRule="auto"/>
              <w:jc w:val="center"/>
              <w:rPr>
                <w:color w:val="auto"/>
                <w:szCs w:val="21"/>
                <w:highlight w:val="none"/>
              </w:rPr>
            </w:pPr>
          </w:p>
        </w:tc>
        <w:tc>
          <w:tcPr>
            <w:tcW w:w="1359" w:type="dxa"/>
            <w:vAlign w:val="center"/>
          </w:tcPr>
          <w:p w14:paraId="5DC564BF">
            <w:pPr>
              <w:adjustRightInd w:val="0"/>
              <w:spacing w:line="360" w:lineRule="auto"/>
              <w:jc w:val="center"/>
              <w:rPr>
                <w:color w:val="auto"/>
                <w:szCs w:val="21"/>
                <w:highlight w:val="none"/>
              </w:rPr>
            </w:pPr>
          </w:p>
        </w:tc>
        <w:tc>
          <w:tcPr>
            <w:tcW w:w="947" w:type="dxa"/>
            <w:vAlign w:val="center"/>
          </w:tcPr>
          <w:p w14:paraId="78B6E1E7">
            <w:pPr>
              <w:adjustRightInd w:val="0"/>
              <w:spacing w:line="360" w:lineRule="auto"/>
              <w:jc w:val="center"/>
              <w:rPr>
                <w:color w:val="auto"/>
                <w:szCs w:val="21"/>
                <w:highlight w:val="none"/>
              </w:rPr>
            </w:pPr>
          </w:p>
        </w:tc>
        <w:tc>
          <w:tcPr>
            <w:tcW w:w="756" w:type="dxa"/>
            <w:vAlign w:val="center"/>
          </w:tcPr>
          <w:p w14:paraId="1B05580D">
            <w:pPr>
              <w:adjustRightInd w:val="0"/>
              <w:spacing w:line="360" w:lineRule="auto"/>
              <w:jc w:val="center"/>
              <w:rPr>
                <w:color w:val="auto"/>
                <w:szCs w:val="21"/>
                <w:highlight w:val="none"/>
              </w:rPr>
            </w:pPr>
          </w:p>
        </w:tc>
        <w:tc>
          <w:tcPr>
            <w:tcW w:w="754" w:type="dxa"/>
            <w:vAlign w:val="center"/>
          </w:tcPr>
          <w:p w14:paraId="370FAB63">
            <w:pPr>
              <w:adjustRightInd w:val="0"/>
              <w:spacing w:line="360" w:lineRule="auto"/>
              <w:jc w:val="center"/>
              <w:rPr>
                <w:color w:val="auto"/>
                <w:szCs w:val="21"/>
                <w:highlight w:val="none"/>
              </w:rPr>
            </w:pPr>
          </w:p>
        </w:tc>
        <w:tc>
          <w:tcPr>
            <w:tcW w:w="702" w:type="dxa"/>
            <w:vAlign w:val="center"/>
          </w:tcPr>
          <w:p w14:paraId="6F2EC56F">
            <w:pPr>
              <w:adjustRightInd w:val="0"/>
              <w:spacing w:line="360" w:lineRule="auto"/>
              <w:jc w:val="center"/>
              <w:rPr>
                <w:color w:val="auto"/>
                <w:szCs w:val="21"/>
                <w:highlight w:val="none"/>
              </w:rPr>
            </w:pPr>
          </w:p>
        </w:tc>
        <w:tc>
          <w:tcPr>
            <w:tcW w:w="755" w:type="dxa"/>
            <w:vAlign w:val="center"/>
          </w:tcPr>
          <w:p w14:paraId="705936AC">
            <w:pPr>
              <w:adjustRightInd w:val="0"/>
              <w:spacing w:line="360" w:lineRule="auto"/>
              <w:jc w:val="center"/>
              <w:rPr>
                <w:color w:val="auto"/>
                <w:szCs w:val="21"/>
                <w:highlight w:val="none"/>
              </w:rPr>
            </w:pPr>
          </w:p>
        </w:tc>
        <w:tc>
          <w:tcPr>
            <w:tcW w:w="851" w:type="dxa"/>
            <w:vAlign w:val="center"/>
          </w:tcPr>
          <w:p w14:paraId="29934E5C">
            <w:pPr>
              <w:adjustRightInd w:val="0"/>
              <w:spacing w:line="360" w:lineRule="auto"/>
              <w:jc w:val="center"/>
              <w:rPr>
                <w:color w:val="auto"/>
                <w:szCs w:val="21"/>
                <w:highlight w:val="none"/>
              </w:rPr>
            </w:pPr>
          </w:p>
        </w:tc>
      </w:tr>
      <w:tr w14:paraId="2700DD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7D402783">
            <w:pPr>
              <w:spacing w:line="360" w:lineRule="auto"/>
              <w:jc w:val="center"/>
              <w:rPr>
                <w:color w:val="auto"/>
                <w:szCs w:val="21"/>
                <w:highlight w:val="none"/>
              </w:rPr>
            </w:pPr>
          </w:p>
        </w:tc>
        <w:tc>
          <w:tcPr>
            <w:tcW w:w="1013" w:type="dxa"/>
            <w:vAlign w:val="center"/>
          </w:tcPr>
          <w:p w14:paraId="2138C082">
            <w:pPr>
              <w:spacing w:line="360" w:lineRule="auto"/>
              <w:jc w:val="center"/>
              <w:rPr>
                <w:color w:val="auto"/>
                <w:szCs w:val="21"/>
                <w:highlight w:val="none"/>
              </w:rPr>
            </w:pPr>
          </w:p>
        </w:tc>
        <w:tc>
          <w:tcPr>
            <w:tcW w:w="1071" w:type="dxa"/>
            <w:vAlign w:val="center"/>
          </w:tcPr>
          <w:p w14:paraId="193DEEB4">
            <w:pPr>
              <w:spacing w:line="360" w:lineRule="auto"/>
              <w:jc w:val="center"/>
              <w:rPr>
                <w:color w:val="auto"/>
                <w:szCs w:val="21"/>
                <w:highlight w:val="none"/>
              </w:rPr>
            </w:pPr>
          </w:p>
        </w:tc>
        <w:tc>
          <w:tcPr>
            <w:tcW w:w="1359" w:type="dxa"/>
            <w:vAlign w:val="center"/>
          </w:tcPr>
          <w:p w14:paraId="77FB410F">
            <w:pPr>
              <w:spacing w:line="360" w:lineRule="auto"/>
              <w:jc w:val="center"/>
              <w:rPr>
                <w:color w:val="auto"/>
                <w:szCs w:val="21"/>
                <w:highlight w:val="none"/>
              </w:rPr>
            </w:pPr>
          </w:p>
        </w:tc>
        <w:tc>
          <w:tcPr>
            <w:tcW w:w="947" w:type="dxa"/>
            <w:vAlign w:val="center"/>
          </w:tcPr>
          <w:p w14:paraId="7CFBDC33">
            <w:pPr>
              <w:spacing w:line="360" w:lineRule="auto"/>
              <w:jc w:val="center"/>
              <w:rPr>
                <w:color w:val="auto"/>
                <w:szCs w:val="21"/>
                <w:highlight w:val="none"/>
              </w:rPr>
            </w:pPr>
          </w:p>
        </w:tc>
        <w:tc>
          <w:tcPr>
            <w:tcW w:w="756" w:type="dxa"/>
            <w:vAlign w:val="center"/>
          </w:tcPr>
          <w:p w14:paraId="653B8530">
            <w:pPr>
              <w:spacing w:line="360" w:lineRule="auto"/>
              <w:jc w:val="center"/>
              <w:rPr>
                <w:color w:val="auto"/>
                <w:szCs w:val="21"/>
                <w:highlight w:val="none"/>
              </w:rPr>
            </w:pPr>
          </w:p>
        </w:tc>
        <w:tc>
          <w:tcPr>
            <w:tcW w:w="754" w:type="dxa"/>
            <w:vAlign w:val="center"/>
          </w:tcPr>
          <w:p w14:paraId="37717B99">
            <w:pPr>
              <w:spacing w:line="360" w:lineRule="auto"/>
              <w:jc w:val="center"/>
              <w:rPr>
                <w:color w:val="auto"/>
                <w:szCs w:val="21"/>
                <w:highlight w:val="none"/>
              </w:rPr>
            </w:pPr>
          </w:p>
        </w:tc>
        <w:tc>
          <w:tcPr>
            <w:tcW w:w="702" w:type="dxa"/>
            <w:vAlign w:val="center"/>
          </w:tcPr>
          <w:p w14:paraId="179F6B69">
            <w:pPr>
              <w:spacing w:line="360" w:lineRule="auto"/>
              <w:jc w:val="center"/>
              <w:rPr>
                <w:color w:val="auto"/>
                <w:szCs w:val="21"/>
                <w:highlight w:val="none"/>
              </w:rPr>
            </w:pPr>
          </w:p>
        </w:tc>
        <w:tc>
          <w:tcPr>
            <w:tcW w:w="755" w:type="dxa"/>
            <w:vAlign w:val="center"/>
          </w:tcPr>
          <w:p w14:paraId="59E851EA">
            <w:pPr>
              <w:spacing w:line="360" w:lineRule="auto"/>
              <w:jc w:val="center"/>
              <w:rPr>
                <w:color w:val="auto"/>
                <w:szCs w:val="21"/>
                <w:highlight w:val="none"/>
              </w:rPr>
            </w:pPr>
          </w:p>
        </w:tc>
        <w:tc>
          <w:tcPr>
            <w:tcW w:w="851" w:type="dxa"/>
            <w:vAlign w:val="center"/>
          </w:tcPr>
          <w:p w14:paraId="409B75BE">
            <w:pPr>
              <w:spacing w:line="360" w:lineRule="auto"/>
              <w:jc w:val="center"/>
              <w:rPr>
                <w:color w:val="auto"/>
                <w:szCs w:val="21"/>
                <w:highlight w:val="none"/>
              </w:rPr>
            </w:pPr>
          </w:p>
        </w:tc>
      </w:tr>
      <w:tr w14:paraId="19CDD9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74DC5A0">
            <w:pPr>
              <w:spacing w:line="360" w:lineRule="auto"/>
              <w:jc w:val="center"/>
              <w:rPr>
                <w:color w:val="auto"/>
                <w:szCs w:val="21"/>
                <w:highlight w:val="none"/>
              </w:rPr>
            </w:pPr>
          </w:p>
        </w:tc>
        <w:tc>
          <w:tcPr>
            <w:tcW w:w="1013" w:type="dxa"/>
            <w:vAlign w:val="center"/>
          </w:tcPr>
          <w:p w14:paraId="2DA37BBE">
            <w:pPr>
              <w:spacing w:line="360" w:lineRule="auto"/>
              <w:jc w:val="center"/>
              <w:rPr>
                <w:color w:val="auto"/>
                <w:szCs w:val="21"/>
                <w:highlight w:val="none"/>
              </w:rPr>
            </w:pPr>
          </w:p>
        </w:tc>
        <w:tc>
          <w:tcPr>
            <w:tcW w:w="1071" w:type="dxa"/>
            <w:vAlign w:val="center"/>
          </w:tcPr>
          <w:p w14:paraId="73CF0216">
            <w:pPr>
              <w:adjustRightInd w:val="0"/>
              <w:spacing w:line="360" w:lineRule="auto"/>
              <w:jc w:val="center"/>
              <w:rPr>
                <w:color w:val="auto"/>
                <w:szCs w:val="21"/>
                <w:highlight w:val="none"/>
              </w:rPr>
            </w:pPr>
          </w:p>
        </w:tc>
        <w:tc>
          <w:tcPr>
            <w:tcW w:w="1359" w:type="dxa"/>
            <w:vAlign w:val="center"/>
          </w:tcPr>
          <w:p w14:paraId="678FEC91">
            <w:pPr>
              <w:adjustRightInd w:val="0"/>
              <w:spacing w:line="360" w:lineRule="auto"/>
              <w:jc w:val="center"/>
              <w:rPr>
                <w:color w:val="auto"/>
                <w:szCs w:val="21"/>
                <w:highlight w:val="none"/>
              </w:rPr>
            </w:pPr>
          </w:p>
        </w:tc>
        <w:tc>
          <w:tcPr>
            <w:tcW w:w="947" w:type="dxa"/>
            <w:vAlign w:val="center"/>
          </w:tcPr>
          <w:p w14:paraId="17736A25">
            <w:pPr>
              <w:adjustRightInd w:val="0"/>
              <w:spacing w:line="360" w:lineRule="auto"/>
              <w:jc w:val="center"/>
              <w:rPr>
                <w:color w:val="auto"/>
                <w:szCs w:val="21"/>
                <w:highlight w:val="none"/>
              </w:rPr>
            </w:pPr>
          </w:p>
        </w:tc>
        <w:tc>
          <w:tcPr>
            <w:tcW w:w="756" w:type="dxa"/>
            <w:vAlign w:val="center"/>
          </w:tcPr>
          <w:p w14:paraId="41BBBD65">
            <w:pPr>
              <w:adjustRightInd w:val="0"/>
              <w:spacing w:line="360" w:lineRule="auto"/>
              <w:jc w:val="center"/>
              <w:rPr>
                <w:color w:val="auto"/>
                <w:szCs w:val="21"/>
                <w:highlight w:val="none"/>
              </w:rPr>
            </w:pPr>
          </w:p>
        </w:tc>
        <w:tc>
          <w:tcPr>
            <w:tcW w:w="754" w:type="dxa"/>
            <w:vAlign w:val="center"/>
          </w:tcPr>
          <w:p w14:paraId="5A5DAF1F">
            <w:pPr>
              <w:adjustRightInd w:val="0"/>
              <w:spacing w:line="360" w:lineRule="auto"/>
              <w:jc w:val="center"/>
              <w:rPr>
                <w:color w:val="auto"/>
                <w:szCs w:val="21"/>
                <w:highlight w:val="none"/>
              </w:rPr>
            </w:pPr>
          </w:p>
        </w:tc>
        <w:tc>
          <w:tcPr>
            <w:tcW w:w="702" w:type="dxa"/>
            <w:vAlign w:val="center"/>
          </w:tcPr>
          <w:p w14:paraId="57141386">
            <w:pPr>
              <w:adjustRightInd w:val="0"/>
              <w:spacing w:line="360" w:lineRule="auto"/>
              <w:jc w:val="center"/>
              <w:rPr>
                <w:color w:val="auto"/>
                <w:szCs w:val="21"/>
                <w:highlight w:val="none"/>
              </w:rPr>
            </w:pPr>
          </w:p>
        </w:tc>
        <w:tc>
          <w:tcPr>
            <w:tcW w:w="755" w:type="dxa"/>
            <w:vAlign w:val="center"/>
          </w:tcPr>
          <w:p w14:paraId="383DDEA9">
            <w:pPr>
              <w:adjustRightInd w:val="0"/>
              <w:spacing w:line="360" w:lineRule="auto"/>
              <w:jc w:val="center"/>
              <w:rPr>
                <w:color w:val="auto"/>
                <w:szCs w:val="21"/>
                <w:highlight w:val="none"/>
              </w:rPr>
            </w:pPr>
          </w:p>
        </w:tc>
        <w:tc>
          <w:tcPr>
            <w:tcW w:w="851" w:type="dxa"/>
            <w:vAlign w:val="center"/>
          </w:tcPr>
          <w:p w14:paraId="3893D136">
            <w:pPr>
              <w:adjustRightInd w:val="0"/>
              <w:spacing w:line="360" w:lineRule="auto"/>
              <w:jc w:val="center"/>
              <w:rPr>
                <w:color w:val="auto"/>
                <w:szCs w:val="21"/>
                <w:highlight w:val="none"/>
              </w:rPr>
            </w:pPr>
          </w:p>
        </w:tc>
      </w:tr>
      <w:tr w14:paraId="42A8707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092F87F0">
            <w:pPr>
              <w:spacing w:line="360" w:lineRule="auto"/>
              <w:jc w:val="center"/>
              <w:rPr>
                <w:color w:val="auto"/>
                <w:szCs w:val="21"/>
                <w:highlight w:val="none"/>
              </w:rPr>
            </w:pPr>
          </w:p>
        </w:tc>
        <w:tc>
          <w:tcPr>
            <w:tcW w:w="1013" w:type="dxa"/>
            <w:vAlign w:val="center"/>
          </w:tcPr>
          <w:p w14:paraId="7F7EC64B">
            <w:pPr>
              <w:spacing w:line="360" w:lineRule="auto"/>
              <w:jc w:val="center"/>
              <w:rPr>
                <w:color w:val="auto"/>
                <w:szCs w:val="21"/>
                <w:highlight w:val="none"/>
              </w:rPr>
            </w:pPr>
          </w:p>
        </w:tc>
        <w:tc>
          <w:tcPr>
            <w:tcW w:w="1071" w:type="dxa"/>
            <w:vAlign w:val="center"/>
          </w:tcPr>
          <w:p w14:paraId="3D8A2FB8">
            <w:pPr>
              <w:adjustRightInd w:val="0"/>
              <w:spacing w:line="360" w:lineRule="auto"/>
              <w:jc w:val="center"/>
              <w:rPr>
                <w:color w:val="auto"/>
                <w:szCs w:val="21"/>
                <w:highlight w:val="none"/>
              </w:rPr>
            </w:pPr>
          </w:p>
        </w:tc>
        <w:tc>
          <w:tcPr>
            <w:tcW w:w="1359" w:type="dxa"/>
            <w:vAlign w:val="center"/>
          </w:tcPr>
          <w:p w14:paraId="79558513">
            <w:pPr>
              <w:adjustRightInd w:val="0"/>
              <w:spacing w:line="360" w:lineRule="auto"/>
              <w:jc w:val="center"/>
              <w:rPr>
                <w:color w:val="auto"/>
                <w:szCs w:val="21"/>
                <w:highlight w:val="none"/>
              </w:rPr>
            </w:pPr>
          </w:p>
        </w:tc>
        <w:tc>
          <w:tcPr>
            <w:tcW w:w="947" w:type="dxa"/>
            <w:vAlign w:val="center"/>
          </w:tcPr>
          <w:p w14:paraId="60DF24EF">
            <w:pPr>
              <w:adjustRightInd w:val="0"/>
              <w:spacing w:line="360" w:lineRule="auto"/>
              <w:jc w:val="center"/>
              <w:rPr>
                <w:color w:val="auto"/>
                <w:szCs w:val="21"/>
                <w:highlight w:val="none"/>
              </w:rPr>
            </w:pPr>
          </w:p>
        </w:tc>
        <w:tc>
          <w:tcPr>
            <w:tcW w:w="756" w:type="dxa"/>
            <w:vAlign w:val="center"/>
          </w:tcPr>
          <w:p w14:paraId="6B98C88D">
            <w:pPr>
              <w:adjustRightInd w:val="0"/>
              <w:spacing w:line="360" w:lineRule="auto"/>
              <w:jc w:val="center"/>
              <w:rPr>
                <w:color w:val="auto"/>
                <w:szCs w:val="21"/>
                <w:highlight w:val="none"/>
              </w:rPr>
            </w:pPr>
          </w:p>
        </w:tc>
        <w:tc>
          <w:tcPr>
            <w:tcW w:w="754" w:type="dxa"/>
            <w:vAlign w:val="center"/>
          </w:tcPr>
          <w:p w14:paraId="5F52C05B">
            <w:pPr>
              <w:adjustRightInd w:val="0"/>
              <w:spacing w:line="360" w:lineRule="auto"/>
              <w:jc w:val="center"/>
              <w:rPr>
                <w:color w:val="auto"/>
                <w:szCs w:val="21"/>
                <w:highlight w:val="none"/>
              </w:rPr>
            </w:pPr>
          </w:p>
        </w:tc>
        <w:tc>
          <w:tcPr>
            <w:tcW w:w="702" w:type="dxa"/>
            <w:vAlign w:val="center"/>
          </w:tcPr>
          <w:p w14:paraId="04AA5C12">
            <w:pPr>
              <w:adjustRightInd w:val="0"/>
              <w:spacing w:line="360" w:lineRule="auto"/>
              <w:jc w:val="center"/>
              <w:rPr>
                <w:color w:val="auto"/>
                <w:szCs w:val="21"/>
                <w:highlight w:val="none"/>
              </w:rPr>
            </w:pPr>
          </w:p>
        </w:tc>
        <w:tc>
          <w:tcPr>
            <w:tcW w:w="755" w:type="dxa"/>
            <w:vAlign w:val="center"/>
          </w:tcPr>
          <w:p w14:paraId="169ADF6E">
            <w:pPr>
              <w:adjustRightInd w:val="0"/>
              <w:spacing w:line="360" w:lineRule="auto"/>
              <w:jc w:val="center"/>
              <w:rPr>
                <w:color w:val="auto"/>
                <w:szCs w:val="21"/>
                <w:highlight w:val="none"/>
              </w:rPr>
            </w:pPr>
          </w:p>
        </w:tc>
        <w:tc>
          <w:tcPr>
            <w:tcW w:w="851" w:type="dxa"/>
            <w:vAlign w:val="center"/>
          </w:tcPr>
          <w:p w14:paraId="4E7A3DFA">
            <w:pPr>
              <w:adjustRightInd w:val="0"/>
              <w:spacing w:line="360" w:lineRule="auto"/>
              <w:jc w:val="center"/>
              <w:rPr>
                <w:color w:val="auto"/>
                <w:szCs w:val="21"/>
                <w:highlight w:val="none"/>
              </w:rPr>
            </w:pPr>
          </w:p>
        </w:tc>
      </w:tr>
      <w:tr w14:paraId="6A4E91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2EE89F9">
            <w:pPr>
              <w:adjustRightInd w:val="0"/>
              <w:spacing w:line="360" w:lineRule="auto"/>
              <w:jc w:val="center"/>
              <w:rPr>
                <w:color w:val="auto"/>
                <w:szCs w:val="21"/>
                <w:highlight w:val="none"/>
              </w:rPr>
            </w:pPr>
          </w:p>
        </w:tc>
        <w:tc>
          <w:tcPr>
            <w:tcW w:w="1013" w:type="dxa"/>
            <w:vAlign w:val="center"/>
          </w:tcPr>
          <w:p w14:paraId="242FF704">
            <w:pPr>
              <w:adjustRightInd w:val="0"/>
              <w:spacing w:line="360" w:lineRule="auto"/>
              <w:jc w:val="center"/>
              <w:rPr>
                <w:color w:val="auto"/>
                <w:szCs w:val="21"/>
                <w:highlight w:val="none"/>
              </w:rPr>
            </w:pPr>
          </w:p>
        </w:tc>
        <w:tc>
          <w:tcPr>
            <w:tcW w:w="1071" w:type="dxa"/>
            <w:vAlign w:val="center"/>
          </w:tcPr>
          <w:p w14:paraId="5F241AF6">
            <w:pPr>
              <w:adjustRightInd w:val="0"/>
              <w:spacing w:line="360" w:lineRule="auto"/>
              <w:jc w:val="center"/>
              <w:rPr>
                <w:color w:val="auto"/>
                <w:szCs w:val="21"/>
                <w:highlight w:val="none"/>
              </w:rPr>
            </w:pPr>
          </w:p>
        </w:tc>
        <w:tc>
          <w:tcPr>
            <w:tcW w:w="1359" w:type="dxa"/>
            <w:vAlign w:val="center"/>
          </w:tcPr>
          <w:p w14:paraId="072B264A">
            <w:pPr>
              <w:adjustRightInd w:val="0"/>
              <w:spacing w:line="360" w:lineRule="auto"/>
              <w:jc w:val="center"/>
              <w:rPr>
                <w:color w:val="auto"/>
                <w:szCs w:val="21"/>
                <w:highlight w:val="none"/>
              </w:rPr>
            </w:pPr>
          </w:p>
        </w:tc>
        <w:tc>
          <w:tcPr>
            <w:tcW w:w="947" w:type="dxa"/>
            <w:vAlign w:val="center"/>
          </w:tcPr>
          <w:p w14:paraId="1D688CF9">
            <w:pPr>
              <w:adjustRightInd w:val="0"/>
              <w:spacing w:line="360" w:lineRule="auto"/>
              <w:jc w:val="center"/>
              <w:rPr>
                <w:color w:val="auto"/>
                <w:szCs w:val="21"/>
                <w:highlight w:val="none"/>
              </w:rPr>
            </w:pPr>
          </w:p>
        </w:tc>
        <w:tc>
          <w:tcPr>
            <w:tcW w:w="756" w:type="dxa"/>
            <w:vAlign w:val="center"/>
          </w:tcPr>
          <w:p w14:paraId="4EF4E6C0">
            <w:pPr>
              <w:adjustRightInd w:val="0"/>
              <w:spacing w:line="360" w:lineRule="auto"/>
              <w:jc w:val="center"/>
              <w:rPr>
                <w:color w:val="auto"/>
                <w:szCs w:val="21"/>
                <w:highlight w:val="none"/>
              </w:rPr>
            </w:pPr>
          </w:p>
        </w:tc>
        <w:tc>
          <w:tcPr>
            <w:tcW w:w="754" w:type="dxa"/>
            <w:vAlign w:val="center"/>
          </w:tcPr>
          <w:p w14:paraId="244539BB">
            <w:pPr>
              <w:adjustRightInd w:val="0"/>
              <w:spacing w:line="360" w:lineRule="auto"/>
              <w:jc w:val="center"/>
              <w:rPr>
                <w:color w:val="auto"/>
                <w:szCs w:val="21"/>
                <w:highlight w:val="none"/>
              </w:rPr>
            </w:pPr>
          </w:p>
        </w:tc>
        <w:tc>
          <w:tcPr>
            <w:tcW w:w="702" w:type="dxa"/>
            <w:vAlign w:val="center"/>
          </w:tcPr>
          <w:p w14:paraId="0EC47694">
            <w:pPr>
              <w:adjustRightInd w:val="0"/>
              <w:spacing w:line="360" w:lineRule="auto"/>
              <w:jc w:val="center"/>
              <w:rPr>
                <w:color w:val="auto"/>
                <w:szCs w:val="21"/>
                <w:highlight w:val="none"/>
              </w:rPr>
            </w:pPr>
          </w:p>
        </w:tc>
        <w:tc>
          <w:tcPr>
            <w:tcW w:w="755" w:type="dxa"/>
            <w:vAlign w:val="center"/>
          </w:tcPr>
          <w:p w14:paraId="2205D5B9">
            <w:pPr>
              <w:adjustRightInd w:val="0"/>
              <w:spacing w:line="360" w:lineRule="auto"/>
              <w:jc w:val="center"/>
              <w:rPr>
                <w:color w:val="auto"/>
                <w:szCs w:val="21"/>
                <w:highlight w:val="none"/>
              </w:rPr>
            </w:pPr>
          </w:p>
        </w:tc>
        <w:tc>
          <w:tcPr>
            <w:tcW w:w="851" w:type="dxa"/>
            <w:vAlign w:val="center"/>
          </w:tcPr>
          <w:p w14:paraId="54E4D866">
            <w:pPr>
              <w:adjustRightInd w:val="0"/>
              <w:spacing w:line="360" w:lineRule="auto"/>
              <w:jc w:val="center"/>
              <w:rPr>
                <w:color w:val="auto"/>
                <w:szCs w:val="21"/>
                <w:highlight w:val="none"/>
              </w:rPr>
            </w:pPr>
          </w:p>
        </w:tc>
      </w:tr>
      <w:tr w14:paraId="7EEB7C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633A64A4">
            <w:pPr>
              <w:adjustRightInd w:val="0"/>
              <w:spacing w:line="360" w:lineRule="auto"/>
              <w:jc w:val="center"/>
              <w:rPr>
                <w:color w:val="auto"/>
                <w:szCs w:val="21"/>
                <w:highlight w:val="none"/>
              </w:rPr>
            </w:pPr>
          </w:p>
        </w:tc>
        <w:tc>
          <w:tcPr>
            <w:tcW w:w="1013" w:type="dxa"/>
            <w:vAlign w:val="center"/>
          </w:tcPr>
          <w:p w14:paraId="5233C503">
            <w:pPr>
              <w:adjustRightInd w:val="0"/>
              <w:spacing w:line="360" w:lineRule="auto"/>
              <w:jc w:val="center"/>
              <w:rPr>
                <w:color w:val="auto"/>
                <w:szCs w:val="21"/>
                <w:highlight w:val="none"/>
              </w:rPr>
            </w:pPr>
          </w:p>
        </w:tc>
        <w:tc>
          <w:tcPr>
            <w:tcW w:w="1071" w:type="dxa"/>
            <w:vAlign w:val="center"/>
          </w:tcPr>
          <w:p w14:paraId="2719F156">
            <w:pPr>
              <w:adjustRightInd w:val="0"/>
              <w:spacing w:line="360" w:lineRule="auto"/>
              <w:jc w:val="center"/>
              <w:rPr>
                <w:color w:val="auto"/>
                <w:szCs w:val="21"/>
                <w:highlight w:val="none"/>
              </w:rPr>
            </w:pPr>
          </w:p>
        </w:tc>
        <w:tc>
          <w:tcPr>
            <w:tcW w:w="1359" w:type="dxa"/>
            <w:vAlign w:val="center"/>
          </w:tcPr>
          <w:p w14:paraId="294C43A4">
            <w:pPr>
              <w:adjustRightInd w:val="0"/>
              <w:spacing w:line="360" w:lineRule="auto"/>
              <w:jc w:val="center"/>
              <w:rPr>
                <w:color w:val="auto"/>
                <w:szCs w:val="21"/>
                <w:highlight w:val="none"/>
              </w:rPr>
            </w:pPr>
          </w:p>
        </w:tc>
        <w:tc>
          <w:tcPr>
            <w:tcW w:w="947" w:type="dxa"/>
            <w:vAlign w:val="center"/>
          </w:tcPr>
          <w:p w14:paraId="6DCBA46C">
            <w:pPr>
              <w:adjustRightInd w:val="0"/>
              <w:spacing w:line="360" w:lineRule="auto"/>
              <w:jc w:val="center"/>
              <w:rPr>
                <w:color w:val="auto"/>
                <w:szCs w:val="21"/>
                <w:highlight w:val="none"/>
              </w:rPr>
            </w:pPr>
          </w:p>
        </w:tc>
        <w:tc>
          <w:tcPr>
            <w:tcW w:w="756" w:type="dxa"/>
            <w:vAlign w:val="center"/>
          </w:tcPr>
          <w:p w14:paraId="386FA5C4">
            <w:pPr>
              <w:adjustRightInd w:val="0"/>
              <w:spacing w:line="360" w:lineRule="auto"/>
              <w:jc w:val="center"/>
              <w:rPr>
                <w:color w:val="auto"/>
                <w:szCs w:val="21"/>
                <w:highlight w:val="none"/>
              </w:rPr>
            </w:pPr>
          </w:p>
        </w:tc>
        <w:tc>
          <w:tcPr>
            <w:tcW w:w="754" w:type="dxa"/>
            <w:vAlign w:val="center"/>
          </w:tcPr>
          <w:p w14:paraId="2E3724A6">
            <w:pPr>
              <w:adjustRightInd w:val="0"/>
              <w:spacing w:line="360" w:lineRule="auto"/>
              <w:jc w:val="center"/>
              <w:rPr>
                <w:color w:val="auto"/>
                <w:szCs w:val="21"/>
                <w:highlight w:val="none"/>
              </w:rPr>
            </w:pPr>
          </w:p>
        </w:tc>
        <w:tc>
          <w:tcPr>
            <w:tcW w:w="702" w:type="dxa"/>
            <w:vAlign w:val="center"/>
          </w:tcPr>
          <w:p w14:paraId="1485C2FB">
            <w:pPr>
              <w:adjustRightInd w:val="0"/>
              <w:spacing w:line="360" w:lineRule="auto"/>
              <w:jc w:val="center"/>
              <w:rPr>
                <w:color w:val="auto"/>
                <w:szCs w:val="21"/>
                <w:highlight w:val="none"/>
              </w:rPr>
            </w:pPr>
          </w:p>
        </w:tc>
        <w:tc>
          <w:tcPr>
            <w:tcW w:w="755" w:type="dxa"/>
            <w:vAlign w:val="center"/>
          </w:tcPr>
          <w:p w14:paraId="6A95E661">
            <w:pPr>
              <w:adjustRightInd w:val="0"/>
              <w:spacing w:line="360" w:lineRule="auto"/>
              <w:jc w:val="center"/>
              <w:rPr>
                <w:color w:val="auto"/>
                <w:szCs w:val="21"/>
                <w:highlight w:val="none"/>
              </w:rPr>
            </w:pPr>
          </w:p>
        </w:tc>
        <w:tc>
          <w:tcPr>
            <w:tcW w:w="851" w:type="dxa"/>
            <w:vAlign w:val="center"/>
          </w:tcPr>
          <w:p w14:paraId="13B41738">
            <w:pPr>
              <w:adjustRightInd w:val="0"/>
              <w:spacing w:line="360" w:lineRule="auto"/>
              <w:jc w:val="center"/>
              <w:rPr>
                <w:color w:val="auto"/>
                <w:szCs w:val="21"/>
                <w:highlight w:val="none"/>
              </w:rPr>
            </w:pPr>
          </w:p>
        </w:tc>
      </w:tr>
      <w:tr w14:paraId="05D4BD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2B0523ED">
            <w:pPr>
              <w:adjustRightInd w:val="0"/>
              <w:spacing w:line="360" w:lineRule="auto"/>
              <w:jc w:val="center"/>
              <w:rPr>
                <w:color w:val="auto"/>
                <w:szCs w:val="21"/>
                <w:highlight w:val="none"/>
              </w:rPr>
            </w:pPr>
          </w:p>
        </w:tc>
        <w:tc>
          <w:tcPr>
            <w:tcW w:w="1013" w:type="dxa"/>
            <w:vAlign w:val="center"/>
          </w:tcPr>
          <w:p w14:paraId="7F400858">
            <w:pPr>
              <w:adjustRightInd w:val="0"/>
              <w:spacing w:line="360" w:lineRule="auto"/>
              <w:jc w:val="center"/>
              <w:rPr>
                <w:color w:val="auto"/>
                <w:szCs w:val="21"/>
                <w:highlight w:val="none"/>
              </w:rPr>
            </w:pPr>
          </w:p>
        </w:tc>
        <w:tc>
          <w:tcPr>
            <w:tcW w:w="1071" w:type="dxa"/>
            <w:vAlign w:val="center"/>
          </w:tcPr>
          <w:p w14:paraId="568D2296">
            <w:pPr>
              <w:adjustRightInd w:val="0"/>
              <w:spacing w:line="360" w:lineRule="auto"/>
              <w:jc w:val="center"/>
              <w:rPr>
                <w:color w:val="auto"/>
                <w:szCs w:val="21"/>
                <w:highlight w:val="none"/>
              </w:rPr>
            </w:pPr>
          </w:p>
        </w:tc>
        <w:tc>
          <w:tcPr>
            <w:tcW w:w="1359" w:type="dxa"/>
            <w:vAlign w:val="center"/>
          </w:tcPr>
          <w:p w14:paraId="7F74AFD4">
            <w:pPr>
              <w:adjustRightInd w:val="0"/>
              <w:spacing w:line="360" w:lineRule="auto"/>
              <w:jc w:val="center"/>
              <w:rPr>
                <w:color w:val="auto"/>
                <w:szCs w:val="21"/>
                <w:highlight w:val="none"/>
              </w:rPr>
            </w:pPr>
          </w:p>
        </w:tc>
        <w:tc>
          <w:tcPr>
            <w:tcW w:w="947" w:type="dxa"/>
            <w:vAlign w:val="center"/>
          </w:tcPr>
          <w:p w14:paraId="3A8A41F7">
            <w:pPr>
              <w:adjustRightInd w:val="0"/>
              <w:spacing w:line="360" w:lineRule="auto"/>
              <w:jc w:val="center"/>
              <w:rPr>
                <w:color w:val="auto"/>
                <w:szCs w:val="21"/>
                <w:highlight w:val="none"/>
              </w:rPr>
            </w:pPr>
          </w:p>
        </w:tc>
        <w:tc>
          <w:tcPr>
            <w:tcW w:w="756" w:type="dxa"/>
            <w:vAlign w:val="center"/>
          </w:tcPr>
          <w:p w14:paraId="65117493">
            <w:pPr>
              <w:adjustRightInd w:val="0"/>
              <w:spacing w:line="360" w:lineRule="auto"/>
              <w:jc w:val="center"/>
              <w:rPr>
                <w:color w:val="auto"/>
                <w:szCs w:val="21"/>
                <w:highlight w:val="none"/>
              </w:rPr>
            </w:pPr>
          </w:p>
        </w:tc>
        <w:tc>
          <w:tcPr>
            <w:tcW w:w="754" w:type="dxa"/>
            <w:vAlign w:val="center"/>
          </w:tcPr>
          <w:p w14:paraId="69B20F0E">
            <w:pPr>
              <w:adjustRightInd w:val="0"/>
              <w:spacing w:line="360" w:lineRule="auto"/>
              <w:jc w:val="center"/>
              <w:rPr>
                <w:color w:val="auto"/>
                <w:szCs w:val="21"/>
                <w:highlight w:val="none"/>
              </w:rPr>
            </w:pPr>
          </w:p>
        </w:tc>
        <w:tc>
          <w:tcPr>
            <w:tcW w:w="702" w:type="dxa"/>
            <w:vAlign w:val="center"/>
          </w:tcPr>
          <w:p w14:paraId="6EF87C40">
            <w:pPr>
              <w:adjustRightInd w:val="0"/>
              <w:spacing w:line="360" w:lineRule="auto"/>
              <w:jc w:val="center"/>
              <w:rPr>
                <w:color w:val="auto"/>
                <w:szCs w:val="21"/>
                <w:highlight w:val="none"/>
              </w:rPr>
            </w:pPr>
          </w:p>
        </w:tc>
        <w:tc>
          <w:tcPr>
            <w:tcW w:w="755" w:type="dxa"/>
            <w:vAlign w:val="center"/>
          </w:tcPr>
          <w:p w14:paraId="4DC3A03B">
            <w:pPr>
              <w:adjustRightInd w:val="0"/>
              <w:spacing w:line="360" w:lineRule="auto"/>
              <w:jc w:val="center"/>
              <w:rPr>
                <w:color w:val="auto"/>
                <w:szCs w:val="21"/>
                <w:highlight w:val="none"/>
              </w:rPr>
            </w:pPr>
          </w:p>
        </w:tc>
        <w:tc>
          <w:tcPr>
            <w:tcW w:w="851" w:type="dxa"/>
            <w:vAlign w:val="center"/>
          </w:tcPr>
          <w:p w14:paraId="64E6D05F">
            <w:pPr>
              <w:adjustRightInd w:val="0"/>
              <w:spacing w:line="360" w:lineRule="auto"/>
              <w:jc w:val="center"/>
              <w:rPr>
                <w:color w:val="auto"/>
                <w:szCs w:val="21"/>
                <w:highlight w:val="none"/>
              </w:rPr>
            </w:pPr>
          </w:p>
        </w:tc>
      </w:tr>
      <w:tr w14:paraId="2312F6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4D7C9425">
            <w:pPr>
              <w:adjustRightInd w:val="0"/>
              <w:spacing w:line="360" w:lineRule="auto"/>
              <w:jc w:val="center"/>
              <w:rPr>
                <w:color w:val="auto"/>
                <w:szCs w:val="21"/>
                <w:highlight w:val="none"/>
              </w:rPr>
            </w:pPr>
          </w:p>
        </w:tc>
        <w:tc>
          <w:tcPr>
            <w:tcW w:w="1013" w:type="dxa"/>
            <w:vAlign w:val="center"/>
          </w:tcPr>
          <w:p w14:paraId="3F4C3F89">
            <w:pPr>
              <w:adjustRightInd w:val="0"/>
              <w:spacing w:line="360" w:lineRule="auto"/>
              <w:jc w:val="center"/>
              <w:rPr>
                <w:color w:val="auto"/>
                <w:szCs w:val="21"/>
                <w:highlight w:val="none"/>
              </w:rPr>
            </w:pPr>
          </w:p>
        </w:tc>
        <w:tc>
          <w:tcPr>
            <w:tcW w:w="1071" w:type="dxa"/>
            <w:vAlign w:val="center"/>
          </w:tcPr>
          <w:p w14:paraId="6B2E3A6A">
            <w:pPr>
              <w:adjustRightInd w:val="0"/>
              <w:spacing w:line="360" w:lineRule="auto"/>
              <w:jc w:val="center"/>
              <w:rPr>
                <w:color w:val="auto"/>
                <w:szCs w:val="21"/>
                <w:highlight w:val="none"/>
              </w:rPr>
            </w:pPr>
          </w:p>
        </w:tc>
        <w:tc>
          <w:tcPr>
            <w:tcW w:w="1359" w:type="dxa"/>
            <w:vAlign w:val="center"/>
          </w:tcPr>
          <w:p w14:paraId="6783F7EE">
            <w:pPr>
              <w:adjustRightInd w:val="0"/>
              <w:spacing w:line="360" w:lineRule="auto"/>
              <w:jc w:val="center"/>
              <w:rPr>
                <w:color w:val="auto"/>
                <w:szCs w:val="21"/>
                <w:highlight w:val="none"/>
              </w:rPr>
            </w:pPr>
          </w:p>
        </w:tc>
        <w:tc>
          <w:tcPr>
            <w:tcW w:w="947" w:type="dxa"/>
            <w:vAlign w:val="center"/>
          </w:tcPr>
          <w:p w14:paraId="4CCB5661">
            <w:pPr>
              <w:adjustRightInd w:val="0"/>
              <w:spacing w:line="360" w:lineRule="auto"/>
              <w:jc w:val="center"/>
              <w:rPr>
                <w:color w:val="auto"/>
                <w:szCs w:val="21"/>
                <w:highlight w:val="none"/>
              </w:rPr>
            </w:pPr>
          </w:p>
        </w:tc>
        <w:tc>
          <w:tcPr>
            <w:tcW w:w="756" w:type="dxa"/>
            <w:vAlign w:val="center"/>
          </w:tcPr>
          <w:p w14:paraId="2FBD96D0">
            <w:pPr>
              <w:adjustRightInd w:val="0"/>
              <w:spacing w:line="360" w:lineRule="auto"/>
              <w:jc w:val="center"/>
              <w:rPr>
                <w:color w:val="auto"/>
                <w:szCs w:val="21"/>
                <w:highlight w:val="none"/>
              </w:rPr>
            </w:pPr>
          </w:p>
        </w:tc>
        <w:tc>
          <w:tcPr>
            <w:tcW w:w="754" w:type="dxa"/>
            <w:vAlign w:val="center"/>
          </w:tcPr>
          <w:p w14:paraId="174F7FA8">
            <w:pPr>
              <w:adjustRightInd w:val="0"/>
              <w:spacing w:line="360" w:lineRule="auto"/>
              <w:jc w:val="center"/>
              <w:rPr>
                <w:color w:val="auto"/>
                <w:szCs w:val="21"/>
                <w:highlight w:val="none"/>
              </w:rPr>
            </w:pPr>
          </w:p>
        </w:tc>
        <w:tc>
          <w:tcPr>
            <w:tcW w:w="702" w:type="dxa"/>
            <w:vAlign w:val="center"/>
          </w:tcPr>
          <w:p w14:paraId="5FE11E8E">
            <w:pPr>
              <w:adjustRightInd w:val="0"/>
              <w:spacing w:line="360" w:lineRule="auto"/>
              <w:jc w:val="center"/>
              <w:rPr>
                <w:color w:val="auto"/>
                <w:szCs w:val="21"/>
                <w:highlight w:val="none"/>
              </w:rPr>
            </w:pPr>
          </w:p>
        </w:tc>
        <w:tc>
          <w:tcPr>
            <w:tcW w:w="755" w:type="dxa"/>
            <w:vAlign w:val="center"/>
          </w:tcPr>
          <w:p w14:paraId="5A5E1536">
            <w:pPr>
              <w:adjustRightInd w:val="0"/>
              <w:spacing w:line="360" w:lineRule="auto"/>
              <w:jc w:val="center"/>
              <w:rPr>
                <w:color w:val="auto"/>
                <w:szCs w:val="21"/>
                <w:highlight w:val="none"/>
              </w:rPr>
            </w:pPr>
          </w:p>
        </w:tc>
        <w:tc>
          <w:tcPr>
            <w:tcW w:w="851" w:type="dxa"/>
            <w:vAlign w:val="center"/>
          </w:tcPr>
          <w:p w14:paraId="66609A79">
            <w:pPr>
              <w:adjustRightInd w:val="0"/>
              <w:spacing w:line="360" w:lineRule="auto"/>
              <w:jc w:val="center"/>
              <w:rPr>
                <w:color w:val="auto"/>
                <w:szCs w:val="21"/>
                <w:highlight w:val="none"/>
              </w:rPr>
            </w:pPr>
          </w:p>
        </w:tc>
      </w:tr>
      <w:tr w14:paraId="44834C0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29812E0A">
            <w:pPr>
              <w:adjustRightInd w:val="0"/>
              <w:spacing w:line="360" w:lineRule="auto"/>
              <w:jc w:val="center"/>
              <w:rPr>
                <w:color w:val="auto"/>
                <w:szCs w:val="21"/>
                <w:highlight w:val="none"/>
              </w:rPr>
            </w:pPr>
          </w:p>
        </w:tc>
        <w:tc>
          <w:tcPr>
            <w:tcW w:w="1013" w:type="dxa"/>
            <w:vAlign w:val="center"/>
          </w:tcPr>
          <w:p w14:paraId="5BD00594">
            <w:pPr>
              <w:adjustRightInd w:val="0"/>
              <w:spacing w:line="360" w:lineRule="auto"/>
              <w:jc w:val="center"/>
              <w:rPr>
                <w:color w:val="auto"/>
                <w:szCs w:val="21"/>
                <w:highlight w:val="none"/>
              </w:rPr>
            </w:pPr>
          </w:p>
        </w:tc>
        <w:tc>
          <w:tcPr>
            <w:tcW w:w="1071" w:type="dxa"/>
            <w:vAlign w:val="center"/>
          </w:tcPr>
          <w:p w14:paraId="5672F7B3">
            <w:pPr>
              <w:adjustRightInd w:val="0"/>
              <w:spacing w:line="360" w:lineRule="auto"/>
              <w:jc w:val="center"/>
              <w:rPr>
                <w:color w:val="auto"/>
                <w:szCs w:val="21"/>
                <w:highlight w:val="none"/>
              </w:rPr>
            </w:pPr>
          </w:p>
        </w:tc>
        <w:tc>
          <w:tcPr>
            <w:tcW w:w="1359" w:type="dxa"/>
            <w:vAlign w:val="center"/>
          </w:tcPr>
          <w:p w14:paraId="13956E50">
            <w:pPr>
              <w:adjustRightInd w:val="0"/>
              <w:spacing w:line="360" w:lineRule="auto"/>
              <w:jc w:val="center"/>
              <w:rPr>
                <w:color w:val="auto"/>
                <w:szCs w:val="21"/>
                <w:highlight w:val="none"/>
              </w:rPr>
            </w:pPr>
          </w:p>
        </w:tc>
        <w:tc>
          <w:tcPr>
            <w:tcW w:w="947" w:type="dxa"/>
            <w:vAlign w:val="center"/>
          </w:tcPr>
          <w:p w14:paraId="66B5B632">
            <w:pPr>
              <w:adjustRightInd w:val="0"/>
              <w:spacing w:line="360" w:lineRule="auto"/>
              <w:jc w:val="center"/>
              <w:rPr>
                <w:color w:val="auto"/>
                <w:szCs w:val="21"/>
                <w:highlight w:val="none"/>
              </w:rPr>
            </w:pPr>
          </w:p>
        </w:tc>
        <w:tc>
          <w:tcPr>
            <w:tcW w:w="756" w:type="dxa"/>
            <w:vAlign w:val="center"/>
          </w:tcPr>
          <w:p w14:paraId="641B92C6">
            <w:pPr>
              <w:adjustRightInd w:val="0"/>
              <w:spacing w:line="360" w:lineRule="auto"/>
              <w:jc w:val="center"/>
              <w:rPr>
                <w:color w:val="auto"/>
                <w:szCs w:val="21"/>
                <w:highlight w:val="none"/>
              </w:rPr>
            </w:pPr>
          </w:p>
        </w:tc>
        <w:tc>
          <w:tcPr>
            <w:tcW w:w="754" w:type="dxa"/>
            <w:vAlign w:val="center"/>
          </w:tcPr>
          <w:p w14:paraId="10DAA461">
            <w:pPr>
              <w:adjustRightInd w:val="0"/>
              <w:spacing w:line="360" w:lineRule="auto"/>
              <w:jc w:val="center"/>
              <w:rPr>
                <w:color w:val="auto"/>
                <w:szCs w:val="21"/>
                <w:highlight w:val="none"/>
              </w:rPr>
            </w:pPr>
          </w:p>
        </w:tc>
        <w:tc>
          <w:tcPr>
            <w:tcW w:w="702" w:type="dxa"/>
            <w:vAlign w:val="center"/>
          </w:tcPr>
          <w:p w14:paraId="2EE0C6AD">
            <w:pPr>
              <w:adjustRightInd w:val="0"/>
              <w:spacing w:line="360" w:lineRule="auto"/>
              <w:jc w:val="center"/>
              <w:rPr>
                <w:color w:val="auto"/>
                <w:szCs w:val="21"/>
                <w:highlight w:val="none"/>
              </w:rPr>
            </w:pPr>
          </w:p>
        </w:tc>
        <w:tc>
          <w:tcPr>
            <w:tcW w:w="755" w:type="dxa"/>
            <w:vAlign w:val="center"/>
          </w:tcPr>
          <w:p w14:paraId="00329F7C">
            <w:pPr>
              <w:adjustRightInd w:val="0"/>
              <w:spacing w:line="360" w:lineRule="auto"/>
              <w:jc w:val="center"/>
              <w:rPr>
                <w:color w:val="auto"/>
                <w:szCs w:val="21"/>
                <w:highlight w:val="none"/>
              </w:rPr>
            </w:pPr>
          </w:p>
        </w:tc>
        <w:tc>
          <w:tcPr>
            <w:tcW w:w="851" w:type="dxa"/>
            <w:vAlign w:val="center"/>
          </w:tcPr>
          <w:p w14:paraId="311D1A36">
            <w:pPr>
              <w:adjustRightInd w:val="0"/>
              <w:spacing w:line="360" w:lineRule="auto"/>
              <w:jc w:val="center"/>
              <w:rPr>
                <w:color w:val="auto"/>
                <w:szCs w:val="21"/>
                <w:highlight w:val="none"/>
              </w:rPr>
            </w:pPr>
          </w:p>
        </w:tc>
      </w:tr>
      <w:tr w14:paraId="50286A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7C07A80A">
            <w:pPr>
              <w:adjustRightInd w:val="0"/>
              <w:spacing w:line="360" w:lineRule="auto"/>
              <w:jc w:val="center"/>
              <w:rPr>
                <w:color w:val="auto"/>
                <w:szCs w:val="21"/>
                <w:highlight w:val="none"/>
              </w:rPr>
            </w:pPr>
          </w:p>
        </w:tc>
        <w:tc>
          <w:tcPr>
            <w:tcW w:w="1013" w:type="dxa"/>
            <w:vAlign w:val="center"/>
          </w:tcPr>
          <w:p w14:paraId="4CC67421">
            <w:pPr>
              <w:adjustRightInd w:val="0"/>
              <w:spacing w:line="360" w:lineRule="auto"/>
              <w:jc w:val="center"/>
              <w:rPr>
                <w:color w:val="auto"/>
                <w:szCs w:val="21"/>
                <w:highlight w:val="none"/>
              </w:rPr>
            </w:pPr>
          </w:p>
        </w:tc>
        <w:tc>
          <w:tcPr>
            <w:tcW w:w="1071" w:type="dxa"/>
            <w:vAlign w:val="center"/>
          </w:tcPr>
          <w:p w14:paraId="7461F06D">
            <w:pPr>
              <w:adjustRightInd w:val="0"/>
              <w:spacing w:line="360" w:lineRule="auto"/>
              <w:jc w:val="center"/>
              <w:rPr>
                <w:color w:val="auto"/>
                <w:szCs w:val="21"/>
                <w:highlight w:val="none"/>
              </w:rPr>
            </w:pPr>
          </w:p>
        </w:tc>
        <w:tc>
          <w:tcPr>
            <w:tcW w:w="1359" w:type="dxa"/>
            <w:vAlign w:val="center"/>
          </w:tcPr>
          <w:p w14:paraId="6C5168A7">
            <w:pPr>
              <w:adjustRightInd w:val="0"/>
              <w:spacing w:line="360" w:lineRule="auto"/>
              <w:jc w:val="center"/>
              <w:rPr>
                <w:color w:val="auto"/>
                <w:szCs w:val="21"/>
                <w:highlight w:val="none"/>
              </w:rPr>
            </w:pPr>
          </w:p>
        </w:tc>
        <w:tc>
          <w:tcPr>
            <w:tcW w:w="947" w:type="dxa"/>
            <w:vAlign w:val="center"/>
          </w:tcPr>
          <w:p w14:paraId="0A28AD9B">
            <w:pPr>
              <w:adjustRightInd w:val="0"/>
              <w:spacing w:line="360" w:lineRule="auto"/>
              <w:jc w:val="center"/>
              <w:rPr>
                <w:color w:val="auto"/>
                <w:szCs w:val="21"/>
                <w:highlight w:val="none"/>
              </w:rPr>
            </w:pPr>
          </w:p>
        </w:tc>
        <w:tc>
          <w:tcPr>
            <w:tcW w:w="756" w:type="dxa"/>
            <w:vAlign w:val="center"/>
          </w:tcPr>
          <w:p w14:paraId="5598CC2E">
            <w:pPr>
              <w:adjustRightInd w:val="0"/>
              <w:spacing w:line="360" w:lineRule="auto"/>
              <w:jc w:val="center"/>
              <w:rPr>
                <w:color w:val="auto"/>
                <w:szCs w:val="21"/>
                <w:highlight w:val="none"/>
              </w:rPr>
            </w:pPr>
          </w:p>
        </w:tc>
        <w:tc>
          <w:tcPr>
            <w:tcW w:w="754" w:type="dxa"/>
            <w:vAlign w:val="center"/>
          </w:tcPr>
          <w:p w14:paraId="61DDD561">
            <w:pPr>
              <w:adjustRightInd w:val="0"/>
              <w:spacing w:line="360" w:lineRule="auto"/>
              <w:jc w:val="center"/>
              <w:rPr>
                <w:color w:val="auto"/>
                <w:szCs w:val="21"/>
                <w:highlight w:val="none"/>
              </w:rPr>
            </w:pPr>
          </w:p>
        </w:tc>
        <w:tc>
          <w:tcPr>
            <w:tcW w:w="702" w:type="dxa"/>
            <w:vAlign w:val="center"/>
          </w:tcPr>
          <w:p w14:paraId="164FCDD2">
            <w:pPr>
              <w:adjustRightInd w:val="0"/>
              <w:spacing w:line="360" w:lineRule="auto"/>
              <w:jc w:val="center"/>
              <w:rPr>
                <w:color w:val="auto"/>
                <w:szCs w:val="21"/>
                <w:highlight w:val="none"/>
              </w:rPr>
            </w:pPr>
          </w:p>
        </w:tc>
        <w:tc>
          <w:tcPr>
            <w:tcW w:w="755" w:type="dxa"/>
            <w:vAlign w:val="center"/>
          </w:tcPr>
          <w:p w14:paraId="0E97B421">
            <w:pPr>
              <w:adjustRightInd w:val="0"/>
              <w:spacing w:line="360" w:lineRule="auto"/>
              <w:jc w:val="center"/>
              <w:rPr>
                <w:color w:val="auto"/>
                <w:szCs w:val="21"/>
                <w:highlight w:val="none"/>
              </w:rPr>
            </w:pPr>
          </w:p>
        </w:tc>
        <w:tc>
          <w:tcPr>
            <w:tcW w:w="851" w:type="dxa"/>
            <w:vAlign w:val="center"/>
          </w:tcPr>
          <w:p w14:paraId="6CE60A5C">
            <w:pPr>
              <w:adjustRightInd w:val="0"/>
              <w:spacing w:line="360" w:lineRule="auto"/>
              <w:jc w:val="center"/>
              <w:rPr>
                <w:color w:val="auto"/>
                <w:szCs w:val="21"/>
                <w:highlight w:val="none"/>
              </w:rPr>
            </w:pPr>
          </w:p>
        </w:tc>
      </w:tr>
      <w:tr w14:paraId="47854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3984CD25">
            <w:pPr>
              <w:adjustRightInd w:val="0"/>
              <w:spacing w:line="360" w:lineRule="auto"/>
              <w:jc w:val="center"/>
              <w:rPr>
                <w:color w:val="auto"/>
                <w:szCs w:val="21"/>
                <w:highlight w:val="none"/>
              </w:rPr>
            </w:pPr>
          </w:p>
        </w:tc>
        <w:tc>
          <w:tcPr>
            <w:tcW w:w="1013" w:type="dxa"/>
            <w:vAlign w:val="center"/>
          </w:tcPr>
          <w:p w14:paraId="36BEE51A">
            <w:pPr>
              <w:adjustRightInd w:val="0"/>
              <w:spacing w:line="360" w:lineRule="auto"/>
              <w:jc w:val="center"/>
              <w:rPr>
                <w:color w:val="auto"/>
                <w:szCs w:val="21"/>
                <w:highlight w:val="none"/>
              </w:rPr>
            </w:pPr>
          </w:p>
        </w:tc>
        <w:tc>
          <w:tcPr>
            <w:tcW w:w="1071" w:type="dxa"/>
            <w:vAlign w:val="center"/>
          </w:tcPr>
          <w:p w14:paraId="5467D60F">
            <w:pPr>
              <w:adjustRightInd w:val="0"/>
              <w:spacing w:line="360" w:lineRule="auto"/>
              <w:jc w:val="center"/>
              <w:rPr>
                <w:color w:val="auto"/>
                <w:szCs w:val="21"/>
                <w:highlight w:val="none"/>
              </w:rPr>
            </w:pPr>
          </w:p>
        </w:tc>
        <w:tc>
          <w:tcPr>
            <w:tcW w:w="1359" w:type="dxa"/>
            <w:vAlign w:val="center"/>
          </w:tcPr>
          <w:p w14:paraId="2E8BDF75">
            <w:pPr>
              <w:adjustRightInd w:val="0"/>
              <w:spacing w:line="360" w:lineRule="auto"/>
              <w:jc w:val="center"/>
              <w:rPr>
                <w:color w:val="auto"/>
                <w:szCs w:val="21"/>
                <w:highlight w:val="none"/>
              </w:rPr>
            </w:pPr>
          </w:p>
        </w:tc>
        <w:tc>
          <w:tcPr>
            <w:tcW w:w="947" w:type="dxa"/>
            <w:vAlign w:val="center"/>
          </w:tcPr>
          <w:p w14:paraId="47085575">
            <w:pPr>
              <w:adjustRightInd w:val="0"/>
              <w:spacing w:line="360" w:lineRule="auto"/>
              <w:jc w:val="center"/>
              <w:rPr>
                <w:color w:val="auto"/>
                <w:szCs w:val="21"/>
                <w:highlight w:val="none"/>
              </w:rPr>
            </w:pPr>
          </w:p>
        </w:tc>
        <w:tc>
          <w:tcPr>
            <w:tcW w:w="756" w:type="dxa"/>
            <w:vAlign w:val="center"/>
          </w:tcPr>
          <w:p w14:paraId="25C34E0F">
            <w:pPr>
              <w:adjustRightInd w:val="0"/>
              <w:spacing w:line="360" w:lineRule="auto"/>
              <w:jc w:val="center"/>
              <w:rPr>
                <w:color w:val="auto"/>
                <w:szCs w:val="21"/>
                <w:highlight w:val="none"/>
              </w:rPr>
            </w:pPr>
          </w:p>
        </w:tc>
        <w:tc>
          <w:tcPr>
            <w:tcW w:w="754" w:type="dxa"/>
            <w:vAlign w:val="center"/>
          </w:tcPr>
          <w:p w14:paraId="50966625">
            <w:pPr>
              <w:adjustRightInd w:val="0"/>
              <w:spacing w:line="360" w:lineRule="auto"/>
              <w:jc w:val="center"/>
              <w:rPr>
                <w:color w:val="auto"/>
                <w:szCs w:val="21"/>
                <w:highlight w:val="none"/>
              </w:rPr>
            </w:pPr>
          </w:p>
        </w:tc>
        <w:tc>
          <w:tcPr>
            <w:tcW w:w="702" w:type="dxa"/>
            <w:vAlign w:val="center"/>
          </w:tcPr>
          <w:p w14:paraId="34D98B55">
            <w:pPr>
              <w:adjustRightInd w:val="0"/>
              <w:spacing w:line="360" w:lineRule="auto"/>
              <w:jc w:val="center"/>
              <w:rPr>
                <w:color w:val="auto"/>
                <w:szCs w:val="21"/>
                <w:highlight w:val="none"/>
              </w:rPr>
            </w:pPr>
          </w:p>
        </w:tc>
        <w:tc>
          <w:tcPr>
            <w:tcW w:w="755" w:type="dxa"/>
            <w:vAlign w:val="center"/>
          </w:tcPr>
          <w:p w14:paraId="18C31951">
            <w:pPr>
              <w:adjustRightInd w:val="0"/>
              <w:spacing w:line="360" w:lineRule="auto"/>
              <w:jc w:val="center"/>
              <w:rPr>
                <w:color w:val="auto"/>
                <w:szCs w:val="21"/>
                <w:highlight w:val="none"/>
              </w:rPr>
            </w:pPr>
          </w:p>
        </w:tc>
        <w:tc>
          <w:tcPr>
            <w:tcW w:w="851" w:type="dxa"/>
            <w:vAlign w:val="center"/>
          </w:tcPr>
          <w:p w14:paraId="0FAEFF50">
            <w:pPr>
              <w:adjustRightInd w:val="0"/>
              <w:spacing w:line="360" w:lineRule="auto"/>
              <w:jc w:val="center"/>
              <w:rPr>
                <w:color w:val="auto"/>
                <w:szCs w:val="21"/>
                <w:highlight w:val="none"/>
              </w:rPr>
            </w:pPr>
          </w:p>
        </w:tc>
      </w:tr>
      <w:tr w14:paraId="643867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615" w:type="dxa"/>
          </w:tcPr>
          <w:p w14:paraId="5FEB71ED">
            <w:pPr>
              <w:adjustRightInd w:val="0"/>
              <w:spacing w:line="360" w:lineRule="auto"/>
              <w:jc w:val="center"/>
              <w:rPr>
                <w:color w:val="auto"/>
                <w:szCs w:val="21"/>
                <w:highlight w:val="none"/>
              </w:rPr>
            </w:pPr>
          </w:p>
        </w:tc>
        <w:tc>
          <w:tcPr>
            <w:tcW w:w="1013" w:type="dxa"/>
            <w:vAlign w:val="center"/>
          </w:tcPr>
          <w:p w14:paraId="667E73A0">
            <w:pPr>
              <w:adjustRightInd w:val="0"/>
              <w:spacing w:line="360" w:lineRule="auto"/>
              <w:jc w:val="center"/>
              <w:rPr>
                <w:color w:val="auto"/>
                <w:szCs w:val="21"/>
                <w:highlight w:val="none"/>
              </w:rPr>
            </w:pPr>
          </w:p>
        </w:tc>
        <w:tc>
          <w:tcPr>
            <w:tcW w:w="1071" w:type="dxa"/>
            <w:vAlign w:val="center"/>
          </w:tcPr>
          <w:p w14:paraId="1C26BBDC">
            <w:pPr>
              <w:adjustRightInd w:val="0"/>
              <w:spacing w:line="360" w:lineRule="auto"/>
              <w:jc w:val="center"/>
              <w:rPr>
                <w:color w:val="auto"/>
                <w:szCs w:val="21"/>
                <w:highlight w:val="none"/>
              </w:rPr>
            </w:pPr>
          </w:p>
        </w:tc>
        <w:tc>
          <w:tcPr>
            <w:tcW w:w="1359" w:type="dxa"/>
            <w:vAlign w:val="center"/>
          </w:tcPr>
          <w:p w14:paraId="1501AEA2">
            <w:pPr>
              <w:adjustRightInd w:val="0"/>
              <w:spacing w:line="360" w:lineRule="auto"/>
              <w:jc w:val="center"/>
              <w:rPr>
                <w:color w:val="auto"/>
                <w:szCs w:val="21"/>
                <w:highlight w:val="none"/>
              </w:rPr>
            </w:pPr>
          </w:p>
        </w:tc>
        <w:tc>
          <w:tcPr>
            <w:tcW w:w="947" w:type="dxa"/>
            <w:vAlign w:val="center"/>
          </w:tcPr>
          <w:p w14:paraId="7C9529CE">
            <w:pPr>
              <w:adjustRightInd w:val="0"/>
              <w:spacing w:line="360" w:lineRule="auto"/>
              <w:jc w:val="center"/>
              <w:rPr>
                <w:color w:val="auto"/>
                <w:szCs w:val="21"/>
                <w:highlight w:val="none"/>
              </w:rPr>
            </w:pPr>
          </w:p>
        </w:tc>
        <w:tc>
          <w:tcPr>
            <w:tcW w:w="756" w:type="dxa"/>
            <w:vAlign w:val="center"/>
          </w:tcPr>
          <w:p w14:paraId="0171C371">
            <w:pPr>
              <w:adjustRightInd w:val="0"/>
              <w:spacing w:line="360" w:lineRule="auto"/>
              <w:jc w:val="center"/>
              <w:rPr>
                <w:color w:val="auto"/>
                <w:szCs w:val="21"/>
                <w:highlight w:val="none"/>
              </w:rPr>
            </w:pPr>
          </w:p>
        </w:tc>
        <w:tc>
          <w:tcPr>
            <w:tcW w:w="754" w:type="dxa"/>
            <w:vAlign w:val="center"/>
          </w:tcPr>
          <w:p w14:paraId="0463866B">
            <w:pPr>
              <w:adjustRightInd w:val="0"/>
              <w:spacing w:line="360" w:lineRule="auto"/>
              <w:jc w:val="center"/>
              <w:rPr>
                <w:color w:val="auto"/>
                <w:szCs w:val="21"/>
                <w:highlight w:val="none"/>
              </w:rPr>
            </w:pPr>
          </w:p>
        </w:tc>
        <w:tc>
          <w:tcPr>
            <w:tcW w:w="702" w:type="dxa"/>
            <w:vAlign w:val="center"/>
          </w:tcPr>
          <w:p w14:paraId="79286B78">
            <w:pPr>
              <w:adjustRightInd w:val="0"/>
              <w:spacing w:line="360" w:lineRule="auto"/>
              <w:jc w:val="center"/>
              <w:rPr>
                <w:color w:val="auto"/>
                <w:szCs w:val="21"/>
                <w:highlight w:val="none"/>
              </w:rPr>
            </w:pPr>
          </w:p>
        </w:tc>
        <w:tc>
          <w:tcPr>
            <w:tcW w:w="755" w:type="dxa"/>
            <w:vAlign w:val="center"/>
          </w:tcPr>
          <w:p w14:paraId="1EAFD390">
            <w:pPr>
              <w:adjustRightInd w:val="0"/>
              <w:spacing w:line="360" w:lineRule="auto"/>
              <w:jc w:val="center"/>
              <w:rPr>
                <w:color w:val="auto"/>
                <w:szCs w:val="21"/>
                <w:highlight w:val="none"/>
              </w:rPr>
            </w:pPr>
          </w:p>
        </w:tc>
        <w:tc>
          <w:tcPr>
            <w:tcW w:w="851" w:type="dxa"/>
            <w:vAlign w:val="center"/>
          </w:tcPr>
          <w:p w14:paraId="5A54045E">
            <w:pPr>
              <w:adjustRightInd w:val="0"/>
              <w:spacing w:line="360" w:lineRule="auto"/>
              <w:jc w:val="center"/>
              <w:rPr>
                <w:color w:val="auto"/>
                <w:szCs w:val="21"/>
                <w:highlight w:val="none"/>
              </w:rPr>
            </w:pPr>
          </w:p>
        </w:tc>
      </w:tr>
    </w:tbl>
    <w:p w14:paraId="62F34BFC">
      <w:pPr>
        <w:spacing w:line="360" w:lineRule="auto"/>
        <w:rPr>
          <w:color w:val="auto"/>
          <w:szCs w:val="21"/>
          <w:highlight w:val="none"/>
        </w:rPr>
      </w:pPr>
      <w:r>
        <w:rPr>
          <w:color w:val="auto"/>
          <w:szCs w:val="21"/>
          <w:highlight w:val="none"/>
        </w:rPr>
        <w:t>注：新购和租赁为响应单位计划在本工程中新购或租赁的数量。</w:t>
      </w:r>
      <w:bookmarkEnd w:id="1722"/>
      <w:bookmarkEnd w:id="1723"/>
      <w:bookmarkEnd w:id="1835"/>
      <w:bookmarkStart w:id="1858" w:name="_Toc53949163"/>
      <w:bookmarkStart w:id="1859" w:name="_Toc54281200"/>
      <w:bookmarkStart w:id="1860" w:name="_Toc144872182"/>
      <w:bookmarkStart w:id="1861" w:name="_Toc54291530"/>
      <w:bookmarkStart w:id="1862" w:name="_Toc54280774"/>
      <w:bookmarkStart w:id="1863" w:name="_Toc54280348"/>
      <w:bookmarkStart w:id="1864" w:name="_Toc54278965"/>
      <w:bookmarkStart w:id="1865" w:name="_Toc54281626"/>
      <w:bookmarkStart w:id="1866" w:name="_Toc53949584"/>
      <w:bookmarkStart w:id="1867" w:name="_Toc145499835"/>
      <w:bookmarkStart w:id="1868" w:name="_Toc53948742"/>
    </w:p>
    <w:p w14:paraId="2AB6EFF2">
      <w:pPr>
        <w:spacing w:line="360" w:lineRule="auto"/>
        <w:rPr>
          <w:color w:val="auto"/>
          <w:szCs w:val="21"/>
          <w:highlight w:val="none"/>
        </w:rPr>
      </w:pPr>
    </w:p>
    <w:p w14:paraId="471FD1E2">
      <w:pPr>
        <w:spacing w:line="360" w:lineRule="auto"/>
        <w:rPr>
          <w:rStyle w:val="46"/>
          <w:rFonts w:ascii="Times New Roman" w:hAnsi="Times New Roman" w:eastAsia="宋体"/>
          <w:b w:val="0"/>
          <w:bCs w:val="0"/>
          <w:color w:val="auto"/>
          <w:sz w:val="21"/>
          <w:szCs w:val="21"/>
          <w:highlight w:val="none"/>
        </w:rPr>
      </w:pPr>
    </w:p>
    <w:bookmarkEnd w:id="1858"/>
    <w:bookmarkEnd w:id="1859"/>
    <w:bookmarkEnd w:id="1860"/>
    <w:bookmarkEnd w:id="1861"/>
    <w:bookmarkEnd w:id="1862"/>
    <w:bookmarkEnd w:id="1863"/>
    <w:bookmarkEnd w:id="1864"/>
    <w:bookmarkEnd w:id="1865"/>
    <w:bookmarkEnd w:id="1866"/>
    <w:bookmarkEnd w:id="1867"/>
    <w:bookmarkEnd w:id="1868"/>
    <w:p w14:paraId="2392EF87">
      <w:pPr>
        <w:pStyle w:val="53"/>
        <w:spacing w:before="120"/>
        <w:rPr>
          <w:rStyle w:val="46"/>
          <w:rFonts w:ascii="Times New Roman" w:hAnsi="Times New Roman" w:eastAsia="宋体" w:cs="Times New Roman"/>
          <w:b/>
          <w:bCs/>
          <w:color w:val="auto"/>
          <w:szCs w:val="24"/>
          <w:highlight w:val="none"/>
        </w:rPr>
        <w:sectPr>
          <w:pgSz w:w="11907" w:h="16840"/>
          <w:pgMar w:top="1417" w:right="1701" w:bottom="1417" w:left="1701" w:header="850" w:footer="1134" w:gutter="0"/>
          <w:pgNumType w:fmt="decimal"/>
          <w:cols w:space="0" w:num="1"/>
          <w:rtlGutter w:val="0"/>
          <w:docGrid w:linePitch="312" w:charSpace="0"/>
        </w:sectPr>
      </w:pPr>
      <w:bookmarkStart w:id="1869" w:name="_Toc53949164"/>
      <w:bookmarkStart w:id="1870" w:name="_Toc54280775"/>
      <w:bookmarkStart w:id="1871" w:name="_Toc54281627"/>
      <w:bookmarkStart w:id="1872" w:name="_Toc53949585"/>
      <w:bookmarkStart w:id="1873" w:name="_Toc54291531"/>
      <w:bookmarkStart w:id="1874" w:name="_Toc144872183"/>
      <w:bookmarkStart w:id="1875" w:name="_Toc54280349"/>
      <w:bookmarkStart w:id="1876" w:name="_Toc54281201"/>
      <w:bookmarkStart w:id="1877" w:name="_Toc54278966"/>
      <w:bookmarkStart w:id="1878" w:name="_Toc53948743"/>
      <w:bookmarkStart w:id="1879" w:name="_Toc145499836"/>
      <w:bookmarkStart w:id="1880" w:name="_Toc18407868"/>
    </w:p>
    <w:p w14:paraId="2E53A675">
      <w:pPr>
        <w:pStyle w:val="53"/>
        <w:spacing w:before="120"/>
        <w:rPr>
          <w:rStyle w:val="46"/>
          <w:rFonts w:ascii="Times New Roman" w:hAnsi="Times New Roman" w:eastAsia="宋体" w:cs="Times New Roman"/>
          <w:b/>
          <w:bCs w:val="0"/>
          <w:color w:val="auto"/>
          <w:szCs w:val="24"/>
          <w:highlight w:val="none"/>
        </w:rPr>
      </w:pPr>
      <w:r>
        <w:rPr>
          <w:rStyle w:val="46"/>
          <w:rFonts w:ascii="Times New Roman" w:hAnsi="Times New Roman" w:eastAsia="宋体" w:cs="Times New Roman"/>
          <w:b/>
          <w:bCs w:val="0"/>
          <w:color w:val="auto"/>
          <w:szCs w:val="24"/>
          <w:highlight w:val="none"/>
        </w:rPr>
        <w:t>格式</w:t>
      </w:r>
      <w:r>
        <w:rPr>
          <w:rStyle w:val="46"/>
          <w:rFonts w:hint="eastAsia" w:ascii="Times New Roman" w:hAnsi="Times New Roman" w:eastAsia="宋体" w:cs="Times New Roman"/>
          <w:b/>
          <w:bCs w:val="0"/>
          <w:color w:val="auto"/>
          <w:szCs w:val="24"/>
          <w:highlight w:val="none"/>
        </w:rPr>
        <w:t xml:space="preserve">8 </w:t>
      </w:r>
      <w:r>
        <w:rPr>
          <w:rStyle w:val="46"/>
          <w:rFonts w:ascii="Times New Roman" w:hAnsi="Times New Roman" w:eastAsia="宋体" w:cs="Times New Roman"/>
          <w:b/>
          <w:bCs w:val="0"/>
          <w:color w:val="auto"/>
          <w:szCs w:val="24"/>
          <w:highlight w:val="none"/>
        </w:rPr>
        <w:t xml:space="preserve"> 拟投入本合同工程主要人员汇总表</w:t>
      </w:r>
      <w:bookmarkEnd w:id="1869"/>
      <w:bookmarkEnd w:id="1870"/>
      <w:bookmarkEnd w:id="1871"/>
      <w:bookmarkEnd w:id="1872"/>
      <w:bookmarkEnd w:id="1873"/>
      <w:bookmarkEnd w:id="1874"/>
      <w:bookmarkEnd w:id="1875"/>
      <w:bookmarkEnd w:id="1876"/>
      <w:bookmarkEnd w:id="1877"/>
      <w:bookmarkEnd w:id="1878"/>
      <w:bookmarkEnd w:id="1879"/>
    </w:p>
    <w:p w14:paraId="5A25A3D4">
      <w:pPr>
        <w:spacing w:line="360" w:lineRule="auto"/>
        <w:jc w:val="center"/>
        <w:rPr>
          <w:color w:val="auto"/>
          <w:sz w:val="32"/>
          <w:szCs w:val="32"/>
          <w:highlight w:val="none"/>
        </w:rPr>
      </w:pPr>
    </w:p>
    <w:p w14:paraId="710AE73C">
      <w:pPr>
        <w:spacing w:line="360" w:lineRule="auto"/>
        <w:jc w:val="center"/>
        <w:rPr>
          <w:b/>
          <w:color w:val="auto"/>
          <w:sz w:val="28"/>
          <w:szCs w:val="28"/>
          <w:highlight w:val="none"/>
        </w:rPr>
      </w:pPr>
      <w:r>
        <w:rPr>
          <w:b/>
          <w:color w:val="auto"/>
          <w:sz w:val="28"/>
          <w:szCs w:val="28"/>
          <w:highlight w:val="none"/>
        </w:rPr>
        <w:t>拟投入本合同工程主要人员汇总表</w:t>
      </w:r>
      <w:bookmarkEnd w:id="1880"/>
    </w:p>
    <w:p w14:paraId="4A55E63A">
      <w:pPr>
        <w:adjustRightInd w:val="0"/>
        <w:spacing w:line="360" w:lineRule="auto"/>
        <w:rPr>
          <w:color w:val="auto"/>
          <w:sz w:val="24"/>
          <w:highlight w:val="none"/>
        </w:rPr>
      </w:pPr>
      <w:r>
        <w:rPr>
          <w:color w:val="auto"/>
          <w:sz w:val="24"/>
          <w:highlight w:val="none"/>
        </w:rPr>
        <w:t>响应单位：</w:t>
      </w:r>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97"/>
        <w:gridCol w:w="1234"/>
        <w:gridCol w:w="1012"/>
        <w:gridCol w:w="1132"/>
        <w:gridCol w:w="817"/>
        <w:gridCol w:w="1371"/>
        <w:gridCol w:w="1086"/>
        <w:gridCol w:w="1226"/>
      </w:tblGrid>
      <w:tr w14:paraId="5B5697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5C6E1B9B">
            <w:pPr>
              <w:ind w:right="-63" w:rightChars="-30"/>
              <w:jc w:val="center"/>
              <w:rPr>
                <w:color w:val="auto"/>
                <w:sz w:val="18"/>
                <w:szCs w:val="18"/>
                <w:highlight w:val="none"/>
              </w:rPr>
            </w:pPr>
            <w:r>
              <w:rPr>
                <w:color w:val="auto"/>
                <w:sz w:val="18"/>
                <w:szCs w:val="18"/>
                <w:highlight w:val="none"/>
              </w:rPr>
              <w:t>序号</w:t>
            </w:r>
          </w:p>
        </w:tc>
        <w:tc>
          <w:tcPr>
            <w:tcW w:w="728" w:type="pct"/>
            <w:vAlign w:val="center"/>
          </w:tcPr>
          <w:p w14:paraId="0725EFAA">
            <w:pPr>
              <w:jc w:val="center"/>
              <w:rPr>
                <w:color w:val="auto"/>
                <w:sz w:val="18"/>
                <w:szCs w:val="18"/>
                <w:highlight w:val="none"/>
              </w:rPr>
            </w:pPr>
            <w:r>
              <w:rPr>
                <w:color w:val="auto"/>
                <w:sz w:val="18"/>
                <w:szCs w:val="18"/>
                <w:highlight w:val="none"/>
              </w:rPr>
              <w:t>姓名</w:t>
            </w:r>
          </w:p>
        </w:tc>
        <w:tc>
          <w:tcPr>
            <w:tcW w:w="597" w:type="pct"/>
            <w:vAlign w:val="center"/>
          </w:tcPr>
          <w:p w14:paraId="556804E1">
            <w:pPr>
              <w:ind w:left="-87" w:leftChars="-47" w:right="-107" w:rightChars="-51" w:hanging="12" w:hangingChars="7"/>
              <w:jc w:val="center"/>
              <w:rPr>
                <w:color w:val="auto"/>
                <w:sz w:val="18"/>
                <w:szCs w:val="18"/>
                <w:highlight w:val="none"/>
              </w:rPr>
            </w:pPr>
            <w:r>
              <w:rPr>
                <w:color w:val="auto"/>
                <w:sz w:val="18"/>
                <w:szCs w:val="18"/>
                <w:highlight w:val="none"/>
              </w:rPr>
              <w:t>年龄</w:t>
            </w:r>
          </w:p>
        </w:tc>
        <w:tc>
          <w:tcPr>
            <w:tcW w:w="668" w:type="pct"/>
            <w:vAlign w:val="center"/>
          </w:tcPr>
          <w:p w14:paraId="12900774">
            <w:pPr>
              <w:ind w:left="-126" w:leftChars="-60" w:right="-105" w:rightChars="-50"/>
              <w:jc w:val="center"/>
              <w:rPr>
                <w:color w:val="auto"/>
                <w:sz w:val="18"/>
                <w:szCs w:val="18"/>
                <w:highlight w:val="none"/>
              </w:rPr>
            </w:pPr>
            <w:r>
              <w:rPr>
                <w:color w:val="auto"/>
                <w:sz w:val="18"/>
                <w:szCs w:val="18"/>
                <w:highlight w:val="none"/>
              </w:rPr>
              <w:t>性别</w:t>
            </w:r>
          </w:p>
        </w:tc>
        <w:tc>
          <w:tcPr>
            <w:tcW w:w="482" w:type="pct"/>
            <w:vAlign w:val="center"/>
          </w:tcPr>
          <w:p w14:paraId="3A7AAD34">
            <w:pPr>
              <w:jc w:val="center"/>
              <w:rPr>
                <w:color w:val="auto"/>
                <w:sz w:val="18"/>
                <w:szCs w:val="18"/>
                <w:highlight w:val="none"/>
              </w:rPr>
            </w:pPr>
            <w:r>
              <w:rPr>
                <w:color w:val="auto"/>
                <w:sz w:val="18"/>
                <w:szCs w:val="18"/>
                <w:highlight w:val="none"/>
              </w:rPr>
              <w:t>学历</w:t>
            </w:r>
          </w:p>
        </w:tc>
        <w:tc>
          <w:tcPr>
            <w:tcW w:w="809" w:type="pct"/>
            <w:vAlign w:val="center"/>
          </w:tcPr>
          <w:p w14:paraId="0F538959">
            <w:pPr>
              <w:jc w:val="center"/>
              <w:rPr>
                <w:color w:val="auto"/>
                <w:sz w:val="18"/>
                <w:szCs w:val="18"/>
                <w:highlight w:val="none"/>
              </w:rPr>
            </w:pPr>
            <w:r>
              <w:rPr>
                <w:rFonts w:hint="eastAsia"/>
                <w:color w:val="auto"/>
                <w:sz w:val="18"/>
                <w:szCs w:val="18"/>
                <w:highlight w:val="none"/>
              </w:rPr>
              <w:t>主要施工履历</w:t>
            </w:r>
          </w:p>
        </w:tc>
        <w:tc>
          <w:tcPr>
            <w:tcW w:w="641" w:type="pct"/>
            <w:vAlign w:val="center"/>
          </w:tcPr>
          <w:p w14:paraId="12C8CC90">
            <w:pPr>
              <w:jc w:val="center"/>
              <w:rPr>
                <w:color w:val="auto"/>
                <w:sz w:val="18"/>
                <w:szCs w:val="18"/>
                <w:highlight w:val="none"/>
              </w:rPr>
            </w:pPr>
            <w:r>
              <w:rPr>
                <w:rFonts w:hint="eastAsia"/>
                <w:color w:val="auto"/>
                <w:sz w:val="18"/>
                <w:szCs w:val="18"/>
                <w:highlight w:val="none"/>
              </w:rPr>
              <w:t>相关</w:t>
            </w:r>
            <w:r>
              <w:rPr>
                <w:color w:val="auto"/>
                <w:sz w:val="18"/>
                <w:szCs w:val="18"/>
                <w:highlight w:val="none"/>
              </w:rPr>
              <w:t>证书</w:t>
            </w:r>
          </w:p>
        </w:tc>
        <w:tc>
          <w:tcPr>
            <w:tcW w:w="724" w:type="pct"/>
            <w:vAlign w:val="center"/>
          </w:tcPr>
          <w:p w14:paraId="3C5C70C0">
            <w:pPr>
              <w:jc w:val="center"/>
              <w:rPr>
                <w:color w:val="auto"/>
                <w:sz w:val="18"/>
                <w:szCs w:val="18"/>
                <w:highlight w:val="none"/>
              </w:rPr>
            </w:pPr>
            <w:r>
              <w:rPr>
                <w:color w:val="auto"/>
                <w:sz w:val="18"/>
                <w:szCs w:val="18"/>
                <w:highlight w:val="none"/>
              </w:rPr>
              <w:t>拟在本项目</w:t>
            </w:r>
          </w:p>
          <w:p w14:paraId="415E57AE">
            <w:pPr>
              <w:jc w:val="center"/>
              <w:rPr>
                <w:color w:val="auto"/>
                <w:sz w:val="18"/>
                <w:szCs w:val="18"/>
                <w:highlight w:val="none"/>
              </w:rPr>
            </w:pPr>
            <w:r>
              <w:rPr>
                <w:color w:val="auto"/>
                <w:sz w:val="18"/>
                <w:szCs w:val="18"/>
                <w:highlight w:val="none"/>
              </w:rPr>
              <w:t>担任职务</w:t>
            </w:r>
          </w:p>
        </w:tc>
      </w:tr>
      <w:tr w14:paraId="6E32B1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40131A0">
            <w:pPr>
              <w:jc w:val="center"/>
              <w:rPr>
                <w:color w:val="auto"/>
                <w:sz w:val="18"/>
                <w:szCs w:val="18"/>
                <w:highlight w:val="none"/>
              </w:rPr>
            </w:pPr>
          </w:p>
        </w:tc>
        <w:tc>
          <w:tcPr>
            <w:tcW w:w="728" w:type="pct"/>
            <w:vAlign w:val="center"/>
          </w:tcPr>
          <w:p w14:paraId="5CD99772">
            <w:pPr>
              <w:jc w:val="center"/>
              <w:rPr>
                <w:color w:val="auto"/>
                <w:sz w:val="18"/>
                <w:szCs w:val="18"/>
                <w:highlight w:val="none"/>
              </w:rPr>
            </w:pPr>
          </w:p>
        </w:tc>
        <w:tc>
          <w:tcPr>
            <w:tcW w:w="597" w:type="pct"/>
            <w:vAlign w:val="center"/>
          </w:tcPr>
          <w:p w14:paraId="2293E5D4">
            <w:pPr>
              <w:jc w:val="center"/>
              <w:rPr>
                <w:color w:val="auto"/>
                <w:sz w:val="18"/>
                <w:szCs w:val="18"/>
                <w:highlight w:val="none"/>
              </w:rPr>
            </w:pPr>
          </w:p>
        </w:tc>
        <w:tc>
          <w:tcPr>
            <w:tcW w:w="668" w:type="pct"/>
            <w:vAlign w:val="center"/>
          </w:tcPr>
          <w:p w14:paraId="1EE4C1B2">
            <w:pPr>
              <w:jc w:val="center"/>
              <w:rPr>
                <w:color w:val="auto"/>
                <w:sz w:val="18"/>
                <w:szCs w:val="18"/>
                <w:highlight w:val="none"/>
              </w:rPr>
            </w:pPr>
          </w:p>
        </w:tc>
        <w:tc>
          <w:tcPr>
            <w:tcW w:w="482" w:type="pct"/>
            <w:vAlign w:val="center"/>
          </w:tcPr>
          <w:p w14:paraId="48E78EAC">
            <w:pPr>
              <w:jc w:val="center"/>
              <w:rPr>
                <w:color w:val="auto"/>
                <w:sz w:val="18"/>
                <w:szCs w:val="18"/>
                <w:highlight w:val="none"/>
              </w:rPr>
            </w:pPr>
          </w:p>
        </w:tc>
        <w:tc>
          <w:tcPr>
            <w:tcW w:w="809" w:type="pct"/>
            <w:vAlign w:val="center"/>
          </w:tcPr>
          <w:p w14:paraId="7659417C">
            <w:pPr>
              <w:jc w:val="center"/>
              <w:rPr>
                <w:color w:val="auto"/>
                <w:sz w:val="18"/>
                <w:szCs w:val="18"/>
                <w:highlight w:val="none"/>
              </w:rPr>
            </w:pPr>
          </w:p>
        </w:tc>
        <w:tc>
          <w:tcPr>
            <w:tcW w:w="641" w:type="pct"/>
            <w:vAlign w:val="center"/>
          </w:tcPr>
          <w:p w14:paraId="59322C8E">
            <w:pPr>
              <w:jc w:val="center"/>
              <w:rPr>
                <w:color w:val="auto"/>
                <w:sz w:val="18"/>
                <w:szCs w:val="18"/>
                <w:highlight w:val="none"/>
              </w:rPr>
            </w:pPr>
          </w:p>
        </w:tc>
        <w:tc>
          <w:tcPr>
            <w:tcW w:w="724" w:type="pct"/>
            <w:vAlign w:val="center"/>
          </w:tcPr>
          <w:p w14:paraId="74E41CD3">
            <w:pPr>
              <w:jc w:val="center"/>
              <w:rPr>
                <w:color w:val="auto"/>
                <w:sz w:val="18"/>
                <w:szCs w:val="18"/>
                <w:highlight w:val="none"/>
              </w:rPr>
            </w:pPr>
          </w:p>
        </w:tc>
      </w:tr>
      <w:tr w14:paraId="7C0884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9C8D17B">
            <w:pPr>
              <w:jc w:val="center"/>
              <w:rPr>
                <w:color w:val="auto"/>
                <w:sz w:val="18"/>
                <w:szCs w:val="18"/>
                <w:highlight w:val="none"/>
              </w:rPr>
            </w:pPr>
          </w:p>
        </w:tc>
        <w:tc>
          <w:tcPr>
            <w:tcW w:w="728" w:type="pct"/>
            <w:vAlign w:val="center"/>
          </w:tcPr>
          <w:p w14:paraId="181934ED">
            <w:pPr>
              <w:jc w:val="center"/>
              <w:rPr>
                <w:color w:val="auto"/>
                <w:sz w:val="18"/>
                <w:szCs w:val="18"/>
                <w:highlight w:val="none"/>
              </w:rPr>
            </w:pPr>
          </w:p>
        </w:tc>
        <w:tc>
          <w:tcPr>
            <w:tcW w:w="597" w:type="pct"/>
            <w:vAlign w:val="center"/>
          </w:tcPr>
          <w:p w14:paraId="1A102864">
            <w:pPr>
              <w:jc w:val="center"/>
              <w:rPr>
                <w:color w:val="auto"/>
                <w:sz w:val="18"/>
                <w:szCs w:val="18"/>
                <w:highlight w:val="none"/>
              </w:rPr>
            </w:pPr>
          </w:p>
        </w:tc>
        <w:tc>
          <w:tcPr>
            <w:tcW w:w="668" w:type="pct"/>
            <w:vAlign w:val="center"/>
          </w:tcPr>
          <w:p w14:paraId="78EA31F5">
            <w:pPr>
              <w:jc w:val="center"/>
              <w:rPr>
                <w:color w:val="auto"/>
                <w:sz w:val="18"/>
                <w:szCs w:val="18"/>
                <w:highlight w:val="none"/>
              </w:rPr>
            </w:pPr>
          </w:p>
        </w:tc>
        <w:tc>
          <w:tcPr>
            <w:tcW w:w="482" w:type="pct"/>
            <w:vAlign w:val="center"/>
          </w:tcPr>
          <w:p w14:paraId="4B8B7598">
            <w:pPr>
              <w:jc w:val="center"/>
              <w:rPr>
                <w:color w:val="auto"/>
                <w:sz w:val="18"/>
                <w:szCs w:val="18"/>
                <w:highlight w:val="none"/>
              </w:rPr>
            </w:pPr>
          </w:p>
        </w:tc>
        <w:tc>
          <w:tcPr>
            <w:tcW w:w="809" w:type="pct"/>
            <w:vAlign w:val="center"/>
          </w:tcPr>
          <w:p w14:paraId="402B3025">
            <w:pPr>
              <w:jc w:val="center"/>
              <w:rPr>
                <w:color w:val="auto"/>
                <w:sz w:val="18"/>
                <w:szCs w:val="18"/>
                <w:highlight w:val="none"/>
              </w:rPr>
            </w:pPr>
          </w:p>
        </w:tc>
        <w:tc>
          <w:tcPr>
            <w:tcW w:w="641" w:type="pct"/>
            <w:vAlign w:val="center"/>
          </w:tcPr>
          <w:p w14:paraId="53E2D2CF">
            <w:pPr>
              <w:jc w:val="center"/>
              <w:rPr>
                <w:color w:val="auto"/>
                <w:sz w:val="18"/>
                <w:szCs w:val="18"/>
                <w:highlight w:val="none"/>
              </w:rPr>
            </w:pPr>
          </w:p>
        </w:tc>
        <w:tc>
          <w:tcPr>
            <w:tcW w:w="724" w:type="pct"/>
            <w:vAlign w:val="center"/>
          </w:tcPr>
          <w:p w14:paraId="3FBE2119">
            <w:pPr>
              <w:jc w:val="center"/>
              <w:rPr>
                <w:color w:val="auto"/>
                <w:sz w:val="18"/>
                <w:szCs w:val="18"/>
                <w:highlight w:val="none"/>
              </w:rPr>
            </w:pPr>
          </w:p>
        </w:tc>
      </w:tr>
      <w:tr w14:paraId="116830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DBD4F50">
            <w:pPr>
              <w:jc w:val="center"/>
              <w:rPr>
                <w:color w:val="auto"/>
                <w:sz w:val="18"/>
                <w:szCs w:val="18"/>
                <w:highlight w:val="none"/>
              </w:rPr>
            </w:pPr>
          </w:p>
        </w:tc>
        <w:tc>
          <w:tcPr>
            <w:tcW w:w="728" w:type="pct"/>
            <w:vAlign w:val="center"/>
          </w:tcPr>
          <w:p w14:paraId="1298A361">
            <w:pPr>
              <w:jc w:val="center"/>
              <w:rPr>
                <w:color w:val="auto"/>
                <w:sz w:val="18"/>
                <w:szCs w:val="18"/>
                <w:highlight w:val="none"/>
              </w:rPr>
            </w:pPr>
          </w:p>
        </w:tc>
        <w:tc>
          <w:tcPr>
            <w:tcW w:w="597" w:type="pct"/>
            <w:vAlign w:val="center"/>
          </w:tcPr>
          <w:p w14:paraId="04C088B3">
            <w:pPr>
              <w:jc w:val="center"/>
              <w:rPr>
                <w:color w:val="auto"/>
                <w:sz w:val="18"/>
                <w:szCs w:val="18"/>
                <w:highlight w:val="none"/>
              </w:rPr>
            </w:pPr>
          </w:p>
        </w:tc>
        <w:tc>
          <w:tcPr>
            <w:tcW w:w="668" w:type="pct"/>
            <w:vAlign w:val="center"/>
          </w:tcPr>
          <w:p w14:paraId="6948E0F0">
            <w:pPr>
              <w:jc w:val="center"/>
              <w:rPr>
                <w:color w:val="auto"/>
                <w:sz w:val="18"/>
                <w:szCs w:val="18"/>
                <w:highlight w:val="none"/>
              </w:rPr>
            </w:pPr>
          </w:p>
        </w:tc>
        <w:tc>
          <w:tcPr>
            <w:tcW w:w="482" w:type="pct"/>
            <w:vAlign w:val="center"/>
          </w:tcPr>
          <w:p w14:paraId="2BEA53F2">
            <w:pPr>
              <w:jc w:val="center"/>
              <w:rPr>
                <w:color w:val="auto"/>
                <w:sz w:val="18"/>
                <w:szCs w:val="18"/>
                <w:highlight w:val="none"/>
              </w:rPr>
            </w:pPr>
          </w:p>
        </w:tc>
        <w:tc>
          <w:tcPr>
            <w:tcW w:w="809" w:type="pct"/>
            <w:vAlign w:val="center"/>
          </w:tcPr>
          <w:p w14:paraId="57A32EF3">
            <w:pPr>
              <w:jc w:val="center"/>
              <w:rPr>
                <w:color w:val="auto"/>
                <w:sz w:val="18"/>
                <w:szCs w:val="18"/>
                <w:highlight w:val="none"/>
              </w:rPr>
            </w:pPr>
          </w:p>
        </w:tc>
        <w:tc>
          <w:tcPr>
            <w:tcW w:w="641" w:type="pct"/>
            <w:vAlign w:val="center"/>
          </w:tcPr>
          <w:p w14:paraId="2A4CF76C">
            <w:pPr>
              <w:jc w:val="center"/>
              <w:rPr>
                <w:color w:val="auto"/>
                <w:sz w:val="18"/>
                <w:szCs w:val="18"/>
                <w:highlight w:val="none"/>
              </w:rPr>
            </w:pPr>
          </w:p>
        </w:tc>
        <w:tc>
          <w:tcPr>
            <w:tcW w:w="724" w:type="pct"/>
            <w:vAlign w:val="center"/>
          </w:tcPr>
          <w:p w14:paraId="65BCA739">
            <w:pPr>
              <w:jc w:val="center"/>
              <w:rPr>
                <w:color w:val="auto"/>
                <w:sz w:val="18"/>
                <w:szCs w:val="18"/>
                <w:highlight w:val="none"/>
              </w:rPr>
            </w:pPr>
          </w:p>
        </w:tc>
      </w:tr>
      <w:tr w14:paraId="57DDBB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51446E2">
            <w:pPr>
              <w:jc w:val="center"/>
              <w:rPr>
                <w:color w:val="auto"/>
                <w:sz w:val="18"/>
                <w:szCs w:val="18"/>
                <w:highlight w:val="none"/>
              </w:rPr>
            </w:pPr>
          </w:p>
        </w:tc>
        <w:tc>
          <w:tcPr>
            <w:tcW w:w="728" w:type="pct"/>
            <w:vAlign w:val="center"/>
          </w:tcPr>
          <w:p w14:paraId="55F049E8">
            <w:pPr>
              <w:jc w:val="center"/>
              <w:rPr>
                <w:color w:val="auto"/>
                <w:sz w:val="18"/>
                <w:szCs w:val="18"/>
                <w:highlight w:val="none"/>
              </w:rPr>
            </w:pPr>
          </w:p>
        </w:tc>
        <w:tc>
          <w:tcPr>
            <w:tcW w:w="597" w:type="pct"/>
            <w:vAlign w:val="center"/>
          </w:tcPr>
          <w:p w14:paraId="7E502225">
            <w:pPr>
              <w:jc w:val="center"/>
              <w:rPr>
                <w:color w:val="auto"/>
                <w:sz w:val="18"/>
                <w:szCs w:val="18"/>
                <w:highlight w:val="none"/>
              </w:rPr>
            </w:pPr>
          </w:p>
        </w:tc>
        <w:tc>
          <w:tcPr>
            <w:tcW w:w="668" w:type="pct"/>
            <w:vAlign w:val="center"/>
          </w:tcPr>
          <w:p w14:paraId="633ACF9D">
            <w:pPr>
              <w:jc w:val="center"/>
              <w:rPr>
                <w:color w:val="auto"/>
                <w:sz w:val="18"/>
                <w:szCs w:val="18"/>
                <w:highlight w:val="none"/>
              </w:rPr>
            </w:pPr>
          </w:p>
        </w:tc>
        <w:tc>
          <w:tcPr>
            <w:tcW w:w="482" w:type="pct"/>
            <w:vAlign w:val="center"/>
          </w:tcPr>
          <w:p w14:paraId="623BA2B5">
            <w:pPr>
              <w:jc w:val="center"/>
              <w:rPr>
                <w:color w:val="auto"/>
                <w:sz w:val="18"/>
                <w:szCs w:val="18"/>
                <w:highlight w:val="none"/>
              </w:rPr>
            </w:pPr>
          </w:p>
        </w:tc>
        <w:tc>
          <w:tcPr>
            <w:tcW w:w="809" w:type="pct"/>
            <w:vAlign w:val="center"/>
          </w:tcPr>
          <w:p w14:paraId="24DDF071">
            <w:pPr>
              <w:jc w:val="center"/>
              <w:rPr>
                <w:color w:val="auto"/>
                <w:sz w:val="18"/>
                <w:szCs w:val="18"/>
                <w:highlight w:val="none"/>
              </w:rPr>
            </w:pPr>
          </w:p>
        </w:tc>
        <w:tc>
          <w:tcPr>
            <w:tcW w:w="641" w:type="pct"/>
            <w:vAlign w:val="center"/>
          </w:tcPr>
          <w:p w14:paraId="715DEE19">
            <w:pPr>
              <w:jc w:val="center"/>
              <w:rPr>
                <w:color w:val="auto"/>
                <w:sz w:val="18"/>
                <w:szCs w:val="18"/>
                <w:highlight w:val="none"/>
              </w:rPr>
            </w:pPr>
          </w:p>
        </w:tc>
        <w:tc>
          <w:tcPr>
            <w:tcW w:w="724" w:type="pct"/>
            <w:vAlign w:val="center"/>
          </w:tcPr>
          <w:p w14:paraId="3B842720">
            <w:pPr>
              <w:jc w:val="center"/>
              <w:rPr>
                <w:color w:val="auto"/>
                <w:sz w:val="18"/>
                <w:szCs w:val="18"/>
                <w:highlight w:val="none"/>
              </w:rPr>
            </w:pPr>
          </w:p>
        </w:tc>
      </w:tr>
      <w:tr w14:paraId="68AFF3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7079DA98">
            <w:pPr>
              <w:jc w:val="center"/>
              <w:rPr>
                <w:color w:val="auto"/>
                <w:sz w:val="18"/>
                <w:szCs w:val="18"/>
                <w:highlight w:val="none"/>
              </w:rPr>
            </w:pPr>
          </w:p>
        </w:tc>
        <w:tc>
          <w:tcPr>
            <w:tcW w:w="728" w:type="pct"/>
            <w:vAlign w:val="center"/>
          </w:tcPr>
          <w:p w14:paraId="0DC3EB7D">
            <w:pPr>
              <w:jc w:val="center"/>
              <w:rPr>
                <w:color w:val="auto"/>
                <w:sz w:val="18"/>
                <w:szCs w:val="18"/>
                <w:highlight w:val="none"/>
              </w:rPr>
            </w:pPr>
          </w:p>
        </w:tc>
        <w:tc>
          <w:tcPr>
            <w:tcW w:w="597" w:type="pct"/>
            <w:vAlign w:val="center"/>
          </w:tcPr>
          <w:p w14:paraId="302DCE09">
            <w:pPr>
              <w:jc w:val="center"/>
              <w:rPr>
                <w:color w:val="auto"/>
                <w:sz w:val="18"/>
                <w:szCs w:val="18"/>
                <w:highlight w:val="none"/>
              </w:rPr>
            </w:pPr>
          </w:p>
        </w:tc>
        <w:tc>
          <w:tcPr>
            <w:tcW w:w="668" w:type="pct"/>
            <w:vAlign w:val="center"/>
          </w:tcPr>
          <w:p w14:paraId="68460EE0">
            <w:pPr>
              <w:jc w:val="center"/>
              <w:rPr>
                <w:color w:val="auto"/>
                <w:sz w:val="18"/>
                <w:szCs w:val="18"/>
                <w:highlight w:val="none"/>
              </w:rPr>
            </w:pPr>
          </w:p>
        </w:tc>
        <w:tc>
          <w:tcPr>
            <w:tcW w:w="482" w:type="pct"/>
            <w:vAlign w:val="center"/>
          </w:tcPr>
          <w:p w14:paraId="62B59EE2">
            <w:pPr>
              <w:jc w:val="center"/>
              <w:rPr>
                <w:color w:val="auto"/>
                <w:sz w:val="18"/>
                <w:szCs w:val="18"/>
                <w:highlight w:val="none"/>
              </w:rPr>
            </w:pPr>
          </w:p>
        </w:tc>
        <w:tc>
          <w:tcPr>
            <w:tcW w:w="809" w:type="pct"/>
            <w:vAlign w:val="center"/>
          </w:tcPr>
          <w:p w14:paraId="6C9D3970">
            <w:pPr>
              <w:jc w:val="center"/>
              <w:rPr>
                <w:color w:val="auto"/>
                <w:sz w:val="18"/>
                <w:szCs w:val="18"/>
                <w:highlight w:val="none"/>
              </w:rPr>
            </w:pPr>
          </w:p>
        </w:tc>
        <w:tc>
          <w:tcPr>
            <w:tcW w:w="641" w:type="pct"/>
            <w:vAlign w:val="center"/>
          </w:tcPr>
          <w:p w14:paraId="66B168C2">
            <w:pPr>
              <w:jc w:val="center"/>
              <w:rPr>
                <w:color w:val="auto"/>
                <w:sz w:val="18"/>
                <w:szCs w:val="18"/>
                <w:highlight w:val="none"/>
              </w:rPr>
            </w:pPr>
          </w:p>
        </w:tc>
        <w:tc>
          <w:tcPr>
            <w:tcW w:w="724" w:type="pct"/>
            <w:vAlign w:val="center"/>
          </w:tcPr>
          <w:p w14:paraId="3F0CCA0C">
            <w:pPr>
              <w:jc w:val="center"/>
              <w:rPr>
                <w:color w:val="auto"/>
                <w:sz w:val="18"/>
                <w:szCs w:val="18"/>
                <w:highlight w:val="none"/>
              </w:rPr>
            </w:pPr>
          </w:p>
        </w:tc>
      </w:tr>
      <w:tr w14:paraId="1BC925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4120E1C4">
            <w:pPr>
              <w:jc w:val="center"/>
              <w:rPr>
                <w:color w:val="auto"/>
                <w:sz w:val="18"/>
                <w:szCs w:val="18"/>
                <w:highlight w:val="none"/>
              </w:rPr>
            </w:pPr>
          </w:p>
        </w:tc>
        <w:tc>
          <w:tcPr>
            <w:tcW w:w="728" w:type="pct"/>
            <w:vAlign w:val="center"/>
          </w:tcPr>
          <w:p w14:paraId="2581E3FD">
            <w:pPr>
              <w:jc w:val="center"/>
              <w:rPr>
                <w:color w:val="auto"/>
                <w:sz w:val="18"/>
                <w:szCs w:val="18"/>
                <w:highlight w:val="none"/>
              </w:rPr>
            </w:pPr>
          </w:p>
        </w:tc>
        <w:tc>
          <w:tcPr>
            <w:tcW w:w="597" w:type="pct"/>
            <w:vAlign w:val="center"/>
          </w:tcPr>
          <w:p w14:paraId="031414D7">
            <w:pPr>
              <w:jc w:val="center"/>
              <w:rPr>
                <w:color w:val="auto"/>
                <w:sz w:val="18"/>
                <w:szCs w:val="18"/>
                <w:highlight w:val="none"/>
              </w:rPr>
            </w:pPr>
          </w:p>
        </w:tc>
        <w:tc>
          <w:tcPr>
            <w:tcW w:w="668" w:type="pct"/>
            <w:vAlign w:val="center"/>
          </w:tcPr>
          <w:p w14:paraId="34702ADD">
            <w:pPr>
              <w:jc w:val="center"/>
              <w:rPr>
                <w:color w:val="auto"/>
                <w:sz w:val="18"/>
                <w:szCs w:val="18"/>
                <w:highlight w:val="none"/>
              </w:rPr>
            </w:pPr>
          </w:p>
        </w:tc>
        <w:tc>
          <w:tcPr>
            <w:tcW w:w="482" w:type="pct"/>
            <w:vAlign w:val="center"/>
          </w:tcPr>
          <w:p w14:paraId="4E2920F3">
            <w:pPr>
              <w:jc w:val="center"/>
              <w:rPr>
                <w:color w:val="auto"/>
                <w:sz w:val="18"/>
                <w:szCs w:val="18"/>
                <w:highlight w:val="none"/>
              </w:rPr>
            </w:pPr>
          </w:p>
        </w:tc>
        <w:tc>
          <w:tcPr>
            <w:tcW w:w="809" w:type="pct"/>
            <w:vAlign w:val="center"/>
          </w:tcPr>
          <w:p w14:paraId="1AE1F1C2">
            <w:pPr>
              <w:jc w:val="center"/>
              <w:rPr>
                <w:color w:val="auto"/>
                <w:sz w:val="18"/>
                <w:szCs w:val="18"/>
                <w:highlight w:val="none"/>
              </w:rPr>
            </w:pPr>
          </w:p>
        </w:tc>
        <w:tc>
          <w:tcPr>
            <w:tcW w:w="641" w:type="pct"/>
            <w:vAlign w:val="center"/>
          </w:tcPr>
          <w:p w14:paraId="69044D08">
            <w:pPr>
              <w:jc w:val="center"/>
              <w:rPr>
                <w:color w:val="auto"/>
                <w:sz w:val="18"/>
                <w:szCs w:val="18"/>
                <w:highlight w:val="none"/>
              </w:rPr>
            </w:pPr>
          </w:p>
        </w:tc>
        <w:tc>
          <w:tcPr>
            <w:tcW w:w="724" w:type="pct"/>
            <w:vAlign w:val="center"/>
          </w:tcPr>
          <w:p w14:paraId="650C1687">
            <w:pPr>
              <w:jc w:val="center"/>
              <w:rPr>
                <w:color w:val="auto"/>
                <w:sz w:val="18"/>
                <w:szCs w:val="18"/>
                <w:highlight w:val="none"/>
              </w:rPr>
            </w:pPr>
          </w:p>
        </w:tc>
      </w:tr>
      <w:tr w14:paraId="7AA824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0EA0BA5A">
            <w:pPr>
              <w:jc w:val="center"/>
              <w:rPr>
                <w:color w:val="auto"/>
                <w:sz w:val="18"/>
                <w:szCs w:val="18"/>
                <w:highlight w:val="none"/>
              </w:rPr>
            </w:pPr>
          </w:p>
        </w:tc>
        <w:tc>
          <w:tcPr>
            <w:tcW w:w="728" w:type="pct"/>
            <w:vAlign w:val="center"/>
          </w:tcPr>
          <w:p w14:paraId="4719BDC0">
            <w:pPr>
              <w:jc w:val="center"/>
              <w:rPr>
                <w:color w:val="auto"/>
                <w:sz w:val="18"/>
                <w:szCs w:val="18"/>
                <w:highlight w:val="none"/>
              </w:rPr>
            </w:pPr>
          </w:p>
        </w:tc>
        <w:tc>
          <w:tcPr>
            <w:tcW w:w="597" w:type="pct"/>
            <w:vAlign w:val="center"/>
          </w:tcPr>
          <w:p w14:paraId="41914B49">
            <w:pPr>
              <w:jc w:val="center"/>
              <w:rPr>
                <w:color w:val="auto"/>
                <w:sz w:val="18"/>
                <w:szCs w:val="18"/>
                <w:highlight w:val="none"/>
              </w:rPr>
            </w:pPr>
          </w:p>
        </w:tc>
        <w:tc>
          <w:tcPr>
            <w:tcW w:w="668" w:type="pct"/>
            <w:vAlign w:val="center"/>
          </w:tcPr>
          <w:p w14:paraId="7E0215DE">
            <w:pPr>
              <w:jc w:val="center"/>
              <w:rPr>
                <w:color w:val="auto"/>
                <w:sz w:val="18"/>
                <w:szCs w:val="18"/>
                <w:highlight w:val="none"/>
              </w:rPr>
            </w:pPr>
          </w:p>
        </w:tc>
        <w:tc>
          <w:tcPr>
            <w:tcW w:w="482" w:type="pct"/>
            <w:vAlign w:val="center"/>
          </w:tcPr>
          <w:p w14:paraId="310DEA7F">
            <w:pPr>
              <w:jc w:val="center"/>
              <w:rPr>
                <w:color w:val="auto"/>
                <w:sz w:val="18"/>
                <w:szCs w:val="18"/>
                <w:highlight w:val="none"/>
              </w:rPr>
            </w:pPr>
          </w:p>
        </w:tc>
        <w:tc>
          <w:tcPr>
            <w:tcW w:w="809" w:type="pct"/>
            <w:vAlign w:val="center"/>
          </w:tcPr>
          <w:p w14:paraId="7DE9E5EC">
            <w:pPr>
              <w:jc w:val="center"/>
              <w:rPr>
                <w:color w:val="auto"/>
                <w:sz w:val="18"/>
                <w:szCs w:val="18"/>
                <w:highlight w:val="none"/>
              </w:rPr>
            </w:pPr>
          </w:p>
        </w:tc>
        <w:tc>
          <w:tcPr>
            <w:tcW w:w="641" w:type="pct"/>
            <w:vAlign w:val="center"/>
          </w:tcPr>
          <w:p w14:paraId="11267C22">
            <w:pPr>
              <w:jc w:val="center"/>
              <w:rPr>
                <w:color w:val="auto"/>
                <w:sz w:val="18"/>
                <w:szCs w:val="18"/>
                <w:highlight w:val="none"/>
              </w:rPr>
            </w:pPr>
          </w:p>
        </w:tc>
        <w:tc>
          <w:tcPr>
            <w:tcW w:w="724" w:type="pct"/>
            <w:vAlign w:val="center"/>
          </w:tcPr>
          <w:p w14:paraId="0C74DF53">
            <w:pPr>
              <w:jc w:val="center"/>
              <w:rPr>
                <w:color w:val="auto"/>
                <w:sz w:val="18"/>
                <w:szCs w:val="18"/>
                <w:highlight w:val="none"/>
              </w:rPr>
            </w:pPr>
          </w:p>
        </w:tc>
      </w:tr>
      <w:tr w14:paraId="234B88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1F96E365">
            <w:pPr>
              <w:jc w:val="center"/>
              <w:rPr>
                <w:color w:val="auto"/>
                <w:sz w:val="18"/>
                <w:szCs w:val="18"/>
                <w:highlight w:val="none"/>
              </w:rPr>
            </w:pPr>
          </w:p>
        </w:tc>
        <w:tc>
          <w:tcPr>
            <w:tcW w:w="728" w:type="pct"/>
            <w:vAlign w:val="center"/>
          </w:tcPr>
          <w:p w14:paraId="7A9E6717">
            <w:pPr>
              <w:jc w:val="center"/>
              <w:rPr>
                <w:color w:val="auto"/>
                <w:sz w:val="18"/>
                <w:szCs w:val="18"/>
                <w:highlight w:val="none"/>
              </w:rPr>
            </w:pPr>
          </w:p>
        </w:tc>
        <w:tc>
          <w:tcPr>
            <w:tcW w:w="597" w:type="pct"/>
            <w:vAlign w:val="center"/>
          </w:tcPr>
          <w:p w14:paraId="29E5CF8C">
            <w:pPr>
              <w:jc w:val="center"/>
              <w:rPr>
                <w:color w:val="auto"/>
                <w:sz w:val="18"/>
                <w:szCs w:val="18"/>
                <w:highlight w:val="none"/>
              </w:rPr>
            </w:pPr>
          </w:p>
        </w:tc>
        <w:tc>
          <w:tcPr>
            <w:tcW w:w="668" w:type="pct"/>
            <w:vAlign w:val="center"/>
          </w:tcPr>
          <w:p w14:paraId="705800CD">
            <w:pPr>
              <w:jc w:val="center"/>
              <w:rPr>
                <w:color w:val="auto"/>
                <w:sz w:val="18"/>
                <w:szCs w:val="18"/>
                <w:highlight w:val="none"/>
              </w:rPr>
            </w:pPr>
          </w:p>
        </w:tc>
        <w:tc>
          <w:tcPr>
            <w:tcW w:w="482" w:type="pct"/>
            <w:vAlign w:val="center"/>
          </w:tcPr>
          <w:p w14:paraId="7B23BB98">
            <w:pPr>
              <w:jc w:val="center"/>
              <w:rPr>
                <w:color w:val="auto"/>
                <w:sz w:val="18"/>
                <w:szCs w:val="18"/>
                <w:highlight w:val="none"/>
              </w:rPr>
            </w:pPr>
          </w:p>
        </w:tc>
        <w:tc>
          <w:tcPr>
            <w:tcW w:w="809" w:type="pct"/>
            <w:vAlign w:val="center"/>
          </w:tcPr>
          <w:p w14:paraId="24E0B1A1">
            <w:pPr>
              <w:jc w:val="center"/>
              <w:rPr>
                <w:color w:val="auto"/>
                <w:sz w:val="18"/>
                <w:szCs w:val="18"/>
                <w:highlight w:val="none"/>
              </w:rPr>
            </w:pPr>
          </w:p>
        </w:tc>
        <w:tc>
          <w:tcPr>
            <w:tcW w:w="641" w:type="pct"/>
            <w:vAlign w:val="center"/>
          </w:tcPr>
          <w:p w14:paraId="5B0B2742">
            <w:pPr>
              <w:jc w:val="center"/>
              <w:rPr>
                <w:color w:val="auto"/>
                <w:sz w:val="18"/>
                <w:szCs w:val="18"/>
                <w:highlight w:val="none"/>
              </w:rPr>
            </w:pPr>
          </w:p>
        </w:tc>
        <w:tc>
          <w:tcPr>
            <w:tcW w:w="724" w:type="pct"/>
            <w:vAlign w:val="center"/>
          </w:tcPr>
          <w:p w14:paraId="55EDEA8A">
            <w:pPr>
              <w:jc w:val="center"/>
              <w:rPr>
                <w:color w:val="auto"/>
                <w:sz w:val="18"/>
                <w:szCs w:val="18"/>
                <w:highlight w:val="none"/>
              </w:rPr>
            </w:pPr>
          </w:p>
        </w:tc>
      </w:tr>
      <w:tr w14:paraId="06347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3C52975">
            <w:pPr>
              <w:jc w:val="center"/>
              <w:rPr>
                <w:color w:val="auto"/>
                <w:sz w:val="18"/>
                <w:szCs w:val="18"/>
                <w:highlight w:val="none"/>
              </w:rPr>
            </w:pPr>
          </w:p>
        </w:tc>
        <w:tc>
          <w:tcPr>
            <w:tcW w:w="728" w:type="pct"/>
            <w:vAlign w:val="center"/>
          </w:tcPr>
          <w:p w14:paraId="5DD44458">
            <w:pPr>
              <w:jc w:val="center"/>
              <w:rPr>
                <w:color w:val="auto"/>
                <w:sz w:val="18"/>
                <w:szCs w:val="18"/>
                <w:highlight w:val="none"/>
              </w:rPr>
            </w:pPr>
          </w:p>
        </w:tc>
        <w:tc>
          <w:tcPr>
            <w:tcW w:w="597" w:type="pct"/>
            <w:vAlign w:val="center"/>
          </w:tcPr>
          <w:p w14:paraId="334ED1D1">
            <w:pPr>
              <w:jc w:val="center"/>
              <w:rPr>
                <w:color w:val="auto"/>
                <w:sz w:val="18"/>
                <w:szCs w:val="18"/>
                <w:highlight w:val="none"/>
              </w:rPr>
            </w:pPr>
          </w:p>
        </w:tc>
        <w:tc>
          <w:tcPr>
            <w:tcW w:w="668" w:type="pct"/>
            <w:vAlign w:val="center"/>
          </w:tcPr>
          <w:p w14:paraId="71D3FD57">
            <w:pPr>
              <w:jc w:val="center"/>
              <w:rPr>
                <w:color w:val="auto"/>
                <w:sz w:val="18"/>
                <w:szCs w:val="18"/>
                <w:highlight w:val="none"/>
              </w:rPr>
            </w:pPr>
          </w:p>
        </w:tc>
        <w:tc>
          <w:tcPr>
            <w:tcW w:w="482" w:type="pct"/>
            <w:vAlign w:val="center"/>
          </w:tcPr>
          <w:p w14:paraId="6CAAD835">
            <w:pPr>
              <w:jc w:val="center"/>
              <w:rPr>
                <w:color w:val="auto"/>
                <w:sz w:val="18"/>
                <w:szCs w:val="18"/>
                <w:highlight w:val="none"/>
              </w:rPr>
            </w:pPr>
          </w:p>
        </w:tc>
        <w:tc>
          <w:tcPr>
            <w:tcW w:w="809" w:type="pct"/>
            <w:vAlign w:val="center"/>
          </w:tcPr>
          <w:p w14:paraId="71354EC7">
            <w:pPr>
              <w:jc w:val="center"/>
              <w:rPr>
                <w:color w:val="auto"/>
                <w:sz w:val="18"/>
                <w:szCs w:val="18"/>
                <w:highlight w:val="none"/>
              </w:rPr>
            </w:pPr>
          </w:p>
        </w:tc>
        <w:tc>
          <w:tcPr>
            <w:tcW w:w="641" w:type="pct"/>
            <w:vAlign w:val="center"/>
          </w:tcPr>
          <w:p w14:paraId="251C2D4B">
            <w:pPr>
              <w:jc w:val="center"/>
              <w:rPr>
                <w:color w:val="auto"/>
                <w:sz w:val="18"/>
                <w:szCs w:val="18"/>
                <w:highlight w:val="none"/>
              </w:rPr>
            </w:pPr>
          </w:p>
        </w:tc>
        <w:tc>
          <w:tcPr>
            <w:tcW w:w="724" w:type="pct"/>
            <w:vAlign w:val="center"/>
          </w:tcPr>
          <w:p w14:paraId="4502599B">
            <w:pPr>
              <w:jc w:val="center"/>
              <w:rPr>
                <w:color w:val="auto"/>
                <w:sz w:val="18"/>
                <w:szCs w:val="18"/>
                <w:highlight w:val="none"/>
              </w:rPr>
            </w:pPr>
          </w:p>
        </w:tc>
      </w:tr>
      <w:tr w14:paraId="437E92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2564B4F3">
            <w:pPr>
              <w:jc w:val="center"/>
              <w:rPr>
                <w:color w:val="auto"/>
                <w:sz w:val="18"/>
                <w:szCs w:val="18"/>
                <w:highlight w:val="none"/>
              </w:rPr>
            </w:pPr>
          </w:p>
        </w:tc>
        <w:tc>
          <w:tcPr>
            <w:tcW w:w="728" w:type="pct"/>
            <w:vAlign w:val="center"/>
          </w:tcPr>
          <w:p w14:paraId="237E9F34">
            <w:pPr>
              <w:jc w:val="center"/>
              <w:rPr>
                <w:color w:val="auto"/>
                <w:sz w:val="18"/>
                <w:szCs w:val="18"/>
                <w:highlight w:val="none"/>
              </w:rPr>
            </w:pPr>
          </w:p>
        </w:tc>
        <w:tc>
          <w:tcPr>
            <w:tcW w:w="597" w:type="pct"/>
            <w:vAlign w:val="center"/>
          </w:tcPr>
          <w:p w14:paraId="4BAE47F6">
            <w:pPr>
              <w:jc w:val="center"/>
              <w:rPr>
                <w:color w:val="auto"/>
                <w:sz w:val="18"/>
                <w:szCs w:val="18"/>
                <w:highlight w:val="none"/>
              </w:rPr>
            </w:pPr>
          </w:p>
        </w:tc>
        <w:tc>
          <w:tcPr>
            <w:tcW w:w="668" w:type="pct"/>
            <w:vAlign w:val="center"/>
          </w:tcPr>
          <w:p w14:paraId="780B7970">
            <w:pPr>
              <w:jc w:val="center"/>
              <w:rPr>
                <w:color w:val="auto"/>
                <w:sz w:val="18"/>
                <w:szCs w:val="18"/>
                <w:highlight w:val="none"/>
              </w:rPr>
            </w:pPr>
          </w:p>
        </w:tc>
        <w:tc>
          <w:tcPr>
            <w:tcW w:w="482" w:type="pct"/>
            <w:vAlign w:val="center"/>
          </w:tcPr>
          <w:p w14:paraId="6B3EAC0E">
            <w:pPr>
              <w:jc w:val="center"/>
              <w:rPr>
                <w:color w:val="auto"/>
                <w:sz w:val="18"/>
                <w:szCs w:val="18"/>
                <w:highlight w:val="none"/>
              </w:rPr>
            </w:pPr>
          </w:p>
        </w:tc>
        <w:tc>
          <w:tcPr>
            <w:tcW w:w="809" w:type="pct"/>
            <w:vAlign w:val="center"/>
          </w:tcPr>
          <w:p w14:paraId="5E5B845A">
            <w:pPr>
              <w:jc w:val="center"/>
              <w:rPr>
                <w:color w:val="auto"/>
                <w:sz w:val="18"/>
                <w:szCs w:val="18"/>
                <w:highlight w:val="none"/>
              </w:rPr>
            </w:pPr>
          </w:p>
        </w:tc>
        <w:tc>
          <w:tcPr>
            <w:tcW w:w="641" w:type="pct"/>
            <w:vAlign w:val="center"/>
          </w:tcPr>
          <w:p w14:paraId="77F166DB">
            <w:pPr>
              <w:jc w:val="center"/>
              <w:rPr>
                <w:color w:val="auto"/>
                <w:sz w:val="18"/>
                <w:szCs w:val="18"/>
                <w:highlight w:val="none"/>
              </w:rPr>
            </w:pPr>
          </w:p>
        </w:tc>
        <w:tc>
          <w:tcPr>
            <w:tcW w:w="724" w:type="pct"/>
            <w:vAlign w:val="center"/>
          </w:tcPr>
          <w:p w14:paraId="0303CA8F">
            <w:pPr>
              <w:jc w:val="center"/>
              <w:rPr>
                <w:color w:val="auto"/>
                <w:sz w:val="18"/>
                <w:szCs w:val="18"/>
                <w:highlight w:val="none"/>
              </w:rPr>
            </w:pPr>
          </w:p>
        </w:tc>
      </w:tr>
      <w:tr w14:paraId="42B2D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9B824EC">
            <w:pPr>
              <w:jc w:val="center"/>
              <w:rPr>
                <w:color w:val="auto"/>
                <w:sz w:val="18"/>
                <w:szCs w:val="18"/>
                <w:highlight w:val="none"/>
              </w:rPr>
            </w:pPr>
          </w:p>
        </w:tc>
        <w:tc>
          <w:tcPr>
            <w:tcW w:w="728" w:type="pct"/>
            <w:vAlign w:val="center"/>
          </w:tcPr>
          <w:p w14:paraId="586D6007">
            <w:pPr>
              <w:jc w:val="center"/>
              <w:rPr>
                <w:color w:val="auto"/>
                <w:sz w:val="18"/>
                <w:szCs w:val="18"/>
                <w:highlight w:val="none"/>
              </w:rPr>
            </w:pPr>
          </w:p>
        </w:tc>
        <w:tc>
          <w:tcPr>
            <w:tcW w:w="597" w:type="pct"/>
            <w:vAlign w:val="center"/>
          </w:tcPr>
          <w:p w14:paraId="7709D4C4">
            <w:pPr>
              <w:jc w:val="center"/>
              <w:rPr>
                <w:color w:val="auto"/>
                <w:sz w:val="18"/>
                <w:szCs w:val="18"/>
                <w:highlight w:val="none"/>
              </w:rPr>
            </w:pPr>
          </w:p>
        </w:tc>
        <w:tc>
          <w:tcPr>
            <w:tcW w:w="668" w:type="pct"/>
            <w:vAlign w:val="center"/>
          </w:tcPr>
          <w:p w14:paraId="4F345671">
            <w:pPr>
              <w:jc w:val="center"/>
              <w:rPr>
                <w:color w:val="auto"/>
                <w:sz w:val="18"/>
                <w:szCs w:val="18"/>
                <w:highlight w:val="none"/>
              </w:rPr>
            </w:pPr>
          </w:p>
        </w:tc>
        <w:tc>
          <w:tcPr>
            <w:tcW w:w="482" w:type="pct"/>
            <w:vAlign w:val="center"/>
          </w:tcPr>
          <w:p w14:paraId="25E514FA">
            <w:pPr>
              <w:jc w:val="center"/>
              <w:rPr>
                <w:color w:val="auto"/>
                <w:sz w:val="18"/>
                <w:szCs w:val="18"/>
                <w:highlight w:val="none"/>
              </w:rPr>
            </w:pPr>
          </w:p>
        </w:tc>
        <w:tc>
          <w:tcPr>
            <w:tcW w:w="809" w:type="pct"/>
            <w:vAlign w:val="center"/>
          </w:tcPr>
          <w:p w14:paraId="6062922F">
            <w:pPr>
              <w:jc w:val="center"/>
              <w:rPr>
                <w:color w:val="auto"/>
                <w:sz w:val="18"/>
                <w:szCs w:val="18"/>
                <w:highlight w:val="none"/>
              </w:rPr>
            </w:pPr>
          </w:p>
        </w:tc>
        <w:tc>
          <w:tcPr>
            <w:tcW w:w="641" w:type="pct"/>
            <w:vAlign w:val="center"/>
          </w:tcPr>
          <w:p w14:paraId="408F0D56">
            <w:pPr>
              <w:jc w:val="center"/>
              <w:rPr>
                <w:color w:val="auto"/>
                <w:sz w:val="18"/>
                <w:szCs w:val="18"/>
                <w:highlight w:val="none"/>
              </w:rPr>
            </w:pPr>
          </w:p>
        </w:tc>
        <w:tc>
          <w:tcPr>
            <w:tcW w:w="724" w:type="pct"/>
            <w:vAlign w:val="center"/>
          </w:tcPr>
          <w:p w14:paraId="4AFF642C">
            <w:pPr>
              <w:jc w:val="center"/>
              <w:rPr>
                <w:color w:val="auto"/>
                <w:sz w:val="18"/>
                <w:szCs w:val="18"/>
                <w:highlight w:val="none"/>
              </w:rPr>
            </w:pPr>
          </w:p>
        </w:tc>
      </w:tr>
      <w:tr w14:paraId="230890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6183E87E">
            <w:pPr>
              <w:jc w:val="center"/>
              <w:rPr>
                <w:color w:val="auto"/>
                <w:sz w:val="18"/>
                <w:szCs w:val="18"/>
                <w:highlight w:val="none"/>
              </w:rPr>
            </w:pPr>
          </w:p>
        </w:tc>
        <w:tc>
          <w:tcPr>
            <w:tcW w:w="728" w:type="pct"/>
            <w:vAlign w:val="center"/>
          </w:tcPr>
          <w:p w14:paraId="1C7B118D">
            <w:pPr>
              <w:jc w:val="center"/>
              <w:rPr>
                <w:color w:val="auto"/>
                <w:sz w:val="18"/>
                <w:szCs w:val="18"/>
                <w:highlight w:val="none"/>
              </w:rPr>
            </w:pPr>
          </w:p>
        </w:tc>
        <w:tc>
          <w:tcPr>
            <w:tcW w:w="597" w:type="pct"/>
            <w:vAlign w:val="center"/>
          </w:tcPr>
          <w:p w14:paraId="385D17A7">
            <w:pPr>
              <w:jc w:val="center"/>
              <w:rPr>
                <w:color w:val="auto"/>
                <w:sz w:val="18"/>
                <w:szCs w:val="18"/>
                <w:highlight w:val="none"/>
              </w:rPr>
            </w:pPr>
          </w:p>
        </w:tc>
        <w:tc>
          <w:tcPr>
            <w:tcW w:w="668" w:type="pct"/>
            <w:vAlign w:val="center"/>
          </w:tcPr>
          <w:p w14:paraId="66613BCE">
            <w:pPr>
              <w:jc w:val="center"/>
              <w:rPr>
                <w:color w:val="auto"/>
                <w:sz w:val="18"/>
                <w:szCs w:val="18"/>
                <w:highlight w:val="none"/>
              </w:rPr>
            </w:pPr>
          </w:p>
        </w:tc>
        <w:tc>
          <w:tcPr>
            <w:tcW w:w="482" w:type="pct"/>
            <w:vAlign w:val="center"/>
          </w:tcPr>
          <w:p w14:paraId="3B403B62">
            <w:pPr>
              <w:jc w:val="center"/>
              <w:rPr>
                <w:color w:val="auto"/>
                <w:sz w:val="18"/>
                <w:szCs w:val="18"/>
                <w:highlight w:val="none"/>
              </w:rPr>
            </w:pPr>
          </w:p>
        </w:tc>
        <w:tc>
          <w:tcPr>
            <w:tcW w:w="809" w:type="pct"/>
            <w:vAlign w:val="center"/>
          </w:tcPr>
          <w:p w14:paraId="2A32E782">
            <w:pPr>
              <w:jc w:val="center"/>
              <w:rPr>
                <w:color w:val="auto"/>
                <w:sz w:val="18"/>
                <w:szCs w:val="18"/>
                <w:highlight w:val="none"/>
              </w:rPr>
            </w:pPr>
          </w:p>
        </w:tc>
        <w:tc>
          <w:tcPr>
            <w:tcW w:w="641" w:type="pct"/>
            <w:vAlign w:val="center"/>
          </w:tcPr>
          <w:p w14:paraId="7DE835F2">
            <w:pPr>
              <w:jc w:val="center"/>
              <w:rPr>
                <w:color w:val="auto"/>
                <w:sz w:val="18"/>
                <w:szCs w:val="18"/>
                <w:highlight w:val="none"/>
              </w:rPr>
            </w:pPr>
          </w:p>
        </w:tc>
        <w:tc>
          <w:tcPr>
            <w:tcW w:w="724" w:type="pct"/>
            <w:vAlign w:val="center"/>
          </w:tcPr>
          <w:p w14:paraId="506A8F4E">
            <w:pPr>
              <w:jc w:val="center"/>
              <w:rPr>
                <w:color w:val="auto"/>
                <w:sz w:val="18"/>
                <w:szCs w:val="18"/>
                <w:highlight w:val="none"/>
              </w:rPr>
            </w:pPr>
          </w:p>
        </w:tc>
      </w:tr>
      <w:tr w14:paraId="67A273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352" w:type="pct"/>
            <w:vAlign w:val="center"/>
          </w:tcPr>
          <w:p w14:paraId="1A8B586F">
            <w:pPr>
              <w:jc w:val="center"/>
              <w:rPr>
                <w:color w:val="auto"/>
                <w:sz w:val="18"/>
                <w:szCs w:val="18"/>
                <w:highlight w:val="none"/>
              </w:rPr>
            </w:pPr>
          </w:p>
        </w:tc>
        <w:tc>
          <w:tcPr>
            <w:tcW w:w="728" w:type="pct"/>
            <w:vAlign w:val="center"/>
          </w:tcPr>
          <w:p w14:paraId="6ECC4AA7">
            <w:pPr>
              <w:jc w:val="center"/>
              <w:rPr>
                <w:color w:val="auto"/>
                <w:sz w:val="18"/>
                <w:szCs w:val="18"/>
                <w:highlight w:val="none"/>
              </w:rPr>
            </w:pPr>
          </w:p>
        </w:tc>
        <w:tc>
          <w:tcPr>
            <w:tcW w:w="597" w:type="pct"/>
            <w:vAlign w:val="center"/>
          </w:tcPr>
          <w:p w14:paraId="2E58C894">
            <w:pPr>
              <w:jc w:val="center"/>
              <w:rPr>
                <w:color w:val="auto"/>
                <w:sz w:val="18"/>
                <w:szCs w:val="18"/>
                <w:highlight w:val="none"/>
              </w:rPr>
            </w:pPr>
          </w:p>
        </w:tc>
        <w:tc>
          <w:tcPr>
            <w:tcW w:w="668" w:type="pct"/>
            <w:vAlign w:val="center"/>
          </w:tcPr>
          <w:p w14:paraId="1F139C6D">
            <w:pPr>
              <w:jc w:val="center"/>
              <w:rPr>
                <w:color w:val="auto"/>
                <w:sz w:val="18"/>
                <w:szCs w:val="18"/>
                <w:highlight w:val="none"/>
              </w:rPr>
            </w:pPr>
          </w:p>
        </w:tc>
        <w:tc>
          <w:tcPr>
            <w:tcW w:w="482" w:type="pct"/>
            <w:vAlign w:val="center"/>
          </w:tcPr>
          <w:p w14:paraId="4E64C016">
            <w:pPr>
              <w:jc w:val="center"/>
              <w:rPr>
                <w:color w:val="auto"/>
                <w:sz w:val="18"/>
                <w:szCs w:val="18"/>
                <w:highlight w:val="none"/>
              </w:rPr>
            </w:pPr>
          </w:p>
        </w:tc>
        <w:tc>
          <w:tcPr>
            <w:tcW w:w="809" w:type="pct"/>
            <w:vAlign w:val="center"/>
          </w:tcPr>
          <w:p w14:paraId="0A29F891">
            <w:pPr>
              <w:jc w:val="center"/>
              <w:rPr>
                <w:color w:val="auto"/>
                <w:sz w:val="18"/>
                <w:szCs w:val="18"/>
                <w:highlight w:val="none"/>
              </w:rPr>
            </w:pPr>
          </w:p>
        </w:tc>
        <w:tc>
          <w:tcPr>
            <w:tcW w:w="641" w:type="pct"/>
            <w:vAlign w:val="center"/>
          </w:tcPr>
          <w:p w14:paraId="07318DB9">
            <w:pPr>
              <w:jc w:val="center"/>
              <w:rPr>
                <w:color w:val="auto"/>
                <w:sz w:val="18"/>
                <w:szCs w:val="18"/>
                <w:highlight w:val="none"/>
              </w:rPr>
            </w:pPr>
          </w:p>
        </w:tc>
        <w:tc>
          <w:tcPr>
            <w:tcW w:w="724" w:type="pct"/>
            <w:vAlign w:val="center"/>
          </w:tcPr>
          <w:p w14:paraId="1316AAC8">
            <w:pPr>
              <w:jc w:val="center"/>
              <w:rPr>
                <w:color w:val="auto"/>
                <w:sz w:val="18"/>
                <w:szCs w:val="18"/>
                <w:highlight w:val="none"/>
              </w:rPr>
            </w:pPr>
          </w:p>
        </w:tc>
      </w:tr>
    </w:tbl>
    <w:p w14:paraId="5E33F6D7">
      <w:pPr>
        <w:spacing w:line="360" w:lineRule="auto"/>
        <w:rPr>
          <w:color w:val="auto"/>
          <w:szCs w:val="21"/>
          <w:highlight w:val="none"/>
        </w:rPr>
      </w:pPr>
      <w:r>
        <w:rPr>
          <w:rFonts w:hint="eastAsia"/>
          <w:color w:val="auto"/>
          <w:szCs w:val="21"/>
          <w:highlight w:val="none"/>
        </w:rPr>
        <w:t>注：主要人员指项目负责人、技术、生产、商务、质量、安全、物资、设备等负责人。</w:t>
      </w:r>
    </w:p>
    <w:p w14:paraId="0A917DCF">
      <w:pPr>
        <w:spacing w:line="360" w:lineRule="auto"/>
        <w:rPr>
          <w:color w:val="auto"/>
          <w:szCs w:val="21"/>
          <w:highlight w:val="none"/>
        </w:rPr>
      </w:pPr>
    </w:p>
    <w:p w14:paraId="0A9430AA">
      <w:pPr>
        <w:spacing w:line="360" w:lineRule="auto"/>
        <w:rPr>
          <w:color w:val="auto"/>
          <w:szCs w:val="21"/>
          <w:highlight w:val="none"/>
        </w:rPr>
      </w:pPr>
      <w:r>
        <w:rPr>
          <w:color w:val="auto"/>
          <w:szCs w:val="21"/>
          <w:highlight w:val="none"/>
        </w:rPr>
        <w:t>响应单位： (盖章)   　法定代表人或授权代理人：(签字) 　 日期：  年 月 日</w:t>
      </w:r>
    </w:p>
    <w:p w14:paraId="721BA1A7">
      <w:pPr>
        <w:spacing w:line="360" w:lineRule="auto"/>
        <w:rPr>
          <w:color w:val="auto"/>
          <w:szCs w:val="21"/>
          <w:highlight w:val="none"/>
        </w:rPr>
      </w:pPr>
    </w:p>
    <w:p w14:paraId="291570D7">
      <w:pPr>
        <w:spacing w:line="360" w:lineRule="auto"/>
        <w:rPr>
          <w:color w:val="auto"/>
          <w:szCs w:val="21"/>
          <w:highlight w:val="none"/>
        </w:rPr>
      </w:pPr>
    </w:p>
    <w:p w14:paraId="7AF9EA21">
      <w:pPr>
        <w:spacing w:line="360" w:lineRule="auto"/>
        <w:rPr>
          <w:color w:val="auto"/>
          <w:szCs w:val="21"/>
          <w:highlight w:val="none"/>
        </w:rPr>
        <w:sectPr>
          <w:pgSz w:w="11907" w:h="16840"/>
          <w:pgMar w:top="1417" w:right="1701" w:bottom="1417" w:left="1701" w:header="850" w:footer="1134" w:gutter="0"/>
          <w:pgNumType w:fmt="decimal"/>
          <w:cols w:space="0" w:num="1"/>
          <w:rtlGutter w:val="0"/>
          <w:docGrid w:linePitch="312" w:charSpace="0"/>
        </w:sectPr>
      </w:pPr>
    </w:p>
    <w:p w14:paraId="4E9B899B">
      <w:pPr>
        <w:pStyle w:val="53"/>
        <w:spacing w:before="120"/>
        <w:rPr>
          <w:rStyle w:val="46"/>
          <w:rFonts w:ascii="Times New Roman" w:hAnsi="Times New Roman" w:eastAsia="宋体" w:cs="Times New Roman"/>
          <w:b/>
          <w:bCs w:val="0"/>
          <w:color w:val="auto"/>
          <w:szCs w:val="24"/>
          <w:highlight w:val="none"/>
        </w:rPr>
      </w:pPr>
      <w:r>
        <w:rPr>
          <w:rStyle w:val="46"/>
          <w:rFonts w:ascii="Times New Roman" w:hAnsi="Times New Roman" w:eastAsia="宋体" w:cs="Times New Roman"/>
          <w:b/>
          <w:bCs w:val="0"/>
          <w:color w:val="auto"/>
          <w:szCs w:val="24"/>
          <w:highlight w:val="none"/>
        </w:rPr>
        <w:t>格式</w:t>
      </w:r>
      <w:r>
        <w:rPr>
          <w:rStyle w:val="46"/>
          <w:rFonts w:hint="eastAsia" w:ascii="Times New Roman" w:hAnsi="Times New Roman" w:eastAsia="宋体" w:cs="Times New Roman"/>
          <w:b/>
          <w:bCs w:val="0"/>
          <w:color w:val="auto"/>
          <w:szCs w:val="24"/>
          <w:highlight w:val="none"/>
        </w:rPr>
        <w:t>9</w:t>
      </w:r>
      <w:r>
        <w:rPr>
          <w:rStyle w:val="46"/>
          <w:rFonts w:ascii="Times New Roman" w:hAnsi="Times New Roman" w:eastAsia="宋体" w:cs="Times New Roman"/>
          <w:b/>
          <w:bCs w:val="0"/>
          <w:color w:val="auto"/>
          <w:szCs w:val="24"/>
          <w:highlight w:val="none"/>
        </w:rPr>
        <w:t xml:space="preserve">  </w:t>
      </w:r>
      <w:r>
        <w:rPr>
          <w:rStyle w:val="46"/>
          <w:rFonts w:hint="eastAsia" w:ascii="Times New Roman" w:hAnsi="Times New Roman" w:eastAsia="宋体" w:cs="Times New Roman"/>
          <w:b/>
          <w:bCs w:val="0"/>
          <w:color w:val="auto"/>
          <w:szCs w:val="24"/>
          <w:highlight w:val="none"/>
        </w:rPr>
        <w:t>拟投入本合同工程主要人员简历表</w:t>
      </w:r>
    </w:p>
    <w:p w14:paraId="3FFADD58">
      <w:pPr>
        <w:jc w:val="center"/>
        <w:rPr>
          <w:b/>
          <w:bCs/>
          <w:color w:val="auto"/>
          <w:sz w:val="28"/>
          <w:szCs w:val="28"/>
          <w:highlight w:val="none"/>
        </w:rPr>
      </w:pPr>
      <w:r>
        <w:rPr>
          <w:b/>
          <w:bCs/>
          <w:color w:val="auto"/>
          <w:sz w:val="28"/>
          <w:szCs w:val="28"/>
          <w:highlight w:val="none"/>
        </w:rPr>
        <w:t>拟投入本合同工程主要人员简历表</w:t>
      </w:r>
    </w:p>
    <w:p w14:paraId="160A513D">
      <w:pPr>
        <w:rPr>
          <w:color w:val="auto"/>
          <w:highlight w:val="none"/>
        </w:rPr>
      </w:pPr>
    </w:p>
    <w:tbl>
      <w:tblPr>
        <w:tblStyle w:val="31"/>
        <w:tblW w:w="884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250"/>
        <w:gridCol w:w="27"/>
        <w:gridCol w:w="24"/>
        <w:gridCol w:w="1474"/>
        <w:gridCol w:w="839"/>
        <w:gridCol w:w="235"/>
        <w:gridCol w:w="1399"/>
        <w:gridCol w:w="341"/>
        <w:gridCol w:w="1564"/>
        <w:gridCol w:w="391"/>
        <w:gridCol w:w="1300"/>
      </w:tblGrid>
      <w:tr w14:paraId="3E8DAA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460" w:hRule="atLeast"/>
          <w:jc w:val="center"/>
        </w:trPr>
        <w:tc>
          <w:tcPr>
            <w:tcW w:w="1250" w:type="dxa"/>
            <w:vAlign w:val="center"/>
          </w:tcPr>
          <w:p w14:paraId="24DB4397">
            <w:pPr>
              <w:widowControl/>
              <w:autoSpaceDE w:val="0"/>
              <w:autoSpaceDN w:val="0"/>
              <w:spacing w:line="380" w:lineRule="exact"/>
              <w:jc w:val="center"/>
              <w:textAlignment w:val="bottom"/>
              <w:rPr>
                <w:color w:val="auto"/>
                <w:szCs w:val="21"/>
                <w:highlight w:val="none"/>
              </w:rPr>
            </w:pPr>
            <w:r>
              <w:rPr>
                <w:color w:val="auto"/>
                <w:szCs w:val="21"/>
                <w:highlight w:val="none"/>
              </w:rPr>
              <w:t>姓名</w:t>
            </w:r>
          </w:p>
        </w:tc>
        <w:tc>
          <w:tcPr>
            <w:tcW w:w="1525" w:type="dxa"/>
            <w:gridSpan w:val="3"/>
            <w:vAlign w:val="center"/>
          </w:tcPr>
          <w:p w14:paraId="0ABCB4B3">
            <w:pPr>
              <w:widowControl/>
              <w:wordWrap w:val="0"/>
              <w:autoSpaceDE w:val="0"/>
              <w:autoSpaceDN w:val="0"/>
              <w:spacing w:line="380" w:lineRule="exact"/>
              <w:jc w:val="center"/>
              <w:textAlignment w:val="bottom"/>
              <w:rPr>
                <w:color w:val="auto"/>
                <w:szCs w:val="21"/>
                <w:highlight w:val="none"/>
              </w:rPr>
            </w:pPr>
          </w:p>
        </w:tc>
        <w:tc>
          <w:tcPr>
            <w:tcW w:w="1074" w:type="dxa"/>
            <w:gridSpan w:val="2"/>
            <w:vAlign w:val="center"/>
          </w:tcPr>
          <w:p w14:paraId="046CFD64">
            <w:pPr>
              <w:widowControl/>
              <w:wordWrap w:val="0"/>
              <w:autoSpaceDE w:val="0"/>
              <w:autoSpaceDN w:val="0"/>
              <w:spacing w:line="380" w:lineRule="exact"/>
              <w:jc w:val="center"/>
              <w:textAlignment w:val="bottom"/>
              <w:rPr>
                <w:color w:val="auto"/>
                <w:szCs w:val="21"/>
                <w:highlight w:val="none"/>
              </w:rPr>
            </w:pPr>
            <w:r>
              <w:rPr>
                <w:color w:val="auto"/>
                <w:szCs w:val="21"/>
                <w:highlight w:val="none"/>
              </w:rPr>
              <w:t>年龄</w:t>
            </w:r>
          </w:p>
        </w:tc>
        <w:tc>
          <w:tcPr>
            <w:tcW w:w="1399" w:type="dxa"/>
          </w:tcPr>
          <w:p w14:paraId="644187F1">
            <w:pPr>
              <w:widowControl/>
              <w:wordWrap w:val="0"/>
              <w:autoSpaceDE w:val="0"/>
              <w:autoSpaceDN w:val="0"/>
              <w:spacing w:line="380" w:lineRule="exact"/>
              <w:jc w:val="center"/>
              <w:textAlignment w:val="bottom"/>
              <w:rPr>
                <w:color w:val="auto"/>
                <w:szCs w:val="21"/>
                <w:highlight w:val="none"/>
              </w:rPr>
            </w:pPr>
          </w:p>
        </w:tc>
        <w:tc>
          <w:tcPr>
            <w:tcW w:w="1905" w:type="dxa"/>
            <w:gridSpan w:val="2"/>
          </w:tcPr>
          <w:p w14:paraId="4109259B">
            <w:pPr>
              <w:widowControl/>
              <w:wordWrap w:val="0"/>
              <w:autoSpaceDE w:val="0"/>
              <w:autoSpaceDN w:val="0"/>
              <w:spacing w:line="380" w:lineRule="exact"/>
              <w:jc w:val="center"/>
              <w:textAlignment w:val="bottom"/>
              <w:rPr>
                <w:color w:val="auto"/>
                <w:szCs w:val="21"/>
                <w:highlight w:val="none"/>
              </w:rPr>
            </w:pPr>
            <w:r>
              <w:rPr>
                <w:color w:val="auto"/>
                <w:szCs w:val="21"/>
                <w:highlight w:val="none"/>
              </w:rPr>
              <w:t>专业</w:t>
            </w:r>
          </w:p>
        </w:tc>
        <w:tc>
          <w:tcPr>
            <w:tcW w:w="1691" w:type="dxa"/>
            <w:gridSpan w:val="2"/>
          </w:tcPr>
          <w:p w14:paraId="16F48B38">
            <w:pPr>
              <w:widowControl/>
              <w:wordWrap w:val="0"/>
              <w:autoSpaceDE w:val="0"/>
              <w:autoSpaceDN w:val="0"/>
              <w:spacing w:line="380" w:lineRule="exact"/>
              <w:textAlignment w:val="bottom"/>
              <w:rPr>
                <w:color w:val="auto"/>
                <w:szCs w:val="21"/>
                <w:highlight w:val="none"/>
              </w:rPr>
            </w:pPr>
          </w:p>
        </w:tc>
      </w:tr>
      <w:tr w14:paraId="76427A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250" w:type="dxa"/>
            <w:vAlign w:val="center"/>
          </w:tcPr>
          <w:p w14:paraId="5BBFA6DA">
            <w:pPr>
              <w:widowControl/>
              <w:wordWrap w:val="0"/>
              <w:autoSpaceDE w:val="0"/>
              <w:autoSpaceDN w:val="0"/>
              <w:spacing w:line="380" w:lineRule="exact"/>
              <w:jc w:val="center"/>
              <w:textAlignment w:val="bottom"/>
              <w:rPr>
                <w:color w:val="auto"/>
                <w:szCs w:val="21"/>
                <w:highlight w:val="none"/>
              </w:rPr>
            </w:pPr>
            <w:r>
              <w:rPr>
                <w:color w:val="auto"/>
                <w:szCs w:val="21"/>
                <w:highlight w:val="none"/>
              </w:rPr>
              <w:t>职称</w:t>
            </w:r>
          </w:p>
        </w:tc>
        <w:tc>
          <w:tcPr>
            <w:tcW w:w="1525" w:type="dxa"/>
            <w:gridSpan w:val="3"/>
            <w:vAlign w:val="center"/>
          </w:tcPr>
          <w:p w14:paraId="6270E5C4">
            <w:pPr>
              <w:widowControl/>
              <w:wordWrap w:val="0"/>
              <w:autoSpaceDE w:val="0"/>
              <w:autoSpaceDN w:val="0"/>
              <w:spacing w:line="380" w:lineRule="exact"/>
              <w:jc w:val="center"/>
              <w:textAlignment w:val="bottom"/>
              <w:rPr>
                <w:color w:val="auto"/>
                <w:szCs w:val="21"/>
                <w:highlight w:val="none"/>
              </w:rPr>
            </w:pPr>
          </w:p>
        </w:tc>
        <w:tc>
          <w:tcPr>
            <w:tcW w:w="1074" w:type="dxa"/>
            <w:gridSpan w:val="2"/>
            <w:vAlign w:val="center"/>
          </w:tcPr>
          <w:p w14:paraId="202B719D">
            <w:pPr>
              <w:widowControl/>
              <w:wordWrap w:val="0"/>
              <w:autoSpaceDE w:val="0"/>
              <w:autoSpaceDN w:val="0"/>
              <w:spacing w:line="380" w:lineRule="exact"/>
              <w:jc w:val="center"/>
              <w:textAlignment w:val="bottom"/>
              <w:rPr>
                <w:color w:val="auto"/>
                <w:szCs w:val="21"/>
                <w:highlight w:val="none"/>
              </w:rPr>
            </w:pPr>
            <w:r>
              <w:rPr>
                <w:color w:val="auto"/>
                <w:szCs w:val="21"/>
                <w:highlight w:val="none"/>
              </w:rPr>
              <w:t>公司单位职务</w:t>
            </w:r>
          </w:p>
        </w:tc>
        <w:tc>
          <w:tcPr>
            <w:tcW w:w="1399" w:type="dxa"/>
          </w:tcPr>
          <w:p w14:paraId="3DB24C9B">
            <w:pPr>
              <w:widowControl/>
              <w:wordWrap w:val="0"/>
              <w:autoSpaceDE w:val="0"/>
              <w:autoSpaceDN w:val="0"/>
              <w:spacing w:line="380" w:lineRule="exact"/>
              <w:jc w:val="center"/>
              <w:textAlignment w:val="bottom"/>
              <w:rPr>
                <w:color w:val="auto"/>
                <w:szCs w:val="21"/>
                <w:highlight w:val="none"/>
              </w:rPr>
            </w:pPr>
          </w:p>
        </w:tc>
        <w:tc>
          <w:tcPr>
            <w:tcW w:w="1905" w:type="dxa"/>
            <w:gridSpan w:val="2"/>
          </w:tcPr>
          <w:p w14:paraId="7C31B577">
            <w:pPr>
              <w:widowControl/>
              <w:wordWrap w:val="0"/>
              <w:autoSpaceDE w:val="0"/>
              <w:autoSpaceDN w:val="0"/>
              <w:spacing w:line="380" w:lineRule="exact"/>
              <w:jc w:val="center"/>
              <w:textAlignment w:val="bottom"/>
              <w:rPr>
                <w:color w:val="auto"/>
                <w:szCs w:val="21"/>
                <w:highlight w:val="none"/>
              </w:rPr>
            </w:pPr>
            <w:r>
              <w:rPr>
                <w:color w:val="auto"/>
                <w:szCs w:val="21"/>
                <w:highlight w:val="none"/>
              </w:rPr>
              <w:t>拟在本</w:t>
            </w:r>
          </w:p>
          <w:p w14:paraId="1A0B8A4C">
            <w:pPr>
              <w:widowControl/>
              <w:wordWrap w:val="0"/>
              <w:autoSpaceDE w:val="0"/>
              <w:autoSpaceDN w:val="0"/>
              <w:spacing w:line="380" w:lineRule="exact"/>
              <w:jc w:val="center"/>
              <w:textAlignment w:val="bottom"/>
              <w:rPr>
                <w:color w:val="auto"/>
                <w:szCs w:val="21"/>
                <w:highlight w:val="none"/>
              </w:rPr>
            </w:pPr>
            <w:r>
              <w:rPr>
                <w:color w:val="auto"/>
                <w:szCs w:val="21"/>
                <w:highlight w:val="none"/>
              </w:rPr>
              <w:t>工程担任职务</w:t>
            </w:r>
          </w:p>
        </w:tc>
        <w:tc>
          <w:tcPr>
            <w:tcW w:w="1691" w:type="dxa"/>
            <w:gridSpan w:val="2"/>
          </w:tcPr>
          <w:p w14:paraId="47C54706">
            <w:pPr>
              <w:widowControl/>
              <w:wordWrap w:val="0"/>
              <w:autoSpaceDE w:val="0"/>
              <w:autoSpaceDN w:val="0"/>
              <w:spacing w:line="380" w:lineRule="exact"/>
              <w:textAlignment w:val="bottom"/>
              <w:rPr>
                <w:color w:val="auto"/>
                <w:szCs w:val="21"/>
                <w:highlight w:val="none"/>
              </w:rPr>
            </w:pPr>
          </w:p>
        </w:tc>
      </w:tr>
      <w:tr w14:paraId="20EF1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trHeight w:val="503" w:hRule="atLeast"/>
          <w:jc w:val="center"/>
        </w:trPr>
        <w:tc>
          <w:tcPr>
            <w:tcW w:w="1250" w:type="dxa"/>
            <w:vAlign w:val="center"/>
          </w:tcPr>
          <w:p w14:paraId="6F668CCF">
            <w:pPr>
              <w:widowControl/>
              <w:wordWrap w:val="0"/>
              <w:autoSpaceDE w:val="0"/>
              <w:autoSpaceDN w:val="0"/>
              <w:spacing w:line="380" w:lineRule="exact"/>
              <w:jc w:val="center"/>
              <w:textAlignment w:val="bottom"/>
              <w:rPr>
                <w:color w:val="auto"/>
                <w:szCs w:val="21"/>
                <w:highlight w:val="none"/>
              </w:rPr>
            </w:pPr>
            <w:r>
              <w:rPr>
                <w:color w:val="auto"/>
                <w:szCs w:val="21"/>
                <w:highlight w:val="none"/>
              </w:rPr>
              <w:t>毕业学校</w:t>
            </w:r>
          </w:p>
        </w:tc>
        <w:tc>
          <w:tcPr>
            <w:tcW w:w="7594" w:type="dxa"/>
            <w:gridSpan w:val="10"/>
            <w:vAlign w:val="center"/>
          </w:tcPr>
          <w:p w14:paraId="4C34CED2">
            <w:pPr>
              <w:widowControl/>
              <w:wordWrap w:val="0"/>
              <w:autoSpaceDE w:val="0"/>
              <w:autoSpaceDN w:val="0"/>
              <w:spacing w:line="380" w:lineRule="exact"/>
              <w:jc w:val="center"/>
              <w:textAlignment w:val="bottom"/>
              <w:rPr>
                <w:color w:val="auto"/>
                <w:szCs w:val="21"/>
                <w:highlight w:val="none"/>
              </w:rPr>
            </w:pPr>
            <w:r>
              <w:rPr>
                <w:color w:val="auto"/>
                <w:szCs w:val="21"/>
                <w:highlight w:val="none"/>
              </w:rPr>
              <w:t>______年___月毕业于___________________学校___________专业，学制______年</w:t>
            </w:r>
          </w:p>
        </w:tc>
      </w:tr>
      <w:tr w14:paraId="7B8BD2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8844" w:type="dxa"/>
            <w:gridSpan w:val="11"/>
            <w:vAlign w:val="center"/>
          </w:tcPr>
          <w:p w14:paraId="1067DCBC">
            <w:pPr>
              <w:widowControl/>
              <w:wordWrap w:val="0"/>
              <w:autoSpaceDE w:val="0"/>
              <w:autoSpaceDN w:val="0"/>
              <w:spacing w:line="380" w:lineRule="exact"/>
              <w:jc w:val="center"/>
              <w:textAlignment w:val="bottom"/>
              <w:rPr>
                <w:color w:val="auto"/>
                <w:szCs w:val="21"/>
                <w:highlight w:val="none"/>
              </w:rPr>
            </w:pPr>
            <w:r>
              <w:rPr>
                <w:color w:val="auto"/>
                <w:szCs w:val="21"/>
                <w:highlight w:val="none"/>
              </w:rPr>
              <w:t>经历</w:t>
            </w:r>
          </w:p>
        </w:tc>
      </w:tr>
      <w:tr w14:paraId="00613D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cantSplit/>
          <w:jc w:val="center"/>
        </w:trPr>
        <w:tc>
          <w:tcPr>
            <w:tcW w:w="1301" w:type="dxa"/>
            <w:gridSpan w:val="3"/>
            <w:vAlign w:val="center"/>
          </w:tcPr>
          <w:p w14:paraId="3E0C717B">
            <w:pPr>
              <w:widowControl/>
              <w:wordWrap w:val="0"/>
              <w:autoSpaceDE w:val="0"/>
              <w:autoSpaceDN w:val="0"/>
              <w:spacing w:line="380" w:lineRule="exact"/>
              <w:jc w:val="center"/>
              <w:textAlignment w:val="bottom"/>
              <w:rPr>
                <w:color w:val="auto"/>
                <w:szCs w:val="21"/>
                <w:highlight w:val="none"/>
              </w:rPr>
            </w:pPr>
            <w:r>
              <w:rPr>
                <w:color w:val="auto"/>
                <w:szCs w:val="21"/>
                <w:highlight w:val="none"/>
              </w:rPr>
              <w:t>____年～_____年</w:t>
            </w:r>
          </w:p>
        </w:tc>
        <w:tc>
          <w:tcPr>
            <w:tcW w:w="4288" w:type="dxa"/>
            <w:gridSpan w:val="5"/>
            <w:vAlign w:val="center"/>
          </w:tcPr>
          <w:p w14:paraId="7E6A4BEE">
            <w:pPr>
              <w:pStyle w:val="84"/>
              <w:widowControl/>
              <w:wordWrap w:val="0"/>
              <w:adjustRightInd/>
              <w:snapToGrid/>
              <w:spacing w:line="380" w:lineRule="exact"/>
              <w:textAlignment w:val="bottom"/>
              <w:rPr>
                <w:color w:val="auto"/>
                <w:spacing w:val="0"/>
                <w:kern w:val="2"/>
                <w:szCs w:val="21"/>
                <w:highlight w:val="none"/>
              </w:rPr>
            </w:pPr>
            <w:r>
              <w:rPr>
                <w:color w:val="auto"/>
                <w:spacing w:val="0"/>
                <w:kern w:val="2"/>
                <w:szCs w:val="21"/>
                <w:highlight w:val="none"/>
              </w:rPr>
              <w:t>参加过的工程项目名称</w:t>
            </w:r>
          </w:p>
        </w:tc>
        <w:tc>
          <w:tcPr>
            <w:tcW w:w="1955" w:type="dxa"/>
            <w:gridSpan w:val="2"/>
            <w:vAlign w:val="center"/>
          </w:tcPr>
          <w:p w14:paraId="4EEFD7E8">
            <w:pPr>
              <w:pStyle w:val="84"/>
              <w:widowControl/>
              <w:wordWrap w:val="0"/>
              <w:adjustRightInd/>
              <w:snapToGrid/>
              <w:spacing w:line="380" w:lineRule="exact"/>
              <w:textAlignment w:val="bottom"/>
              <w:rPr>
                <w:color w:val="auto"/>
                <w:spacing w:val="0"/>
                <w:kern w:val="2"/>
                <w:szCs w:val="21"/>
                <w:highlight w:val="none"/>
              </w:rPr>
            </w:pPr>
            <w:r>
              <w:rPr>
                <w:color w:val="auto"/>
                <w:spacing w:val="0"/>
                <w:kern w:val="2"/>
                <w:szCs w:val="21"/>
                <w:highlight w:val="none"/>
              </w:rPr>
              <w:t>担任何职</w:t>
            </w:r>
          </w:p>
        </w:tc>
        <w:tc>
          <w:tcPr>
            <w:tcW w:w="1300" w:type="dxa"/>
            <w:vAlign w:val="center"/>
          </w:tcPr>
          <w:p w14:paraId="623AAF3A">
            <w:pPr>
              <w:widowControl/>
              <w:wordWrap w:val="0"/>
              <w:autoSpaceDE w:val="0"/>
              <w:autoSpaceDN w:val="0"/>
              <w:spacing w:line="380" w:lineRule="exact"/>
              <w:jc w:val="center"/>
              <w:textAlignment w:val="bottom"/>
              <w:rPr>
                <w:color w:val="auto"/>
                <w:szCs w:val="21"/>
                <w:highlight w:val="none"/>
              </w:rPr>
            </w:pPr>
            <w:r>
              <w:rPr>
                <w:color w:val="auto"/>
                <w:szCs w:val="21"/>
                <w:highlight w:val="none"/>
              </w:rPr>
              <w:t>发包人及联系电话</w:t>
            </w:r>
          </w:p>
        </w:tc>
      </w:tr>
      <w:tr w14:paraId="193282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2D6E2FA6">
            <w:pPr>
              <w:widowControl/>
              <w:wordWrap w:val="0"/>
              <w:autoSpaceDE w:val="0"/>
              <w:autoSpaceDN w:val="0"/>
              <w:spacing w:line="380" w:lineRule="exact"/>
              <w:jc w:val="center"/>
              <w:textAlignment w:val="bottom"/>
              <w:rPr>
                <w:color w:val="auto"/>
                <w:szCs w:val="21"/>
                <w:highlight w:val="none"/>
              </w:rPr>
            </w:pPr>
          </w:p>
        </w:tc>
        <w:tc>
          <w:tcPr>
            <w:tcW w:w="4288" w:type="dxa"/>
            <w:gridSpan w:val="5"/>
            <w:vAlign w:val="center"/>
          </w:tcPr>
          <w:p w14:paraId="7726B670">
            <w:pPr>
              <w:widowControl/>
              <w:wordWrap w:val="0"/>
              <w:autoSpaceDE w:val="0"/>
              <w:autoSpaceDN w:val="0"/>
              <w:spacing w:line="380" w:lineRule="exact"/>
              <w:jc w:val="center"/>
              <w:textAlignment w:val="bottom"/>
              <w:rPr>
                <w:color w:val="auto"/>
                <w:szCs w:val="21"/>
                <w:highlight w:val="none"/>
              </w:rPr>
            </w:pPr>
          </w:p>
        </w:tc>
        <w:tc>
          <w:tcPr>
            <w:tcW w:w="1955" w:type="dxa"/>
            <w:gridSpan w:val="2"/>
          </w:tcPr>
          <w:p w14:paraId="2331EBB0">
            <w:pPr>
              <w:widowControl/>
              <w:wordWrap w:val="0"/>
              <w:autoSpaceDE w:val="0"/>
              <w:autoSpaceDN w:val="0"/>
              <w:spacing w:line="380" w:lineRule="exact"/>
              <w:textAlignment w:val="bottom"/>
              <w:rPr>
                <w:color w:val="auto"/>
                <w:szCs w:val="21"/>
                <w:highlight w:val="none"/>
              </w:rPr>
            </w:pPr>
          </w:p>
        </w:tc>
        <w:tc>
          <w:tcPr>
            <w:tcW w:w="1300" w:type="dxa"/>
          </w:tcPr>
          <w:p w14:paraId="4D2B824C">
            <w:pPr>
              <w:widowControl/>
              <w:wordWrap w:val="0"/>
              <w:autoSpaceDE w:val="0"/>
              <w:autoSpaceDN w:val="0"/>
              <w:spacing w:line="380" w:lineRule="exact"/>
              <w:textAlignment w:val="bottom"/>
              <w:rPr>
                <w:color w:val="auto"/>
                <w:szCs w:val="21"/>
                <w:highlight w:val="none"/>
              </w:rPr>
            </w:pPr>
          </w:p>
        </w:tc>
      </w:tr>
      <w:tr w14:paraId="58487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41CF54EC">
            <w:pPr>
              <w:widowControl/>
              <w:wordWrap w:val="0"/>
              <w:autoSpaceDE w:val="0"/>
              <w:autoSpaceDN w:val="0"/>
              <w:spacing w:line="380" w:lineRule="exact"/>
              <w:jc w:val="center"/>
              <w:textAlignment w:val="bottom"/>
              <w:rPr>
                <w:color w:val="auto"/>
                <w:szCs w:val="21"/>
                <w:highlight w:val="none"/>
              </w:rPr>
            </w:pPr>
          </w:p>
        </w:tc>
        <w:tc>
          <w:tcPr>
            <w:tcW w:w="4288" w:type="dxa"/>
            <w:gridSpan w:val="5"/>
            <w:vAlign w:val="center"/>
          </w:tcPr>
          <w:p w14:paraId="49F9B2A8">
            <w:pPr>
              <w:widowControl/>
              <w:wordWrap w:val="0"/>
              <w:autoSpaceDE w:val="0"/>
              <w:autoSpaceDN w:val="0"/>
              <w:spacing w:line="380" w:lineRule="exact"/>
              <w:jc w:val="center"/>
              <w:textAlignment w:val="bottom"/>
              <w:rPr>
                <w:color w:val="auto"/>
                <w:szCs w:val="21"/>
                <w:highlight w:val="none"/>
              </w:rPr>
            </w:pPr>
          </w:p>
        </w:tc>
        <w:tc>
          <w:tcPr>
            <w:tcW w:w="1955" w:type="dxa"/>
            <w:gridSpan w:val="2"/>
          </w:tcPr>
          <w:p w14:paraId="0B47B778">
            <w:pPr>
              <w:widowControl/>
              <w:wordWrap w:val="0"/>
              <w:autoSpaceDE w:val="0"/>
              <w:autoSpaceDN w:val="0"/>
              <w:spacing w:line="380" w:lineRule="exact"/>
              <w:textAlignment w:val="bottom"/>
              <w:rPr>
                <w:color w:val="auto"/>
                <w:szCs w:val="21"/>
                <w:highlight w:val="none"/>
              </w:rPr>
            </w:pPr>
          </w:p>
        </w:tc>
        <w:tc>
          <w:tcPr>
            <w:tcW w:w="1300" w:type="dxa"/>
          </w:tcPr>
          <w:p w14:paraId="5956214D">
            <w:pPr>
              <w:widowControl/>
              <w:wordWrap w:val="0"/>
              <w:autoSpaceDE w:val="0"/>
              <w:autoSpaceDN w:val="0"/>
              <w:spacing w:line="380" w:lineRule="exact"/>
              <w:textAlignment w:val="bottom"/>
              <w:rPr>
                <w:color w:val="auto"/>
                <w:szCs w:val="21"/>
                <w:highlight w:val="none"/>
              </w:rPr>
            </w:pPr>
          </w:p>
        </w:tc>
      </w:tr>
      <w:tr w14:paraId="48905B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ECA79CC">
            <w:pPr>
              <w:widowControl/>
              <w:wordWrap w:val="0"/>
              <w:autoSpaceDE w:val="0"/>
              <w:autoSpaceDN w:val="0"/>
              <w:spacing w:line="380" w:lineRule="exact"/>
              <w:jc w:val="center"/>
              <w:textAlignment w:val="bottom"/>
              <w:rPr>
                <w:color w:val="auto"/>
                <w:szCs w:val="21"/>
                <w:highlight w:val="none"/>
              </w:rPr>
            </w:pPr>
          </w:p>
        </w:tc>
        <w:tc>
          <w:tcPr>
            <w:tcW w:w="4288" w:type="dxa"/>
            <w:gridSpan w:val="5"/>
            <w:vAlign w:val="center"/>
          </w:tcPr>
          <w:p w14:paraId="68AF763A">
            <w:pPr>
              <w:widowControl/>
              <w:wordWrap w:val="0"/>
              <w:autoSpaceDE w:val="0"/>
              <w:autoSpaceDN w:val="0"/>
              <w:spacing w:line="380" w:lineRule="exact"/>
              <w:jc w:val="center"/>
              <w:textAlignment w:val="bottom"/>
              <w:rPr>
                <w:color w:val="auto"/>
                <w:szCs w:val="21"/>
                <w:highlight w:val="none"/>
              </w:rPr>
            </w:pPr>
          </w:p>
        </w:tc>
        <w:tc>
          <w:tcPr>
            <w:tcW w:w="1955" w:type="dxa"/>
            <w:gridSpan w:val="2"/>
          </w:tcPr>
          <w:p w14:paraId="2E57774C">
            <w:pPr>
              <w:widowControl/>
              <w:wordWrap w:val="0"/>
              <w:autoSpaceDE w:val="0"/>
              <w:autoSpaceDN w:val="0"/>
              <w:spacing w:line="380" w:lineRule="exact"/>
              <w:textAlignment w:val="bottom"/>
              <w:rPr>
                <w:color w:val="auto"/>
                <w:szCs w:val="21"/>
                <w:highlight w:val="none"/>
              </w:rPr>
            </w:pPr>
          </w:p>
        </w:tc>
        <w:tc>
          <w:tcPr>
            <w:tcW w:w="1300" w:type="dxa"/>
          </w:tcPr>
          <w:p w14:paraId="6C886B7C">
            <w:pPr>
              <w:widowControl/>
              <w:wordWrap w:val="0"/>
              <w:autoSpaceDE w:val="0"/>
              <w:autoSpaceDN w:val="0"/>
              <w:spacing w:line="380" w:lineRule="exact"/>
              <w:textAlignment w:val="bottom"/>
              <w:rPr>
                <w:color w:val="auto"/>
                <w:szCs w:val="21"/>
                <w:highlight w:val="none"/>
              </w:rPr>
            </w:pPr>
          </w:p>
        </w:tc>
      </w:tr>
      <w:tr w14:paraId="385E4F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651F7728">
            <w:pPr>
              <w:widowControl/>
              <w:wordWrap w:val="0"/>
              <w:autoSpaceDE w:val="0"/>
              <w:autoSpaceDN w:val="0"/>
              <w:spacing w:line="380" w:lineRule="exact"/>
              <w:jc w:val="center"/>
              <w:textAlignment w:val="bottom"/>
              <w:rPr>
                <w:color w:val="auto"/>
                <w:szCs w:val="21"/>
                <w:highlight w:val="none"/>
              </w:rPr>
            </w:pPr>
          </w:p>
        </w:tc>
        <w:tc>
          <w:tcPr>
            <w:tcW w:w="4288" w:type="dxa"/>
            <w:gridSpan w:val="5"/>
            <w:vAlign w:val="center"/>
          </w:tcPr>
          <w:p w14:paraId="032B1AA4">
            <w:pPr>
              <w:widowControl/>
              <w:wordWrap w:val="0"/>
              <w:autoSpaceDE w:val="0"/>
              <w:autoSpaceDN w:val="0"/>
              <w:spacing w:line="380" w:lineRule="exact"/>
              <w:jc w:val="center"/>
              <w:textAlignment w:val="bottom"/>
              <w:rPr>
                <w:color w:val="auto"/>
                <w:szCs w:val="21"/>
                <w:highlight w:val="none"/>
              </w:rPr>
            </w:pPr>
          </w:p>
        </w:tc>
        <w:tc>
          <w:tcPr>
            <w:tcW w:w="1955" w:type="dxa"/>
            <w:gridSpan w:val="2"/>
          </w:tcPr>
          <w:p w14:paraId="27A9C8A4">
            <w:pPr>
              <w:widowControl/>
              <w:wordWrap w:val="0"/>
              <w:autoSpaceDE w:val="0"/>
              <w:autoSpaceDN w:val="0"/>
              <w:spacing w:line="380" w:lineRule="exact"/>
              <w:textAlignment w:val="bottom"/>
              <w:rPr>
                <w:color w:val="auto"/>
                <w:szCs w:val="21"/>
                <w:highlight w:val="none"/>
              </w:rPr>
            </w:pPr>
          </w:p>
        </w:tc>
        <w:tc>
          <w:tcPr>
            <w:tcW w:w="1300" w:type="dxa"/>
          </w:tcPr>
          <w:p w14:paraId="378304DC">
            <w:pPr>
              <w:widowControl/>
              <w:wordWrap w:val="0"/>
              <w:autoSpaceDE w:val="0"/>
              <w:autoSpaceDN w:val="0"/>
              <w:spacing w:line="380" w:lineRule="exact"/>
              <w:textAlignment w:val="bottom"/>
              <w:rPr>
                <w:color w:val="auto"/>
                <w:szCs w:val="21"/>
                <w:highlight w:val="none"/>
              </w:rPr>
            </w:pPr>
          </w:p>
        </w:tc>
      </w:tr>
      <w:tr w14:paraId="0F5669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680" w:hRule="atLeast"/>
          <w:jc w:val="center"/>
        </w:trPr>
        <w:tc>
          <w:tcPr>
            <w:tcW w:w="1301" w:type="dxa"/>
            <w:gridSpan w:val="3"/>
            <w:vAlign w:val="center"/>
          </w:tcPr>
          <w:p w14:paraId="150E6B59">
            <w:pPr>
              <w:widowControl/>
              <w:wordWrap w:val="0"/>
              <w:autoSpaceDE w:val="0"/>
              <w:autoSpaceDN w:val="0"/>
              <w:spacing w:line="380" w:lineRule="exact"/>
              <w:jc w:val="center"/>
              <w:textAlignment w:val="bottom"/>
              <w:rPr>
                <w:color w:val="auto"/>
                <w:szCs w:val="21"/>
                <w:highlight w:val="none"/>
              </w:rPr>
            </w:pPr>
          </w:p>
        </w:tc>
        <w:tc>
          <w:tcPr>
            <w:tcW w:w="4288" w:type="dxa"/>
            <w:gridSpan w:val="5"/>
            <w:vAlign w:val="center"/>
          </w:tcPr>
          <w:p w14:paraId="6538FE4F">
            <w:pPr>
              <w:widowControl/>
              <w:wordWrap w:val="0"/>
              <w:autoSpaceDE w:val="0"/>
              <w:autoSpaceDN w:val="0"/>
              <w:spacing w:line="380" w:lineRule="exact"/>
              <w:jc w:val="center"/>
              <w:textAlignment w:val="bottom"/>
              <w:rPr>
                <w:color w:val="auto"/>
                <w:szCs w:val="21"/>
                <w:highlight w:val="none"/>
              </w:rPr>
            </w:pPr>
          </w:p>
        </w:tc>
        <w:tc>
          <w:tcPr>
            <w:tcW w:w="1955" w:type="dxa"/>
            <w:gridSpan w:val="2"/>
          </w:tcPr>
          <w:p w14:paraId="568119C1">
            <w:pPr>
              <w:widowControl/>
              <w:wordWrap w:val="0"/>
              <w:autoSpaceDE w:val="0"/>
              <w:autoSpaceDN w:val="0"/>
              <w:spacing w:line="380" w:lineRule="exact"/>
              <w:textAlignment w:val="bottom"/>
              <w:rPr>
                <w:color w:val="auto"/>
                <w:szCs w:val="21"/>
                <w:highlight w:val="none"/>
              </w:rPr>
            </w:pPr>
          </w:p>
        </w:tc>
        <w:tc>
          <w:tcPr>
            <w:tcW w:w="1300" w:type="dxa"/>
          </w:tcPr>
          <w:p w14:paraId="31C5E106">
            <w:pPr>
              <w:widowControl/>
              <w:wordWrap w:val="0"/>
              <w:autoSpaceDE w:val="0"/>
              <w:autoSpaceDN w:val="0"/>
              <w:spacing w:line="380" w:lineRule="exact"/>
              <w:textAlignment w:val="bottom"/>
              <w:rPr>
                <w:color w:val="auto"/>
                <w:szCs w:val="21"/>
                <w:highlight w:val="none"/>
              </w:rPr>
            </w:pPr>
          </w:p>
        </w:tc>
      </w:tr>
      <w:tr w14:paraId="2F5860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614" w:type="dxa"/>
            <w:gridSpan w:val="5"/>
            <w:vAlign w:val="center"/>
          </w:tcPr>
          <w:p w14:paraId="01271B9A">
            <w:pPr>
              <w:widowControl/>
              <w:wordWrap w:val="0"/>
              <w:autoSpaceDE w:val="0"/>
              <w:autoSpaceDN w:val="0"/>
              <w:spacing w:line="380" w:lineRule="exact"/>
              <w:jc w:val="center"/>
              <w:textAlignment w:val="bottom"/>
              <w:rPr>
                <w:color w:val="auto"/>
                <w:szCs w:val="21"/>
                <w:highlight w:val="none"/>
              </w:rPr>
            </w:pPr>
            <w:r>
              <w:rPr>
                <w:color w:val="auto"/>
                <w:szCs w:val="21"/>
                <w:highlight w:val="none"/>
              </w:rPr>
              <w:t>获奖情况</w:t>
            </w:r>
          </w:p>
        </w:tc>
        <w:tc>
          <w:tcPr>
            <w:tcW w:w="5230" w:type="dxa"/>
            <w:gridSpan w:val="6"/>
          </w:tcPr>
          <w:p w14:paraId="545A82CA">
            <w:pPr>
              <w:widowControl/>
              <w:wordWrap w:val="0"/>
              <w:autoSpaceDE w:val="0"/>
              <w:autoSpaceDN w:val="0"/>
              <w:spacing w:line="380" w:lineRule="exact"/>
              <w:textAlignment w:val="bottom"/>
              <w:rPr>
                <w:color w:val="auto"/>
                <w:szCs w:val="21"/>
                <w:highlight w:val="none"/>
              </w:rPr>
            </w:pPr>
          </w:p>
        </w:tc>
      </w:tr>
      <w:tr w14:paraId="050EDC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restart"/>
            <w:vAlign w:val="center"/>
          </w:tcPr>
          <w:p w14:paraId="6C860FC7">
            <w:pPr>
              <w:widowControl/>
              <w:wordWrap w:val="0"/>
              <w:autoSpaceDE w:val="0"/>
              <w:autoSpaceDN w:val="0"/>
              <w:spacing w:line="380" w:lineRule="exact"/>
              <w:jc w:val="center"/>
              <w:textAlignment w:val="bottom"/>
              <w:rPr>
                <w:color w:val="auto"/>
                <w:szCs w:val="21"/>
                <w:highlight w:val="none"/>
              </w:rPr>
            </w:pPr>
            <w:r>
              <w:rPr>
                <w:color w:val="auto"/>
                <w:szCs w:val="21"/>
                <w:highlight w:val="none"/>
              </w:rPr>
              <w:t>目前任职项目状况</w:t>
            </w:r>
          </w:p>
        </w:tc>
        <w:tc>
          <w:tcPr>
            <w:tcW w:w="2337" w:type="dxa"/>
            <w:gridSpan w:val="3"/>
            <w:vAlign w:val="center"/>
          </w:tcPr>
          <w:p w14:paraId="6E1842CC">
            <w:pPr>
              <w:widowControl/>
              <w:wordWrap w:val="0"/>
              <w:autoSpaceDE w:val="0"/>
              <w:autoSpaceDN w:val="0"/>
              <w:spacing w:line="380" w:lineRule="exact"/>
              <w:jc w:val="center"/>
              <w:textAlignment w:val="bottom"/>
              <w:rPr>
                <w:color w:val="auto"/>
                <w:szCs w:val="21"/>
                <w:highlight w:val="none"/>
              </w:rPr>
            </w:pPr>
            <w:r>
              <w:rPr>
                <w:color w:val="auto"/>
                <w:szCs w:val="21"/>
                <w:highlight w:val="none"/>
              </w:rPr>
              <w:t>项目名称</w:t>
            </w:r>
          </w:p>
        </w:tc>
        <w:tc>
          <w:tcPr>
            <w:tcW w:w="5230" w:type="dxa"/>
            <w:gridSpan w:val="6"/>
            <w:vAlign w:val="center"/>
          </w:tcPr>
          <w:p w14:paraId="33C76F8A">
            <w:pPr>
              <w:widowControl/>
              <w:wordWrap w:val="0"/>
              <w:autoSpaceDE w:val="0"/>
              <w:autoSpaceDN w:val="0"/>
              <w:spacing w:line="380" w:lineRule="exact"/>
              <w:jc w:val="center"/>
              <w:textAlignment w:val="bottom"/>
              <w:rPr>
                <w:color w:val="auto"/>
                <w:szCs w:val="21"/>
                <w:highlight w:val="none"/>
              </w:rPr>
            </w:pPr>
          </w:p>
        </w:tc>
      </w:tr>
      <w:tr w14:paraId="73C016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262CD18B">
            <w:pPr>
              <w:widowControl/>
              <w:wordWrap w:val="0"/>
              <w:autoSpaceDE w:val="0"/>
              <w:autoSpaceDN w:val="0"/>
              <w:spacing w:line="380" w:lineRule="exact"/>
              <w:textAlignment w:val="bottom"/>
              <w:rPr>
                <w:color w:val="auto"/>
                <w:szCs w:val="21"/>
                <w:highlight w:val="none"/>
              </w:rPr>
            </w:pPr>
          </w:p>
        </w:tc>
        <w:tc>
          <w:tcPr>
            <w:tcW w:w="2337" w:type="dxa"/>
            <w:gridSpan w:val="3"/>
            <w:vAlign w:val="center"/>
          </w:tcPr>
          <w:p w14:paraId="206F9531">
            <w:pPr>
              <w:widowControl/>
              <w:wordWrap w:val="0"/>
              <w:autoSpaceDE w:val="0"/>
              <w:autoSpaceDN w:val="0"/>
              <w:spacing w:line="380" w:lineRule="exact"/>
              <w:jc w:val="center"/>
              <w:textAlignment w:val="bottom"/>
              <w:rPr>
                <w:color w:val="auto"/>
                <w:szCs w:val="21"/>
                <w:highlight w:val="none"/>
              </w:rPr>
            </w:pPr>
            <w:r>
              <w:rPr>
                <w:color w:val="auto"/>
                <w:szCs w:val="21"/>
                <w:highlight w:val="none"/>
              </w:rPr>
              <w:t>担任职位</w:t>
            </w:r>
          </w:p>
        </w:tc>
        <w:tc>
          <w:tcPr>
            <w:tcW w:w="5230" w:type="dxa"/>
            <w:gridSpan w:val="6"/>
            <w:vAlign w:val="center"/>
          </w:tcPr>
          <w:p w14:paraId="73BB4E84">
            <w:pPr>
              <w:widowControl/>
              <w:wordWrap w:val="0"/>
              <w:autoSpaceDE w:val="0"/>
              <w:autoSpaceDN w:val="0"/>
              <w:spacing w:line="380" w:lineRule="exact"/>
              <w:jc w:val="center"/>
              <w:textAlignment w:val="bottom"/>
              <w:rPr>
                <w:color w:val="auto"/>
                <w:szCs w:val="21"/>
                <w:highlight w:val="none"/>
              </w:rPr>
            </w:pPr>
          </w:p>
        </w:tc>
      </w:tr>
      <w:tr w14:paraId="458A41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277" w:type="dxa"/>
            <w:gridSpan w:val="2"/>
            <w:vMerge w:val="continue"/>
          </w:tcPr>
          <w:p w14:paraId="2B26C3BB">
            <w:pPr>
              <w:widowControl/>
              <w:wordWrap w:val="0"/>
              <w:autoSpaceDE w:val="0"/>
              <w:autoSpaceDN w:val="0"/>
              <w:spacing w:line="380" w:lineRule="exact"/>
              <w:textAlignment w:val="bottom"/>
              <w:rPr>
                <w:color w:val="auto"/>
                <w:szCs w:val="21"/>
                <w:highlight w:val="none"/>
              </w:rPr>
            </w:pPr>
          </w:p>
        </w:tc>
        <w:tc>
          <w:tcPr>
            <w:tcW w:w="2337" w:type="dxa"/>
            <w:gridSpan w:val="3"/>
            <w:vAlign w:val="center"/>
          </w:tcPr>
          <w:p w14:paraId="092F9D9A">
            <w:pPr>
              <w:widowControl/>
              <w:wordWrap w:val="0"/>
              <w:autoSpaceDE w:val="0"/>
              <w:autoSpaceDN w:val="0"/>
              <w:spacing w:line="380" w:lineRule="exact"/>
              <w:jc w:val="center"/>
              <w:textAlignment w:val="bottom"/>
              <w:rPr>
                <w:color w:val="auto"/>
                <w:szCs w:val="21"/>
                <w:highlight w:val="none"/>
              </w:rPr>
            </w:pPr>
            <w:r>
              <w:rPr>
                <w:color w:val="auto"/>
                <w:szCs w:val="21"/>
                <w:highlight w:val="none"/>
              </w:rPr>
              <w:t>可以调离日期</w:t>
            </w:r>
          </w:p>
        </w:tc>
        <w:tc>
          <w:tcPr>
            <w:tcW w:w="5230" w:type="dxa"/>
            <w:gridSpan w:val="6"/>
            <w:vAlign w:val="center"/>
          </w:tcPr>
          <w:p w14:paraId="02BDC70F">
            <w:pPr>
              <w:widowControl/>
              <w:wordWrap w:val="0"/>
              <w:autoSpaceDE w:val="0"/>
              <w:autoSpaceDN w:val="0"/>
              <w:spacing w:line="380" w:lineRule="exact"/>
              <w:jc w:val="center"/>
              <w:textAlignment w:val="bottom"/>
              <w:rPr>
                <w:color w:val="auto"/>
                <w:szCs w:val="21"/>
                <w:highlight w:val="none"/>
              </w:rPr>
            </w:pPr>
          </w:p>
        </w:tc>
      </w:tr>
      <w:tr w14:paraId="460F8A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3614" w:type="dxa"/>
            <w:gridSpan w:val="5"/>
            <w:vAlign w:val="center"/>
          </w:tcPr>
          <w:p w14:paraId="63EF3957">
            <w:pPr>
              <w:widowControl/>
              <w:wordWrap w:val="0"/>
              <w:autoSpaceDE w:val="0"/>
              <w:autoSpaceDN w:val="0"/>
              <w:spacing w:line="380" w:lineRule="exact"/>
              <w:jc w:val="center"/>
              <w:textAlignment w:val="bottom"/>
              <w:rPr>
                <w:color w:val="auto"/>
                <w:szCs w:val="21"/>
                <w:highlight w:val="none"/>
              </w:rPr>
            </w:pPr>
            <w:r>
              <w:rPr>
                <w:color w:val="auto"/>
                <w:szCs w:val="21"/>
                <w:highlight w:val="none"/>
              </w:rPr>
              <w:t>备注</w:t>
            </w:r>
          </w:p>
        </w:tc>
        <w:tc>
          <w:tcPr>
            <w:tcW w:w="5230" w:type="dxa"/>
            <w:gridSpan w:val="6"/>
          </w:tcPr>
          <w:p w14:paraId="6B779B5D">
            <w:pPr>
              <w:widowControl/>
              <w:wordWrap w:val="0"/>
              <w:autoSpaceDE w:val="0"/>
              <w:autoSpaceDN w:val="0"/>
              <w:spacing w:line="380" w:lineRule="exact"/>
              <w:textAlignment w:val="bottom"/>
              <w:rPr>
                <w:color w:val="auto"/>
                <w:szCs w:val="21"/>
                <w:highlight w:val="none"/>
              </w:rPr>
            </w:pPr>
          </w:p>
          <w:p w14:paraId="66903A0A">
            <w:pPr>
              <w:widowControl/>
              <w:wordWrap w:val="0"/>
              <w:autoSpaceDE w:val="0"/>
              <w:autoSpaceDN w:val="0"/>
              <w:spacing w:line="380" w:lineRule="exact"/>
              <w:textAlignment w:val="bottom"/>
              <w:rPr>
                <w:color w:val="auto"/>
                <w:szCs w:val="21"/>
                <w:highlight w:val="none"/>
              </w:rPr>
            </w:pPr>
          </w:p>
        </w:tc>
      </w:tr>
    </w:tbl>
    <w:p w14:paraId="5D355D9B">
      <w:pPr>
        <w:spacing w:line="360" w:lineRule="auto"/>
        <w:rPr>
          <w:color w:val="auto"/>
          <w:szCs w:val="21"/>
          <w:highlight w:val="none"/>
        </w:rPr>
      </w:pPr>
    </w:p>
    <w:p w14:paraId="6354DB0C">
      <w:pPr>
        <w:spacing w:line="440" w:lineRule="exact"/>
        <w:ind w:right="-40" w:rightChars="-19" w:firstLine="420" w:firstLineChars="200"/>
        <w:rPr>
          <w:rFonts w:hint="eastAsia" w:ascii="宋体" w:hAnsi="宋体"/>
          <w:color w:val="auto"/>
          <w:szCs w:val="21"/>
          <w:highlight w:val="none"/>
        </w:rPr>
      </w:pPr>
      <w:r>
        <w:rPr>
          <w:rFonts w:hint="eastAsia"/>
          <w:color w:val="auto"/>
          <w:szCs w:val="21"/>
          <w:highlight w:val="none"/>
        </w:rPr>
        <w:t>注：</w:t>
      </w:r>
      <w:r>
        <w:rPr>
          <w:rFonts w:hint="eastAsia" w:ascii="宋体" w:hAnsi="宋体"/>
          <w:color w:val="auto"/>
          <w:szCs w:val="21"/>
          <w:highlight w:val="none"/>
        </w:rPr>
        <w:t>本表后应附拟投入本工程人员的身份证、职称资格证书、等其他相关证书的复印件。</w:t>
      </w:r>
    </w:p>
    <w:p w14:paraId="49645019">
      <w:pPr>
        <w:spacing w:line="360" w:lineRule="auto"/>
        <w:rPr>
          <w:color w:val="auto"/>
          <w:szCs w:val="21"/>
          <w:highlight w:val="none"/>
        </w:rPr>
      </w:pPr>
    </w:p>
    <w:p w14:paraId="2861A8C6">
      <w:pPr>
        <w:spacing w:line="360" w:lineRule="auto"/>
        <w:rPr>
          <w:color w:val="auto"/>
          <w:szCs w:val="21"/>
          <w:highlight w:val="none"/>
        </w:rPr>
      </w:pPr>
    </w:p>
    <w:p w14:paraId="2A975574">
      <w:pPr>
        <w:pStyle w:val="53"/>
        <w:spacing w:before="120"/>
        <w:rPr>
          <w:rStyle w:val="46"/>
          <w:rFonts w:ascii="Times New Roman" w:hAnsi="Times New Roman" w:eastAsia="宋体" w:cs="Times New Roman"/>
          <w:b/>
          <w:bCs/>
          <w:color w:val="auto"/>
          <w:szCs w:val="24"/>
          <w:highlight w:val="none"/>
        </w:rPr>
        <w:sectPr>
          <w:pgSz w:w="11907" w:h="16840"/>
          <w:pgMar w:top="1417" w:right="1701" w:bottom="1417" w:left="1701" w:header="850" w:footer="1134" w:gutter="0"/>
          <w:pgNumType w:fmt="decimal"/>
          <w:cols w:space="0" w:num="1"/>
          <w:rtlGutter w:val="0"/>
          <w:docGrid w:linePitch="312" w:charSpace="0"/>
        </w:sectPr>
      </w:pPr>
    </w:p>
    <w:p w14:paraId="6BBF9663">
      <w:pPr>
        <w:pStyle w:val="53"/>
        <w:spacing w:before="120"/>
        <w:rPr>
          <w:rStyle w:val="46"/>
          <w:rFonts w:ascii="Times New Roman" w:hAnsi="Times New Roman" w:eastAsia="宋体" w:cs="Times New Roman"/>
          <w:b/>
          <w:bCs w:val="0"/>
          <w:color w:val="auto"/>
          <w:szCs w:val="24"/>
          <w:highlight w:val="none"/>
        </w:rPr>
      </w:pPr>
      <w:r>
        <w:rPr>
          <w:rStyle w:val="46"/>
          <w:rFonts w:ascii="Times New Roman" w:hAnsi="Times New Roman" w:eastAsia="宋体" w:cs="Times New Roman"/>
          <w:b/>
          <w:bCs w:val="0"/>
          <w:color w:val="auto"/>
          <w:szCs w:val="24"/>
          <w:highlight w:val="none"/>
        </w:rPr>
        <w:t>格式</w:t>
      </w:r>
      <w:r>
        <w:rPr>
          <w:rStyle w:val="46"/>
          <w:rFonts w:hint="eastAsia" w:ascii="Times New Roman" w:hAnsi="Times New Roman" w:eastAsia="宋体" w:cs="Times New Roman"/>
          <w:b/>
          <w:bCs w:val="0"/>
          <w:color w:val="auto"/>
          <w:szCs w:val="24"/>
          <w:highlight w:val="none"/>
        </w:rPr>
        <w:t>1</w:t>
      </w:r>
      <w:r>
        <w:rPr>
          <w:rStyle w:val="46"/>
          <w:rFonts w:ascii="Times New Roman" w:hAnsi="Times New Roman" w:eastAsia="宋体" w:cs="Times New Roman"/>
          <w:b/>
          <w:bCs w:val="0"/>
          <w:color w:val="auto"/>
          <w:szCs w:val="24"/>
          <w:highlight w:val="none"/>
        </w:rPr>
        <w:t>0  近5年</w:t>
      </w:r>
      <w:r>
        <w:rPr>
          <w:rStyle w:val="46"/>
          <w:rFonts w:hint="eastAsia" w:ascii="Times New Roman" w:hAnsi="Times New Roman" w:eastAsia="宋体" w:cs="Times New Roman"/>
          <w:b/>
          <w:bCs w:val="0"/>
          <w:color w:val="auto"/>
          <w:szCs w:val="24"/>
          <w:highlight w:val="none"/>
        </w:rPr>
        <w:t>内</w:t>
      </w:r>
      <w:r>
        <w:rPr>
          <w:rStyle w:val="46"/>
          <w:rFonts w:ascii="Times New Roman" w:hAnsi="Times New Roman" w:eastAsia="宋体" w:cs="Times New Roman"/>
          <w:b/>
          <w:bCs w:val="0"/>
          <w:color w:val="auto"/>
          <w:szCs w:val="24"/>
          <w:highlight w:val="none"/>
        </w:rPr>
        <w:t>类似工程情况一览表</w:t>
      </w:r>
    </w:p>
    <w:p w14:paraId="2FF947CE">
      <w:pPr>
        <w:spacing w:line="360" w:lineRule="auto"/>
        <w:jc w:val="center"/>
        <w:rPr>
          <w:color w:val="auto"/>
          <w:highlight w:val="none"/>
        </w:rPr>
      </w:pPr>
    </w:p>
    <w:p w14:paraId="09447CC9">
      <w:pPr>
        <w:spacing w:line="360" w:lineRule="auto"/>
        <w:jc w:val="center"/>
        <w:rPr>
          <w:b/>
          <w:color w:val="auto"/>
          <w:sz w:val="28"/>
          <w:szCs w:val="28"/>
          <w:highlight w:val="none"/>
        </w:rPr>
      </w:pPr>
      <w:r>
        <w:rPr>
          <w:b/>
          <w:color w:val="auto"/>
          <w:sz w:val="28"/>
          <w:szCs w:val="28"/>
          <w:highlight w:val="none"/>
        </w:rPr>
        <w:t>近5年</w:t>
      </w:r>
      <w:r>
        <w:rPr>
          <w:rFonts w:hint="eastAsia"/>
          <w:b/>
          <w:color w:val="auto"/>
          <w:sz w:val="28"/>
          <w:szCs w:val="28"/>
          <w:highlight w:val="none"/>
        </w:rPr>
        <w:t>内</w:t>
      </w:r>
      <w:r>
        <w:rPr>
          <w:b/>
          <w:color w:val="auto"/>
          <w:sz w:val="28"/>
          <w:szCs w:val="28"/>
          <w:highlight w:val="none"/>
        </w:rPr>
        <w:t>类似工程情况一览表</w:t>
      </w:r>
    </w:p>
    <w:p w14:paraId="2373E16B">
      <w:pPr>
        <w:adjustRightInd w:val="0"/>
        <w:spacing w:line="360" w:lineRule="auto"/>
        <w:rPr>
          <w:color w:val="auto"/>
          <w:sz w:val="32"/>
          <w:szCs w:val="32"/>
          <w:highlight w:val="none"/>
        </w:rPr>
      </w:pPr>
      <w:r>
        <w:rPr>
          <w:color w:val="auto"/>
          <w:sz w:val="24"/>
          <w:highlight w:val="none"/>
        </w:rPr>
        <w:t>响应单位：</w:t>
      </w:r>
    </w:p>
    <w:tbl>
      <w:tblPr>
        <w:tblStyle w:val="31"/>
        <w:tblW w:w="874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793"/>
        <w:gridCol w:w="1390"/>
        <w:gridCol w:w="1391"/>
        <w:gridCol w:w="1390"/>
        <w:gridCol w:w="1391"/>
        <w:gridCol w:w="1391"/>
      </w:tblGrid>
      <w:tr w14:paraId="7593B3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12" w:space="0"/>
              <w:bottom w:val="single" w:color="auto" w:sz="4" w:space="0"/>
              <w:tl2br w:val="single" w:color="auto" w:sz="4" w:space="0"/>
            </w:tcBorders>
            <w:vAlign w:val="center"/>
          </w:tcPr>
          <w:p w14:paraId="2F9B9AC4">
            <w:pPr>
              <w:jc w:val="right"/>
              <w:rPr>
                <w:color w:val="auto"/>
                <w:szCs w:val="21"/>
                <w:highlight w:val="none"/>
              </w:rPr>
            </w:pPr>
            <w:r>
              <w:rPr>
                <w:color w:val="auto"/>
                <w:szCs w:val="21"/>
                <w:highlight w:val="none"/>
              </w:rPr>
              <w:t>工程名称</w:t>
            </w:r>
          </w:p>
          <w:p w14:paraId="7F8D2352">
            <w:pPr>
              <w:rPr>
                <w:color w:val="auto"/>
                <w:szCs w:val="21"/>
                <w:highlight w:val="none"/>
              </w:rPr>
            </w:pPr>
            <w:r>
              <w:rPr>
                <w:color w:val="auto"/>
                <w:szCs w:val="21"/>
                <w:highlight w:val="none"/>
              </w:rPr>
              <w:t>指标</w:t>
            </w:r>
          </w:p>
        </w:tc>
        <w:tc>
          <w:tcPr>
            <w:tcW w:w="1390" w:type="dxa"/>
            <w:vAlign w:val="center"/>
          </w:tcPr>
          <w:p w14:paraId="649103FD">
            <w:pPr>
              <w:jc w:val="center"/>
              <w:rPr>
                <w:color w:val="auto"/>
                <w:szCs w:val="21"/>
                <w:highlight w:val="none"/>
              </w:rPr>
            </w:pPr>
          </w:p>
        </w:tc>
        <w:tc>
          <w:tcPr>
            <w:tcW w:w="1391" w:type="dxa"/>
            <w:vAlign w:val="center"/>
          </w:tcPr>
          <w:p w14:paraId="2A52DCD9">
            <w:pPr>
              <w:jc w:val="center"/>
              <w:rPr>
                <w:color w:val="auto"/>
                <w:szCs w:val="21"/>
                <w:highlight w:val="none"/>
              </w:rPr>
            </w:pPr>
          </w:p>
        </w:tc>
        <w:tc>
          <w:tcPr>
            <w:tcW w:w="1390" w:type="dxa"/>
            <w:vAlign w:val="center"/>
          </w:tcPr>
          <w:p w14:paraId="47EF45CD">
            <w:pPr>
              <w:jc w:val="center"/>
              <w:rPr>
                <w:color w:val="auto"/>
                <w:szCs w:val="21"/>
                <w:highlight w:val="none"/>
              </w:rPr>
            </w:pPr>
          </w:p>
        </w:tc>
        <w:tc>
          <w:tcPr>
            <w:tcW w:w="1391" w:type="dxa"/>
            <w:vAlign w:val="center"/>
          </w:tcPr>
          <w:p w14:paraId="4155A290">
            <w:pPr>
              <w:jc w:val="center"/>
              <w:rPr>
                <w:color w:val="auto"/>
                <w:szCs w:val="21"/>
                <w:highlight w:val="none"/>
              </w:rPr>
            </w:pPr>
          </w:p>
        </w:tc>
        <w:tc>
          <w:tcPr>
            <w:tcW w:w="1391" w:type="dxa"/>
            <w:vAlign w:val="center"/>
          </w:tcPr>
          <w:p w14:paraId="0D4A4708">
            <w:pPr>
              <w:jc w:val="center"/>
              <w:rPr>
                <w:color w:val="auto"/>
                <w:szCs w:val="21"/>
                <w:highlight w:val="none"/>
              </w:rPr>
            </w:pPr>
          </w:p>
        </w:tc>
      </w:tr>
      <w:tr w14:paraId="688D1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tcBorders>
              <w:top w:val="single" w:color="auto" w:sz="4" w:space="0"/>
            </w:tcBorders>
            <w:vAlign w:val="center"/>
          </w:tcPr>
          <w:p w14:paraId="3E64CA23">
            <w:pPr>
              <w:jc w:val="center"/>
              <w:rPr>
                <w:color w:val="auto"/>
                <w:szCs w:val="21"/>
                <w:highlight w:val="none"/>
              </w:rPr>
            </w:pPr>
            <w:r>
              <w:rPr>
                <w:color w:val="auto"/>
                <w:szCs w:val="21"/>
                <w:highlight w:val="none"/>
              </w:rPr>
              <w:t>合 同 段</w:t>
            </w:r>
          </w:p>
        </w:tc>
        <w:tc>
          <w:tcPr>
            <w:tcW w:w="1390" w:type="dxa"/>
            <w:vAlign w:val="center"/>
          </w:tcPr>
          <w:p w14:paraId="3BAB6979">
            <w:pPr>
              <w:jc w:val="center"/>
              <w:rPr>
                <w:color w:val="auto"/>
                <w:szCs w:val="21"/>
                <w:highlight w:val="none"/>
              </w:rPr>
            </w:pPr>
          </w:p>
        </w:tc>
        <w:tc>
          <w:tcPr>
            <w:tcW w:w="1391" w:type="dxa"/>
            <w:vAlign w:val="center"/>
          </w:tcPr>
          <w:p w14:paraId="39FA08BF">
            <w:pPr>
              <w:jc w:val="center"/>
              <w:rPr>
                <w:color w:val="auto"/>
                <w:szCs w:val="21"/>
                <w:highlight w:val="none"/>
              </w:rPr>
            </w:pPr>
          </w:p>
        </w:tc>
        <w:tc>
          <w:tcPr>
            <w:tcW w:w="1390" w:type="dxa"/>
            <w:vAlign w:val="center"/>
          </w:tcPr>
          <w:p w14:paraId="482E4D4B">
            <w:pPr>
              <w:jc w:val="center"/>
              <w:rPr>
                <w:color w:val="auto"/>
                <w:szCs w:val="21"/>
                <w:highlight w:val="none"/>
              </w:rPr>
            </w:pPr>
          </w:p>
        </w:tc>
        <w:tc>
          <w:tcPr>
            <w:tcW w:w="1391" w:type="dxa"/>
            <w:vAlign w:val="center"/>
          </w:tcPr>
          <w:p w14:paraId="33582225">
            <w:pPr>
              <w:jc w:val="center"/>
              <w:rPr>
                <w:color w:val="auto"/>
                <w:szCs w:val="21"/>
                <w:highlight w:val="none"/>
              </w:rPr>
            </w:pPr>
          </w:p>
        </w:tc>
        <w:tc>
          <w:tcPr>
            <w:tcW w:w="1391" w:type="dxa"/>
            <w:vAlign w:val="center"/>
          </w:tcPr>
          <w:p w14:paraId="5722AE7F">
            <w:pPr>
              <w:jc w:val="center"/>
              <w:rPr>
                <w:color w:val="auto"/>
                <w:szCs w:val="21"/>
                <w:highlight w:val="none"/>
              </w:rPr>
            </w:pPr>
          </w:p>
        </w:tc>
      </w:tr>
      <w:tr w14:paraId="730B9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08703CE6">
            <w:pPr>
              <w:jc w:val="center"/>
              <w:rPr>
                <w:color w:val="auto"/>
                <w:szCs w:val="21"/>
                <w:highlight w:val="none"/>
              </w:rPr>
            </w:pPr>
            <w:r>
              <w:rPr>
                <w:color w:val="auto"/>
                <w:szCs w:val="21"/>
                <w:highlight w:val="none"/>
              </w:rPr>
              <w:t>建设地点</w:t>
            </w:r>
          </w:p>
        </w:tc>
        <w:tc>
          <w:tcPr>
            <w:tcW w:w="1390" w:type="dxa"/>
            <w:vAlign w:val="center"/>
          </w:tcPr>
          <w:p w14:paraId="54DD0A96">
            <w:pPr>
              <w:jc w:val="center"/>
              <w:rPr>
                <w:color w:val="auto"/>
                <w:szCs w:val="21"/>
                <w:highlight w:val="none"/>
              </w:rPr>
            </w:pPr>
          </w:p>
        </w:tc>
        <w:tc>
          <w:tcPr>
            <w:tcW w:w="1391" w:type="dxa"/>
            <w:vAlign w:val="center"/>
          </w:tcPr>
          <w:p w14:paraId="3EEBFDD3">
            <w:pPr>
              <w:jc w:val="center"/>
              <w:rPr>
                <w:color w:val="auto"/>
                <w:szCs w:val="21"/>
                <w:highlight w:val="none"/>
              </w:rPr>
            </w:pPr>
          </w:p>
        </w:tc>
        <w:tc>
          <w:tcPr>
            <w:tcW w:w="1390" w:type="dxa"/>
            <w:vAlign w:val="center"/>
          </w:tcPr>
          <w:p w14:paraId="7E755F9D">
            <w:pPr>
              <w:jc w:val="center"/>
              <w:rPr>
                <w:color w:val="auto"/>
                <w:szCs w:val="21"/>
                <w:highlight w:val="none"/>
              </w:rPr>
            </w:pPr>
          </w:p>
        </w:tc>
        <w:tc>
          <w:tcPr>
            <w:tcW w:w="1391" w:type="dxa"/>
            <w:vAlign w:val="center"/>
          </w:tcPr>
          <w:p w14:paraId="77E213AD">
            <w:pPr>
              <w:jc w:val="center"/>
              <w:rPr>
                <w:color w:val="auto"/>
                <w:szCs w:val="21"/>
                <w:highlight w:val="none"/>
              </w:rPr>
            </w:pPr>
          </w:p>
        </w:tc>
        <w:tc>
          <w:tcPr>
            <w:tcW w:w="1391" w:type="dxa"/>
            <w:vAlign w:val="center"/>
          </w:tcPr>
          <w:p w14:paraId="3719C79D">
            <w:pPr>
              <w:jc w:val="center"/>
              <w:rPr>
                <w:color w:val="auto"/>
                <w:szCs w:val="21"/>
                <w:highlight w:val="none"/>
              </w:rPr>
            </w:pPr>
          </w:p>
        </w:tc>
      </w:tr>
      <w:tr w14:paraId="18D22C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FB6DA1B">
            <w:pPr>
              <w:jc w:val="center"/>
              <w:rPr>
                <w:color w:val="auto"/>
                <w:szCs w:val="21"/>
                <w:highlight w:val="none"/>
              </w:rPr>
            </w:pPr>
            <w:r>
              <w:rPr>
                <w:color w:val="auto"/>
                <w:szCs w:val="21"/>
                <w:highlight w:val="none"/>
              </w:rPr>
              <w:t>工程规模</w:t>
            </w:r>
          </w:p>
        </w:tc>
        <w:tc>
          <w:tcPr>
            <w:tcW w:w="1390" w:type="dxa"/>
            <w:vAlign w:val="center"/>
          </w:tcPr>
          <w:p w14:paraId="44D9F016">
            <w:pPr>
              <w:jc w:val="center"/>
              <w:rPr>
                <w:color w:val="auto"/>
                <w:szCs w:val="21"/>
                <w:highlight w:val="none"/>
              </w:rPr>
            </w:pPr>
          </w:p>
        </w:tc>
        <w:tc>
          <w:tcPr>
            <w:tcW w:w="1391" w:type="dxa"/>
            <w:vAlign w:val="center"/>
          </w:tcPr>
          <w:p w14:paraId="77DC5142">
            <w:pPr>
              <w:jc w:val="center"/>
              <w:rPr>
                <w:color w:val="auto"/>
                <w:szCs w:val="21"/>
                <w:highlight w:val="none"/>
              </w:rPr>
            </w:pPr>
          </w:p>
        </w:tc>
        <w:tc>
          <w:tcPr>
            <w:tcW w:w="1390" w:type="dxa"/>
            <w:vAlign w:val="center"/>
          </w:tcPr>
          <w:p w14:paraId="5A2645F0">
            <w:pPr>
              <w:jc w:val="center"/>
              <w:rPr>
                <w:color w:val="auto"/>
                <w:szCs w:val="21"/>
                <w:highlight w:val="none"/>
              </w:rPr>
            </w:pPr>
          </w:p>
        </w:tc>
        <w:tc>
          <w:tcPr>
            <w:tcW w:w="1391" w:type="dxa"/>
            <w:vAlign w:val="center"/>
          </w:tcPr>
          <w:p w14:paraId="0955F6DC">
            <w:pPr>
              <w:jc w:val="center"/>
              <w:rPr>
                <w:color w:val="auto"/>
                <w:szCs w:val="21"/>
                <w:highlight w:val="none"/>
              </w:rPr>
            </w:pPr>
          </w:p>
        </w:tc>
        <w:tc>
          <w:tcPr>
            <w:tcW w:w="1391" w:type="dxa"/>
            <w:vAlign w:val="center"/>
          </w:tcPr>
          <w:p w14:paraId="41EC1443">
            <w:pPr>
              <w:jc w:val="center"/>
              <w:rPr>
                <w:color w:val="auto"/>
                <w:szCs w:val="21"/>
                <w:highlight w:val="none"/>
              </w:rPr>
            </w:pPr>
          </w:p>
        </w:tc>
      </w:tr>
      <w:tr w14:paraId="767EE6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5214361B">
            <w:pPr>
              <w:jc w:val="center"/>
              <w:rPr>
                <w:color w:val="auto"/>
                <w:szCs w:val="21"/>
                <w:highlight w:val="none"/>
              </w:rPr>
            </w:pPr>
            <w:r>
              <w:rPr>
                <w:color w:val="auto"/>
                <w:szCs w:val="21"/>
                <w:highlight w:val="none"/>
              </w:rPr>
              <w:t>结构形式</w:t>
            </w:r>
          </w:p>
        </w:tc>
        <w:tc>
          <w:tcPr>
            <w:tcW w:w="1390" w:type="dxa"/>
            <w:vAlign w:val="center"/>
          </w:tcPr>
          <w:p w14:paraId="6C6C87FE">
            <w:pPr>
              <w:jc w:val="center"/>
              <w:rPr>
                <w:color w:val="auto"/>
                <w:szCs w:val="21"/>
                <w:highlight w:val="none"/>
              </w:rPr>
            </w:pPr>
          </w:p>
        </w:tc>
        <w:tc>
          <w:tcPr>
            <w:tcW w:w="1391" w:type="dxa"/>
            <w:vAlign w:val="center"/>
          </w:tcPr>
          <w:p w14:paraId="1AAA017A">
            <w:pPr>
              <w:jc w:val="center"/>
              <w:rPr>
                <w:color w:val="auto"/>
                <w:szCs w:val="21"/>
                <w:highlight w:val="none"/>
              </w:rPr>
            </w:pPr>
          </w:p>
        </w:tc>
        <w:tc>
          <w:tcPr>
            <w:tcW w:w="1390" w:type="dxa"/>
            <w:vAlign w:val="center"/>
          </w:tcPr>
          <w:p w14:paraId="070775DF">
            <w:pPr>
              <w:jc w:val="center"/>
              <w:rPr>
                <w:color w:val="auto"/>
                <w:szCs w:val="21"/>
                <w:highlight w:val="none"/>
              </w:rPr>
            </w:pPr>
          </w:p>
        </w:tc>
        <w:tc>
          <w:tcPr>
            <w:tcW w:w="1391" w:type="dxa"/>
            <w:vAlign w:val="center"/>
          </w:tcPr>
          <w:p w14:paraId="4441A99A">
            <w:pPr>
              <w:jc w:val="center"/>
              <w:rPr>
                <w:color w:val="auto"/>
                <w:szCs w:val="21"/>
                <w:highlight w:val="none"/>
              </w:rPr>
            </w:pPr>
          </w:p>
        </w:tc>
        <w:tc>
          <w:tcPr>
            <w:tcW w:w="1391" w:type="dxa"/>
            <w:vAlign w:val="center"/>
          </w:tcPr>
          <w:p w14:paraId="26145EA0">
            <w:pPr>
              <w:jc w:val="center"/>
              <w:rPr>
                <w:color w:val="auto"/>
                <w:szCs w:val="21"/>
                <w:highlight w:val="none"/>
              </w:rPr>
            </w:pPr>
          </w:p>
        </w:tc>
      </w:tr>
      <w:tr w14:paraId="7DED3B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7D544C69">
            <w:pPr>
              <w:jc w:val="center"/>
              <w:rPr>
                <w:color w:val="auto"/>
                <w:szCs w:val="21"/>
                <w:highlight w:val="none"/>
              </w:rPr>
            </w:pPr>
            <w:r>
              <w:rPr>
                <w:rFonts w:hint="eastAsia"/>
                <w:color w:val="auto"/>
                <w:szCs w:val="21"/>
                <w:highlight w:val="none"/>
              </w:rPr>
              <w:t>质量要求</w:t>
            </w:r>
          </w:p>
        </w:tc>
        <w:tc>
          <w:tcPr>
            <w:tcW w:w="1390" w:type="dxa"/>
            <w:vAlign w:val="center"/>
          </w:tcPr>
          <w:p w14:paraId="260461A4">
            <w:pPr>
              <w:jc w:val="center"/>
              <w:rPr>
                <w:color w:val="auto"/>
                <w:szCs w:val="21"/>
                <w:highlight w:val="none"/>
              </w:rPr>
            </w:pPr>
          </w:p>
        </w:tc>
        <w:tc>
          <w:tcPr>
            <w:tcW w:w="1391" w:type="dxa"/>
            <w:vAlign w:val="center"/>
          </w:tcPr>
          <w:p w14:paraId="1122900C">
            <w:pPr>
              <w:jc w:val="center"/>
              <w:rPr>
                <w:color w:val="auto"/>
                <w:szCs w:val="21"/>
                <w:highlight w:val="none"/>
              </w:rPr>
            </w:pPr>
          </w:p>
        </w:tc>
        <w:tc>
          <w:tcPr>
            <w:tcW w:w="1390" w:type="dxa"/>
            <w:vAlign w:val="center"/>
          </w:tcPr>
          <w:p w14:paraId="75FCCA10">
            <w:pPr>
              <w:jc w:val="center"/>
              <w:rPr>
                <w:color w:val="auto"/>
                <w:szCs w:val="21"/>
                <w:highlight w:val="none"/>
              </w:rPr>
            </w:pPr>
          </w:p>
        </w:tc>
        <w:tc>
          <w:tcPr>
            <w:tcW w:w="1391" w:type="dxa"/>
            <w:vAlign w:val="center"/>
          </w:tcPr>
          <w:p w14:paraId="7DE0C05E">
            <w:pPr>
              <w:jc w:val="center"/>
              <w:rPr>
                <w:color w:val="auto"/>
                <w:szCs w:val="21"/>
                <w:highlight w:val="none"/>
              </w:rPr>
            </w:pPr>
          </w:p>
        </w:tc>
        <w:tc>
          <w:tcPr>
            <w:tcW w:w="1391" w:type="dxa"/>
            <w:vAlign w:val="center"/>
          </w:tcPr>
          <w:p w14:paraId="3240E064">
            <w:pPr>
              <w:jc w:val="center"/>
              <w:rPr>
                <w:color w:val="auto"/>
                <w:szCs w:val="21"/>
                <w:highlight w:val="none"/>
              </w:rPr>
            </w:pPr>
          </w:p>
        </w:tc>
      </w:tr>
      <w:tr w14:paraId="34A77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10198C3">
            <w:pPr>
              <w:jc w:val="center"/>
              <w:rPr>
                <w:color w:val="auto"/>
                <w:szCs w:val="21"/>
                <w:highlight w:val="none"/>
              </w:rPr>
            </w:pPr>
            <w:r>
              <w:rPr>
                <w:color w:val="auto"/>
                <w:szCs w:val="21"/>
                <w:highlight w:val="none"/>
              </w:rPr>
              <w:t>施工方法</w:t>
            </w:r>
          </w:p>
        </w:tc>
        <w:tc>
          <w:tcPr>
            <w:tcW w:w="1390" w:type="dxa"/>
            <w:vAlign w:val="center"/>
          </w:tcPr>
          <w:p w14:paraId="054E206C">
            <w:pPr>
              <w:jc w:val="center"/>
              <w:rPr>
                <w:color w:val="auto"/>
                <w:szCs w:val="21"/>
                <w:highlight w:val="none"/>
              </w:rPr>
            </w:pPr>
          </w:p>
        </w:tc>
        <w:tc>
          <w:tcPr>
            <w:tcW w:w="1391" w:type="dxa"/>
            <w:vAlign w:val="center"/>
          </w:tcPr>
          <w:p w14:paraId="213E8FD3">
            <w:pPr>
              <w:jc w:val="center"/>
              <w:rPr>
                <w:color w:val="auto"/>
                <w:szCs w:val="21"/>
                <w:highlight w:val="none"/>
              </w:rPr>
            </w:pPr>
          </w:p>
        </w:tc>
        <w:tc>
          <w:tcPr>
            <w:tcW w:w="1390" w:type="dxa"/>
            <w:vAlign w:val="center"/>
          </w:tcPr>
          <w:p w14:paraId="78205B27">
            <w:pPr>
              <w:jc w:val="center"/>
              <w:rPr>
                <w:color w:val="auto"/>
                <w:szCs w:val="21"/>
                <w:highlight w:val="none"/>
              </w:rPr>
            </w:pPr>
          </w:p>
        </w:tc>
        <w:tc>
          <w:tcPr>
            <w:tcW w:w="1391" w:type="dxa"/>
            <w:vAlign w:val="center"/>
          </w:tcPr>
          <w:p w14:paraId="0C55EEA4">
            <w:pPr>
              <w:jc w:val="center"/>
              <w:rPr>
                <w:color w:val="auto"/>
                <w:szCs w:val="21"/>
                <w:highlight w:val="none"/>
              </w:rPr>
            </w:pPr>
          </w:p>
        </w:tc>
        <w:tc>
          <w:tcPr>
            <w:tcW w:w="1391" w:type="dxa"/>
            <w:vAlign w:val="center"/>
          </w:tcPr>
          <w:p w14:paraId="57B0CCA3">
            <w:pPr>
              <w:jc w:val="center"/>
              <w:rPr>
                <w:color w:val="auto"/>
                <w:szCs w:val="21"/>
                <w:highlight w:val="none"/>
              </w:rPr>
            </w:pPr>
          </w:p>
        </w:tc>
      </w:tr>
      <w:tr w14:paraId="6B0E30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7D45C20">
            <w:pPr>
              <w:jc w:val="center"/>
              <w:rPr>
                <w:color w:val="auto"/>
                <w:szCs w:val="21"/>
                <w:highlight w:val="none"/>
              </w:rPr>
            </w:pPr>
            <w:r>
              <w:rPr>
                <w:color w:val="auto"/>
                <w:szCs w:val="21"/>
                <w:highlight w:val="none"/>
              </w:rPr>
              <w:t>竣工日期</w:t>
            </w:r>
          </w:p>
        </w:tc>
        <w:tc>
          <w:tcPr>
            <w:tcW w:w="1390" w:type="dxa"/>
            <w:vAlign w:val="center"/>
          </w:tcPr>
          <w:p w14:paraId="48DF070C">
            <w:pPr>
              <w:jc w:val="center"/>
              <w:rPr>
                <w:color w:val="auto"/>
                <w:szCs w:val="21"/>
                <w:highlight w:val="none"/>
              </w:rPr>
            </w:pPr>
          </w:p>
        </w:tc>
        <w:tc>
          <w:tcPr>
            <w:tcW w:w="1391" w:type="dxa"/>
            <w:vAlign w:val="center"/>
          </w:tcPr>
          <w:p w14:paraId="2F1E45E1">
            <w:pPr>
              <w:jc w:val="center"/>
              <w:rPr>
                <w:color w:val="auto"/>
                <w:szCs w:val="21"/>
                <w:highlight w:val="none"/>
              </w:rPr>
            </w:pPr>
          </w:p>
        </w:tc>
        <w:tc>
          <w:tcPr>
            <w:tcW w:w="1390" w:type="dxa"/>
            <w:vAlign w:val="center"/>
          </w:tcPr>
          <w:p w14:paraId="376B9F82">
            <w:pPr>
              <w:jc w:val="center"/>
              <w:rPr>
                <w:color w:val="auto"/>
                <w:szCs w:val="21"/>
                <w:highlight w:val="none"/>
              </w:rPr>
            </w:pPr>
          </w:p>
        </w:tc>
        <w:tc>
          <w:tcPr>
            <w:tcW w:w="1391" w:type="dxa"/>
            <w:vAlign w:val="center"/>
          </w:tcPr>
          <w:p w14:paraId="36D2FEBE">
            <w:pPr>
              <w:jc w:val="center"/>
              <w:rPr>
                <w:color w:val="auto"/>
                <w:szCs w:val="21"/>
                <w:highlight w:val="none"/>
              </w:rPr>
            </w:pPr>
          </w:p>
        </w:tc>
        <w:tc>
          <w:tcPr>
            <w:tcW w:w="1391" w:type="dxa"/>
            <w:vAlign w:val="center"/>
          </w:tcPr>
          <w:p w14:paraId="5783818F">
            <w:pPr>
              <w:jc w:val="center"/>
              <w:rPr>
                <w:color w:val="auto"/>
                <w:szCs w:val="21"/>
                <w:highlight w:val="none"/>
              </w:rPr>
            </w:pPr>
          </w:p>
        </w:tc>
      </w:tr>
      <w:tr w14:paraId="608EBA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A5B1766">
            <w:pPr>
              <w:jc w:val="center"/>
              <w:rPr>
                <w:color w:val="auto"/>
                <w:szCs w:val="21"/>
                <w:highlight w:val="none"/>
              </w:rPr>
            </w:pPr>
            <w:r>
              <w:rPr>
                <w:color w:val="auto"/>
                <w:szCs w:val="21"/>
                <w:highlight w:val="none"/>
              </w:rPr>
              <w:t>实际工期</w:t>
            </w:r>
          </w:p>
        </w:tc>
        <w:tc>
          <w:tcPr>
            <w:tcW w:w="1390" w:type="dxa"/>
            <w:vAlign w:val="center"/>
          </w:tcPr>
          <w:p w14:paraId="339D7102">
            <w:pPr>
              <w:jc w:val="center"/>
              <w:rPr>
                <w:color w:val="auto"/>
                <w:szCs w:val="21"/>
                <w:highlight w:val="none"/>
              </w:rPr>
            </w:pPr>
          </w:p>
        </w:tc>
        <w:tc>
          <w:tcPr>
            <w:tcW w:w="1391" w:type="dxa"/>
            <w:vAlign w:val="center"/>
          </w:tcPr>
          <w:p w14:paraId="3A05221C">
            <w:pPr>
              <w:jc w:val="center"/>
              <w:rPr>
                <w:color w:val="auto"/>
                <w:szCs w:val="21"/>
                <w:highlight w:val="none"/>
              </w:rPr>
            </w:pPr>
          </w:p>
        </w:tc>
        <w:tc>
          <w:tcPr>
            <w:tcW w:w="1390" w:type="dxa"/>
            <w:vAlign w:val="center"/>
          </w:tcPr>
          <w:p w14:paraId="71FA517A">
            <w:pPr>
              <w:jc w:val="center"/>
              <w:rPr>
                <w:color w:val="auto"/>
                <w:szCs w:val="21"/>
                <w:highlight w:val="none"/>
              </w:rPr>
            </w:pPr>
          </w:p>
        </w:tc>
        <w:tc>
          <w:tcPr>
            <w:tcW w:w="1391" w:type="dxa"/>
            <w:vAlign w:val="center"/>
          </w:tcPr>
          <w:p w14:paraId="2B14B633">
            <w:pPr>
              <w:jc w:val="center"/>
              <w:rPr>
                <w:color w:val="auto"/>
                <w:szCs w:val="21"/>
                <w:highlight w:val="none"/>
              </w:rPr>
            </w:pPr>
          </w:p>
        </w:tc>
        <w:tc>
          <w:tcPr>
            <w:tcW w:w="1391" w:type="dxa"/>
            <w:vAlign w:val="center"/>
          </w:tcPr>
          <w:p w14:paraId="549E8630">
            <w:pPr>
              <w:jc w:val="center"/>
              <w:rPr>
                <w:color w:val="auto"/>
                <w:szCs w:val="21"/>
                <w:highlight w:val="none"/>
              </w:rPr>
            </w:pPr>
          </w:p>
        </w:tc>
      </w:tr>
      <w:tr w14:paraId="0CFEB7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5E86490A">
            <w:pPr>
              <w:jc w:val="center"/>
              <w:rPr>
                <w:color w:val="auto"/>
                <w:szCs w:val="21"/>
                <w:highlight w:val="none"/>
              </w:rPr>
            </w:pPr>
            <w:r>
              <w:rPr>
                <w:color w:val="auto"/>
                <w:szCs w:val="21"/>
                <w:highlight w:val="none"/>
              </w:rPr>
              <w:t>合同工期</w:t>
            </w:r>
          </w:p>
        </w:tc>
        <w:tc>
          <w:tcPr>
            <w:tcW w:w="1390" w:type="dxa"/>
            <w:vAlign w:val="center"/>
          </w:tcPr>
          <w:p w14:paraId="60ACFD6A">
            <w:pPr>
              <w:jc w:val="center"/>
              <w:rPr>
                <w:color w:val="auto"/>
                <w:szCs w:val="21"/>
                <w:highlight w:val="none"/>
              </w:rPr>
            </w:pPr>
          </w:p>
        </w:tc>
        <w:tc>
          <w:tcPr>
            <w:tcW w:w="1391" w:type="dxa"/>
            <w:vAlign w:val="center"/>
          </w:tcPr>
          <w:p w14:paraId="6782C437">
            <w:pPr>
              <w:jc w:val="center"/>
              <w:rPr>
                <w:color w:val="auto"/>
                <w:szCs w:val="21"/>
                <w:highlight w:val="none"/>
              </w:rPr>
            </w:pPr>
          </w:p>
        </w:tc>
        <w:tc>
          <w:tcPr>
            <w:tcW w:w="1390" w:type="dxa"/>
            <w:vAlign w:val="center"/>
          </w:tcPr>
          <w:p w14:paraId="1EAE63B9">
            <w:pPr>
              <w:jc w:val="center"/>
              <w:rPr>
                <w:color w:val="auto"/>
                <w:szCs w:val="21"/>
                <w:highlight w:val="none"/>
              </w:rPr>
            </w:pPr>
          </w:p>
        </w:tc>
        <w:tc>
          <w:tcPr>
            <w:tcW w:w="1391" w:type="dxa"/>
            <w:vAlign w:val="center"/>
          </w:tcPr>
          <w:p w14:paraId="23347FB5">
            <w:pPr>
              <w:jc w:val="center"/>
              <w:rPr>
                <w:color w:val="auto"/>
                <w:szCs w:val="21"/>
                <w:highlight w:val="none"/>
              </w:rPr>
            </w:pPr>
          </w:p>
        </w:tc>
        <w:tc>
          <w:tcPr>
            <w:tcW w:w="1391" w:type="dxa"/>
            <w:vAlign w:val="center"/>
          </w:tcPr>
          <w:p w14:paraId="301411E1">
            <w:pPr>
              <w:jc w:val="center"/>
              <w:rPr>
                <w:color w:val="auto"/>
                <w:szCs w:val="21"/>
                <w:highlight w:val="none"/>
              </w:rPr>
            </w:pPr>
          </w:p>
        </w:tc>
      </w:tr>
      <w:tr w14:paraId="5FC4A3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22CE11DB">
            <w:pPr>
              <w:jc w:val="center"/>
              <w:rPr>
                <w:color w:val="auto"/>
                <w:szCs w:val="21"/>
                <w:highlight w:val="none"/>
              </w:rPr>
            </w:pPr>
            <w:r>
              <w:rPr>
                <w:color w:val="auto"/>
                <w:szCs w:val="21"/>
                <w:highlight w:val="none"/>
              </w:rPr>
              <w:t>结算总价</w:t>
            </w:r>
          </w:p>
        </w:tc>
        <w:tc>
          <w:tcPr>
            <w:tcW w:w="1390" w:type="dxa"/>
            <w:vAlign w:val="center"/>
          </w:tcPr>
          <w:p w14:paraId="568FBD92">
            <w:pPr>
              <w:jc w:val="center"/>
              <w:rPr>
                <w:color w:val="auto"/>
                <w:szCs w:val="21"/>
                <w:highlight w:val="none"/>
              </w:rPr>
            </w:pPr>
          </w:p>
        </w:tc>
        <w:tc>
          <w:tcPr>
            <w:tcW w:w="1391" w:type="dxa"/>
            <w:vAlign w:val="center"/>
          </w:tcPr>
          <w:p w14:paraId="63688106">
            <w:pPr>
              <w:jc w:val="center"/>
              <w:rPr>
                <w:color w:val="auto"/>
                <w:szCs w:val="21"/>
                <w:highlight w:val="none"/>
              </w:rPr>
            </w:pPr>
          </w:p>
        </w:tc>
        <w:tc>
          <w:tcPr>
            <w:tcW w:w="1390" w:type="dxa"/>
            <w:vAlign w:val="center"/>
          </w:tcPr>
          <w:p w14:paraId="3B2AAE1A">
            <w:pPr>
              <w:jc w:val="center"/>
              <w:rPr>
                <w:color w:val="auto"/>
                <w:szCs w:val="21"/>
                <w:highlight w:val="none"/>
              </w:rPr>
            </w:pPr>
          </w:p>
        </w:tc>
        <w:tc>
          <w:tcPr>
            <w:tcW w:w="1391" w:type="dxa"/>
            <w:vAlign w:val="center"/>
          </w:tcPr>
          <w:p w14:paraId="6F65FD00">
            <w:pPr>
              <w:jc w:val="center"/>
              <w:rPr>
                <w:color w:val="auto"/>
                <w:szCs w:val="21"/>
                <w:highlight w:val="none"/>
              </w:rPr>
            </w:pPr>
          </w:p>
        </w:tc>
        <w:tc>
          <w:tcPr>
            <w:tcW w:w="1391" w:type="dxa"/>
            <w:vAlign w:val="center"/>
          </w:tcPr>
          <w:p w14:paraId="36A7D5DF">
            <w:pPr>
              <w:jc w:val="center"/>
              <w:rPr>
                <w:color w:val="auto"/>
                <w:szCs w:val="21"/>
                <w:highlight w:val="none"/>
              </w:rPr>
            </w:pPr>
          </w:p>
        </w:tc>
      </w:tr>
      <w:tr w14:paraId="16EC63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15AE32C9">
            <w:pPr>
              <w:jc w:val="center"/>
              <w:rPr>
                <w:color w:val="auto"/>
                <w:szCs w:val="21"/>
                <w:highlight w:val="none"/>
              </w:rPr>
            </w:pPr>
            <w:r>
              <w:rPr>
                <w:color w:val="auto"/>
                <w:szCs w:val="21"/>
                <w:highlight w:val="none"/>
              </w:rPr>
              <w:t>合同总价</w:t>
            </w:r>
          </w:p>
        </w:tc>
        <w:tc>
          <w:tcPr>
            <w:tcW w:w="1390" w:type="dxa"/>
            <w:vAlign w:val="center"/>
          </w:tcPr>
          <w:p w14:paraId="56DEFF31">
            <w:pPr>
              <w:jc w:val="center"/>
              <w:rPr>
                <w:color w:val="auto"/>
                <w:szCs w:val="21"/>
                <w:highlight w:val="none"/>
              </w:rPr>
            </w:pPr>
          </w:p>
        </w:tc>
        <w:tc>
          <w:tcPr>
            <w:tcW w:w="1391" w:type="dxa"/>
            <w:vAlign w:val="center"/>
          </w:tcPr>
          <w:p w14:paraId="43F0E127">
            <w:pPr>
              <w:jc w:val="center"/>
              <w:rPr>
                <w:color w:val="auto"/>
                <w:szCs w:val="21"/>
                <w:highlight w:val="none"/>
              </w:rPr>
            </w:pPr>
          </w:p>
        </w:tc>
        <w:tc>
          <w:tcPr>
            <w:tcW w:w="1390" w:type="dxa"/>
            <w:vAlign w:val="center"/>
          </w:tcPr>
          <w:p w14:paraId="0AFA73A8">
            <w:pPr>
              <w:jc w:val="center"/>
              <w:rPr>
                <w:color w:val="auto"/>
                <w:szCs w:val="21"/>
                <w:highlight w:val="none"/>
              </w:rPr>
            </w:pPr>
          </w:p>
        </w:tc>
        <w:tc>
          <w:tcPr>
            <w:tcW w:w="1391" w:type="dxa"/>
            <w:vAlign w:val="center"/>
          </w:tcPr>
          <w:p w14:paraId="4533A961">
            <w:pPr>
              <w:jc w:val="center"/>
              <w:rPr>
                <w:color w:val="auto"/>
                <w:szCs w:val="21"/>
                <w:highlight w:val="none"/>
              </w:rPr>
            </w:pPr>
          </w:p>
        </w:tc>
        <w:tc>
          <w:tcPr>
            <w:tcW w:w="1391" w:type="dxa"/>
            <w:vAlign w:val="center"/>
          </w:tcPr>
          <w:p w14:paraId="69F5D4AA">
            <w:pPr>
              <w:jc w:val="center"/>
              <w:rPr>
                <w:color w:val="auto"/>
                <w:szCs w:val="21"/>
                <w:highlight w:val="none"/>
              </w:rPr>
            </w:pPr>
          </w:p>
        </w:tc>
      </w:tr>
      <w:tr w14:paraId="6DA597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793" w:type="dxa"/>
            <w:vAlign w:val="center"/>
          </w:tcPr>
          <w:p w14:paraId="05A6E636">
            <w:pPr>
              <w:jc w:val="center"/>
              <w:rPr>
                <w:color w:val="auto"/>
                <w:szCs w:val="21"/>
                <w:highlight w:val="none"/>
              </w:rPr>
            </w:pPr>
            <w:r>
              <w:rPr>
                <w:color w:val="auto"/>
                <w:szCs w:val="21"/>
                <w:highlight w:val="none"/>
              </w:rPr>
              <w:t>备    注</w:t>
            </w:r>
          </w:p>
        </w:tc>
        <w:tc>
          <w:tcPr>
            <w:tcW w:w="1390" w:type="dxa"/>
            <w:vAlign w:val="center"/>
          </w:tcPr>
          <w:p w14:paraId="6EDA660E">
            <w:pPr>
              <w:jc w:val="center"/>
              <w:rPr>
                <w:color w:val="auto"/>
                <w:szCs w:val="21"/>
                <w:highlight w:val="none"/>
              </w:rPr>
            </w:pPr>
          </w:p>
        </w:tc>
        <w:tc>
          <w:tcPr>
            <w:tcW w:w="1391" w:type="dxa"/>
            <w:vAlign w:val="center"/>
          </w:tcPr>
          <w:p w14:paraId="4B8A0904">
            <w:pPr>
              <w:jc w:val="center"/>
              <w:rPr>
                <w:color w:val="auto"/>
                <w:szCs w:val="21"/>
                <w:highlight w:val="none"/>
              </w:rPr>
            </w:pPr>
          </w:p>
        </w:tc>
        <w:tc>
          <w:tcPr>
            <w:tcW w:w="1390" w:type="dxa"/>
            <w:vAlign w:val="center"/>
          </w:tcPr>
          <w:p w14:paraId="0988C7E2">
            <w:pPr>
              <w:jc w:val="center"/>
              <w:rPr>
                <w:color w:val="auto"/>
                <w:szCs w:val="21"/>
                <w:highlight w:val="none"/>
              </w:rPr>
            </w:pPr>
          </w:p>
        </w:tc>
        <w:tc>
          <w:tcPr>
            <w:tcW w:w="1391" w:type="dxa"/>
            <w:vAlign w:val="center"/>
          </w:tcPr>
          <w:p w14:paraId="5F68CC04">
            <w:pPr>
              <w:jc w:val="center"/>
              <w:rPr>
                <w:color w:val="auto"/>
                <w:szCs w:val="21"/>
                <w:highlight w:val="none"/>
              </w:rPr>
            </w:pPr>
          </w:p>
        </w:tc>
        <w:tc>
          <w:tcPr>
            <w:tcW w:w="1391" w:type="dxa"/>
            <w:vAlign w:val="center"/>
          </w:tcPr>
          <w:p w14:paraId="5267A805">
            <w:pPr>
              <w:jc w:val="center"/>
              <w:rPr>
                <w:color w:val="auto"/>
                <w:szCs w:val="21"/>
                <w:highlight w:val="none"/>
              </w:rPr>
            </w:pPr>
          </w:p>
        </w:tc>
      </w:tr>
    </w:tbl>
    <w:p w14:paraId="04A7EDAF">
      <w:pPr>
        <w:spacing w:line="360" w:lineRule="auto"/>
        <w:ind w:firstLine="420" w:firstLineChars="200"/>
        <w:rPr>
          <w:color w:val="auto"/>
          <w:highlight w:val="none"/>
        </w:rPr>
      </w:pPr>
      <w:r>
        <w:rPr>
          <w:rFonts w:hint="eastAsia"/>
          <w:color w:val="auto"/>
          <w:highlight w:val="none"/>
        </w:rPr>
        <w:t>注：有获工程奖项的需附相关证明材料。</w:t>
      </w:r>
    </w:p>
    <w:p w14:paraId="3956030E">
      <w:pPr>
        <w:spacing w:line="360" w:lineRule="auto"/>
        <w:ind w:firstLine="420" w:firstLineChars="200"/>
        <w:rPr>
          <w:color w:val="auto"/>
          <w:highlight w:val="none"/>
        </w:rPr>
      </w:pPr>
    </w:p>
    <w:p w14:paraId="33BFF792">
      <w:pPr>
        <w:spacing w:line="360" w:lineRule="auto"/>
        <w:rPr>
          <w:color w:val="auto"/>
          <w:szCs w:val="21"/>
          <w:highlight w:val="none"/>
        </w:rPr>
      </w:pPr>
      <w:r>
        <w:rPr>
          <w:color w:val="auto"/>
          <w:szCs w:val="21"/>
          <w:highlight w:val="none"/>
        </w:rPr>
        <w:t>响应单位： (盖章)   　法定代表人或授权代理人：(签字) 　 日期：  年 月 日</w:t>
      </w:r>
    </w:p>
    <w:p w14:paraId="66895A74">
      <w:pPr>
        <w:spacing w:line="360" w:lineRule="auto"/>
        <w:rPr>
          <w:color w:val="auto"/>
          <w:szCs w:val="21"/>
          <w:highlight w:val="none"/>
        </w:rPr>
      </w:pPr>
    </w:p>
    <w:p w14:paraId="3E5FF9BE">
      <w:pPr>
        <w:spacing w:line="360" w:lineRule="auto"/>
        <w:rPr>
          <w:color w:val="auto"/>
          <w:szCs w:val="21"/>
          <w:highlight w:val="none"/>
        </w:rPr>
      </w:pPr>
    </w:p>
    <w:p w14:paraId="04562BCA">
      <w:pPr>
        <w:pStyle w:val="53"/>
        <w:spacing w:before="120"/>
        <w:rPr>
          <w:rStyle w:val="46"/>
          <w:rFonts w:ascii="Times New Roman" w:hAnsi="Times New Roman" w:eastAsia="宋体" w:cs="Times New Roman"/>
          <w:b/>
          <w:bCs/>
          <w:color w:val="auto"/>
          <w:szCs w:val="24"/>
          <w:highlight w:val="none"/>
        </w:rPr>
        <w:sectPr>
          <w:pgSz w:w="11907" w:h="16840"/>
          <w:pgMar w:top="1417" w:right="1701" w:bottom="1417" w:left="1701" w:header="850" w:footer="1134" w:gutter="0"/>
          <w:pgNumType w:fmt="decimal"/>
          <w:cols w:space="0" w:num="1"/>
          <w:rtlGutter w:val="0"/>
          <w:docGrid w:linePitch="312" w:charSpace="0"/>
        </w:sectPr>
      </w:pPr>
    </w:p>
    <w:p w14:paraId="384CA6C8">
      <w:pPr>
        <w:pStyle w:val="53"/>
        <w:spacing w:before="120"/>
        <w:rPr>
          <w:rStyle w:val="46"/>
          <w:rFonts w:ascii="Times New Roman" w:hAnsi="Times New Roman" w:eastAsia="宋体" w:cs="Times New Roman"/>
          <w:b/>
          <w:bCs w:val="0"/>
          <w:color w:val="auto"/>
          <w:szCs w:val="24"/>
          <w:highlight w:val="none"/>
        </w:rPr>
      </w:pPr>
      <w:r>
        <w:rPr>
          <w:rStyle w:val="46"/>
          <w:rFonts w:ascii="Times New Roman" w:hAnsi="Times New Roman" w:eastAsia="宋体" w:cs="Times New Roman"/>
          <w:b/>
          <w:bCs w:val="0"/>
          <w:color w:val="auto"/>
          <w:szCs w:val="24"/>
          <w:highlight w:val="none"/>
        </w:rPr>
        <w:t>格式</w:t>
      </w:r>
      <w:r>
        <w:rPr>
          <w:rStyle w:val="46"/>
          <w:rFonts w:hint="eastAsia" w:ascii="Times New Roman" w:hAnsi="Times New Roman" w:eastAsia="宋体" w:cs="Times New Roman"/>
          <w:b/>
          <w:bCs w:val="0"/>
          <w:color w:val="auto"/>
          <w:szCs w:val="24"/>
          <w:highlight w:val="none"/>
        </w:rPr>
        <w:t>1</w:t>
      </w:r>
      <w:r>
        <w:rPr>
          <w:rStyle w:val="46"/>
          <w:rFonts w:ascii="Times New Roman" w:hAnsi="Times New Roman" w:eastAsia="宋体" w:cs="Times New Roman"/>
          <w:b/>
          <w:bCs w:val="0"/>
          <w:color w:val="auto"/>
          <w:szCs w:val="24"/>
          <w:highlight w:val="none"/>
        </w:rPr>
        <w:t xml:space="preserve">1  </w:t>
      </w:r>
      <w:r>
        <w:rPr>
          <w:rStyle w:val="46"/>
          <w:rFonts w:hint="eastAsia" w:ascii="Times New Roman" w:hAnsi="Times New Roman" w:eastAsia="宋体" w:cs="Times New Roman"/>
          <w:b/>
          <w:bCs w:val="0"/>
          <w:color w:val="auto"/>
          <w:szCs w:val="24"/>
          <w:highlight w:val="none"/>
        </w:rPr>
        <w:t>响应单位的纳税资格的确认</w:t>
      </w:r>
    </w:p>
    <w:p w14:paraId="6FA72956">
      <w:pPr>
        <w:spacing w:line="360" w:lineRule="auto"/>
        <w:jc w:val="center"/>
        <w:rPr>
          <w:color w:val="auto"/>
          <w:highlight w:val="none"/>
        </w:rPr>
      </w:pPr>
    </w:p>
    <w:p w14:paraId="7AE9C18C">
      <w:pPr>
        <w:spacing w:line="360" w:lineRule="auto"/>
        <w:jc w:val="center"/>
        <w:rPr>
          <w:b/>
          <w:color w:val="auto"/>
          <w:sz w:val="28"/>
          <w:szCs w:val="28"/>
          <w:highlight w:val="none"/>
        </w:rPr>
      </w:pPr>
      <w:r>
        <w:rPr>
          <w:rFonts w:hint="eastAsia"/>
          <w:b/>
          <w:bCs/>
          <w:color w:val="auto"/>
          <w:sz w:val="28"/>
          <w:szCs w:val="28"/>
          <w:highlight w:val="none"/>
        </w:rPr>
        <w:t>响应单位的纳税资格的确认</w:t>
      </w:r>
      <w:r>
        <w:rPr>
          <w:b/>
          <w:color w:val="auto"/>
          <w:sz w:val="28"/>
          <w:szCs w:val="28"/>
          <w:highlight w:val="none"/>
        </w:rPr>
        <w:t>表</w:t>
      </w:r>
    </w:p>
    <w:p w14:paraId="74B31B0E">
      <w:pPr>
        <w:adjustRightInd w:val="0"/>
        <w:spacing w:line="360" w:lineRule="auto"/>
        <w:rPr>
          <w:color w:val="auto"/>
          <w:sz w:val="32"/>
          <w:szCs w:val="32"/>
          <w:highlight w:val="none"/>
        </w:rPr>
      </w:pPr>
      <w:r>
        <w:rPr>
          <w:color w:val="auto"/>
          <w:sz w:val="24"/>
          <w:highlight w:val="none"/>
        </w:rPr>
        <w:t>响应单位：</w:t>
      </w:r>
    </w:p>
    <w:tbl>
      <w:tblPr>
        <w:tblStyle w:val="31"/>
        <w:tblW w:w="876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386"/>
        <w:gridCol w:w="2008"/>
        <w:gridCol w:w="1168"/>
        <w:gridCol w:w="959"/>
        <w:gridCol w:w="1309"/>
      </w:tblGrid>
      <w:tr w14:paraId="0FDF05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1621EA64">
            <w:pPr>
              <w:jc w:val="center"/>
              <w:rPr>
                <w:b/>
                <w:color w:val="auto"/>
                <w:szCs w:val="21"/>
                <w:highlight w:val="none"/>
              </w:rPr>
            </w:pPr>
            <w:r>
              <w:rPr>
                <w:rFonts w:hint="eastAsia"/>
                <w:b/>
                <w:color w:val="auto"/>
                <w:szCs w:val="21"/>
                <w:highlight w:val="none"/>
              </w:rPr>
              <w:t>序号</w:t>
            </w:r>
          </w:p>
        </w:tc>
        <w:tc>
          <w:tcPr>
            <w:tcW w:w="7830" w:type="dxa"/>
            <w:gridSpan w:val="5"/>
            <w:vAlign w:val="center"/>
          </w:tcPr>
          <w:p w14:paraId="2E29AD03">
            <w:pPr>
              <w:jc w:val="center"/>
              <w:rPr>
                <w:b/>
                <w:color w:val="auto"/>
                <w:szCs w:val="21"/>
                <w:highlight w:val="none"/>
              </w:rPr>
            </w:pPr>
            <w:r>
              <w:rPr>
                <w:rFonts w:hint="eastAsia"/>
                <w:b/>
                <w:color w:val="auto"/>
                <w:szCs w:val="21"/>
                <w:highlight w:val="none"/>
              </w:rPr>
              <w:t>确认内容</w:t>
            </w:r>
          </w:p>
        </w:tc>
      </w:tr>
      <w:tr w14:paraId="46FC1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79EDC49C">
            <w:pPr>
              <w:jc w:val="center"/>
              <w:rPr>
                <w:color w:val="auto"/>
                <w:szCs w:val="21"/>
                <w:highlight w:val="none"/>
              </w:rPr>
            </w:pPr>
            <w:r>
              <w:rPr>
                <w:rFonts w:hint="eastAsia"/>
                <w:color w:val="auto"/>
                <w:szCs w:val="21"/>
                <w:highlight w:val="none"/>
              </w:rPr>
              <w:t>1</w:t>
            </w:r>
          </w:p>
        </w:tc>
        <w:tc>
          <w:tcPr>
            <w:tcW w:w="2386" w:type="dxa"/>
            <w:vAlign w:val="center"/>
          </w:tcPr>
          <w:p w14:paraId="319C97A6">
            <w:pPr>
              <w:jc w:val="center"/>
              <w:rPr>
                <w:rFonts w:hint="eastAsia" w:ascii="宋体" w:hAnsi="宋体"/>
                <w:color w:val="auto"/>
                <w:szCs w:val="21"/>
                <w:highlight w:val="none"/>
              </w:rPr>
            </w:pPr>
            <w:r>
              <w:rPr>
                <w:rFonts w:hint="eastAsia" w:ascii="宋体" w:hAnsi="宋体"/>
                <w:color w:val="auto"/>
                <w:szCs w:val="21"/>
                <w:highlight w:val="none"/>
              </w:rPr>
              <w:t>响应单位全称</w:t>
            </w:r>
          </w:p>
        </w:tc>
        <w:tc>
          <w:tcPr>
            <w:tcW w:w="5444" w:type="dxa"/>
            <w:gridSpan w:val="4"/>
            <w:vAlign w:val="center"/>
          </w:tcPr>
          <w:p w14:paraId="5F728243">
            <w:pPr>
              <w:jc w:val="center"/>
              <w:rPr>
                <w:rFonts w:hint="eastAsia" w:ascii="宋体" w:hAnsi="宋体"/>
                <w:color w:val="auto"/>
                <w:kern w:val="0"/>
                <w:szCs w:val="21"/>
                <w:highlight w:val="none"/>
              </w:rPr>
            </w:pPr>
          </w:p>
        </w:tc>
      </w:tr>
      <w:tr w14:paraId="266E9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tcBorders>
              <w:top w:val="single" w:color="auto" w:sz="4" w:space="0"/>
            </w:tcBorders>
            <w:vAlign w:val="center"/>
          </w:tcPr>
          <w:p w14:paraId="5132BB7A">
            <w:pPr>
              <w:jc w:val="center"/>
              <w:rPr>
                <w:color w:val="auto"/>
                <w:szCs w:val="21"/>
                <w:highlight w:val="none"/>
              </w:rPr>
            </w:pPr>
            <w:r>
              <w:rPr>
                <w:rFonts w:hint="eastAsia"/>
                <w:color w:val="auto"/>
                <w:szCs w:val="21"/>
                <w:highlight w:val="none"/>
              </w:rPr>
              <w:t>2</w:t>
            </w:r>
          </w:p>
        </w:tc>
        <w:tc>
          <w:tcPr>
            <w:tcW w:w="2386" w:type="dxa"/>
            <w:vAlign w:val="center"/>
          </w:tcPr>
          <w:p w14:paraId="224F1A3A">
            <w:pPr>
              <w:jc w:val="center"/>
              <w:rPr>
                <w:rFonts w:hint="eastAsia" w:ascii="宋体" w:hAnsi="宋体"/>
                <w:color w:val="auto"/>
                <w:szCs w:val="21"/>
                <w:highlight w:val="none"/>
              </w:rPr>
            </w:pPr>
            <w:r>
              <w:rPr>
                <w:rFonts w:hint="eastAsia" w:ascii="宋体" w:hAnsi="宋体"/>
                <w:color w:val="auto"/>
                <w:szCs w:val="21"/>
                <w:highlight w:val="none"/>
              </w:rPr>
              <w:t>纳税义务人的纳税资格</w:t>
            </w:r>
          </w:p>
        </w:tc>
        <w:tc>
          <w:tcPr>
            <w:tcW w:w="2008" w:type="dxa"/>
            <w:vAlign w:val="center"/>
          </w:tcPr>
          <w:p w14:paraId="4FADF3EB">
            <w:pPr>
              <w:jc w:val="center"/>
              <w:rPr>
                <w:rFonts w:hint="eastAsia" w:ascii="宋体" w:hAnsi="宋体"/>
                <w:color w:val="auto"/>
                <w:szCs w:val="21"/>
                <w:highlight w:val="none"/>
              </w:rPr>
            </w:pPr>
            <w:r>
              <w:rPr>
                <w:rFonts w:hint="eastAsia" w:ascii="宋体" w:hAnsi="宋体"/>
                <w:color w:val="auto"/>
                <w:szCs w:val="21"/>
                <w:highlight w:val="none"/>
              </w:rPr>
              <w:t>一般纳税人（   ）</w:t>
            </w:r>
          </w:p>
        </w:tc>
        <w:tc>
          <w:tcPr>
            <w:tcW w:w="2127" w:type="dxa"/>
            <w:gridSpan w:val="2"/>
            <w:vAlign w:val="center"/>
          </w:tcPr>
          <w:p w14:paraId="5F7357D5">
            <w:pPr>
              <w:jc w:val="center"/>
              <w:rPr>
                <w:color w:val="auto"/>
                <w:szCs w:val="21"/>
                <w:highlight w:val="none"/>
              </w:rPr>
            </w:pPr>
            <w:r>
              <w:rPr>
                <w:rFonts w:hint="eastAsia" w:ascii="宋体" w:hAnsi="宋体"/>
                <w:color w:val="auto"/>
                <w:kern w:val="0"/>
                <w:szCs w:val="21"/>
                <w:highlight w:val="none"/>
              </w:rPr>
              <w:t>小规模纳税人</w:t>
            </w:r>
            <w:r>
              <w:rPr>
                <w:rFonts w:hint="eastAsia" w:ascii="宋体" w:hAnsi="宋体"/>
                <w:color w:val="auto"/>
                <w:szCs w:val="21"/>
                <w:highlight w:val="none"/>
              </w:rPr>
              <w:t>（   ）</w:t>
            </w:r>
          </w:p>
        </w:tc>
        <w:tc>
          <w:tcPr>
            <w:tcW w:w="1309" w:type="dxa"/>
            <w:vAlign w:val="center"/>
          </w:tcPr>
          <w:p w14:paraId="66FD81EF">
            <w:pPr>
              <w:jc w:val="center"/>
              <w:rPr>
                <w:color w:val="auto"/>
                <w:szCs w:val="21"/>
                <w:highlight w:val="none"/>
              </w:rPr>
            </w:pPr>
            <w:r>
              <w:rPr>
                <w:rFonts w:hint="eastAsia" w:ascii="宋体" w:hAnsi="宋体"/>
                <w:color w:val="auto"/>
                <w:kern w:val="0"/>
                <w:szCs w:val="21"/>
                <w:highlight w:val="none"/>
              </w:rPr>
              <w:t>其他</w:t>
            </w:r>
            <w:r>
              <w:rPr>
                <w:rFonts w:hint="eastAsia" w:ascii="宋体" w:hAnsi="宋体"/>
                <w:color w:val="auto"/>
                <w:szCs w:val="21"/>
                <w:highlight w:val="none"/>
              </w:rPr>
              <w:t>（   ）</w:t>
            </w:r>
          </w:p>
        </w:tc>
      </w:tr>
      <w:tr w14:paraId="6CDD87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7C5C93A3">
            <w:pPr>
              <w:jc w:val="center"/>
              <w:rPr>
                <w:color w:val="auto"/>
                <w:szCs w:val="21"/>
                <w:highlight w:val="none"/>
              </w:rPr>
            </w:pPr>
            <w:r>
              <w:rPr>
                <w:rFonts w:hint="eastAsia"/>
                <w:color w:val="auto"/>
                <w:szCs w:val="21"/>
                <w:highlight w:val="none"/>
              </w:rPr>
              <w:t>3</w:t>
            </w:r>
          </w:p>
        </w:tc>
        <w:tc>
          <w:tcPr>
            <w:tcW w:w="2386" w:type="dxa"/>
            <w:vAlign w:val="center"/>
          </w:tcPr>
          <w:p w14:paraId="0698D7F1">
            <w:pPr>
              <w:jc w:val="center"/>
              <w:rPr>
                <w:rFonts w:hint="eastAsia" w:ascii="宋体" w:hAnsi="宋体"/>
                <w:color w:val="auto"/>
                <w:szCs w:val="21"/>
                <w:highlight w:val="none"/>
              </w:rPr>
            </w:pPr>
            <w:r>
              <w:rPr>
                <w:rFonts w:hint="eastAsia" w:ascii="宋体" w:hAnsi="宋体"/>
                <w:color w:val="auto"/>
                <w:szCs w:val="21"/>
                <w:highlight w:val="none"/>
              </w:rPr>
              <w:t>响应单位提供的票据</w:t>
            </w:r>
          </w:p>
        </w:tc>
        <w:tc>
          <w:tcPr>
            <w:tcW w:w="3176" w:type="dxa"/>
            <w:gridSpan w:val="2"/>
            <w:vAlign w:val="center"/>
          </w:tcPr>
          <w:p w14:paraId="30A0F89E">
            <w:pPr>
              <w:jc w:val="center"/>
              <w:rPr>
                <w:rFonts w:hint="eastAsia" w:ascii="宋体" w:hAnsi="宋体"/>
                <w:color w:val="auto"/>
                <w:szCs w:val="21"/>
                <w:highlight w:val="none"/>
              </w:rPr>
            </w:pPr>
            <w:r>
              <w:rPr>
                <w:rFonts w:hint="eastAsia" w:ascii="宋体" w:hAnsi="宋体"/>
                <w:color w:val="auto"/>
                <w:szCs w:val="21"/>
                <w:highlight w:val="none"/>
              </w:rPr>
              <w:t>增值税专用发票（   ）</w:t>
            </w:r>
          </w:p>
        </w:tc>
        <w:tc>
          <w:tcPr>
            <w:tcW w:w="2268" w:type="dxa"/>
            <w:gridSpan w:val="2"/>
            <w:vAlign w:val="center"/>
          </w:tcPr>
          <w:p w14:paraId="2A6E847D">
            <w:pPr>
              <w:jc w:val="center"/>
              <w:rPr>
                <w:color w:val="auto"/>
                <w:szCs w:val="21"/>
                <w:highlight w:val="none"/>
              </w:rPr>
            </w:pPr>
            <w:r>
              <w:rPr>
                <w:rFonts w:hint="eastAsia" w:ascii="宋体" w:hAnsi="宋体"/>
                <w:color w:val="auto"/>
                <w:kern w:val="0"/>
                <w:szCs w:val="21"/>
                <w:highlight w:val="none"/>
              </w:rPr>
              <w:t>增值税普通发票</w:t>
            </w:r>
            <w:r>
              <w:rPr>
                <w:rFonts w:hint="eastAsia" w:ascii="宋体" w:hAnsi="宋体"/>
                <w:color w:val="auto"/>
                <w:szCs w:val="21"/>
                <w:highlight w:val="none"/>
              </w:rPr>
              <w:t>（   ）</w:t>
            </w:r>
          </w:p>
        </w:tc>
      </w:tr>
      <w:tr w14:paraId="2490DE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0990F1CE">
            <w:pPr>
              <w:jc w:val="center"/>
              <w:rPr>
                <w:color w:val="auto"/>
                <w:szCs w:val="21"/>
                <w:highlight w:val="none"/>
              </w:rPr>
            </w:pPr>
            <w:r>
              <w:rPr>
                <w:rFonts w:hint="eastAsia"/>
                <w:color w:val="auto"/>
                <w:szCs w:val="21"/>
                <w:highlight w:val="none"/>
              </w:rPr>
              <w:t>4</w:t>
            </w:r>
          </w:p>
        </w:tc>
        <w:tc>
          <w:tcPr>
            <w:tcW w:w="2386" w:type="dxa"/>
            <w:vAlign w:val="center"/>
          </w:tcPr>
          <w:p w14:paraId="18992768">
            <w:pPr>
              <w:jc w:val="center"/>
              <w:rPr>
                <w:rFonts w:hint="eastAsia" w:ascii="宋体" w:hAnsi="宋体"/>
                <w:color w:val="auto"/>
                <w:szCs w:val="21"/>
                <w:highlight w:val="none"/>
              </w:rPr>
            </w:pPr>
            <w:r>
              <w:rPr>
                <w:rFonts w:hint="eastAsia" w:ascii="宋体" w:hAnsi="宋体"/>
                <w:color w:val="auto"/>
                <w:szCs w:val="21"/>
                <w:highlight w:val="none"/>
              </w:rPr>
              <w:t>本次报价增值税率是</w:t>
            </w:r>
          </w:p>
        </w:tc>
        <w:tc>
          <w:tcPr>
            <w:tcW w:w="5444" w:type="dxa"/>
            <w:gridSpan w:val="4"/>
            <w:vAlign w:val="center"/>
          </w:tcPr>
          <w:p w14:paraId="468983C4">
            <w:pPr>
              <w:jc w:val="center"/>
              <w:rPr>
                <w:color w:val="auto"/>
                <w:szCs w:val="21"/>
                <w:highlight w:val="none"/>
              </w:rPr>
            </w:pPr>
            <w:r>
              <w:rPr>
                <w:rFonts w:hint="eastAsia" w:ascii="宋体" w:hAnsi="宋体"/>
                <w:color w:val="auto"/>
                <w:szCs w:val="21"/>
                <w:highlight w:val="none"/>
                <w:u w:val="single"/>
              </w:rPr>
              <w:t xml:space="preserve">        %</w:t>
            </w:r>
          </w:p>
        </w:tc>
      </w:tr>
      <w:tr w14:paraId="6D8927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64C32E0F">
            <w:pPr>
              <w:jc w:val="center"/>
              <w:rPr>
                <w:color w:val="auto"/>
                <w:szCs w:val="21"/>
                <w:highlight w:val="none"/>
              </w:rPr>
            </w:pPr>
            <w:r>
              <w:rPr>
                <w:rFonts w:hint="eastAsia"/>
                <w:color w:val="auto"/>
                <w:szCs w:val="21"/>
                <w:highlight w:val="none"/>
              </w:rPr>
              <w:t>5</w:t>
            </w:r>
          </w:p>
        </w:tc>
        <w:tc>
          <w:tcPr>
            <w:tcW w:w="2386" w:type="dxa"/>
            <w:vAlign w:val="center"/>
          </w:tcPr>
          <w:p w14:paraId="2ECAEADD">
            <w:pPr>
              <w:jc w:val="center"/>
              <w:rPr>
                <w:rFonts w:hint="eastAsia" w:ascii="宋体" w:hAnsi="宋体"/>
                <w:color w:val="auto"/>
                <w:szCs w:val="21"/>
                <w:highlight w:val="none"/>
              </w:rPr>
            </w:pPr>
            <w:r>
              <w:rPr>
                <w:rFonts w:hint="eastAsia" w:ascii="宋体" w:hAnsi="宋体"/>
                <w:color w:val="auto"/>
                <w:szCs w:val="21"/>
                <w:highlight w:val="none"/>
              </w:rPr>
              <w:t>纳税人识别号</w:t>
            </w:r>
          </w:p>
        </w:tc>
        <w:tc>
          <w:tcPr>
            <w:tcW w:w="5444" w:type="dxa"/>
            <w:gridSpan w:val="4"/>
            <w:vAlign w:val="center"/>
          </w:tcPr>
          <w:p w14:paraId="39A0EBF7">
            <w:pPr>
              <w:jc w:val="center"/>
              <w:rPr>
                <w:color w:val="auto"/>
                <w:szCs w:val="21"/>
                <w:highlight w:val="none"/>
              </w:rPr>
            </w:pPr>
          </w:p>
        </w:tc>
      </w:tr>
      <w:tr w14:paraId="1D539F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1C662AA">
            <w:pPr>
              <w:jc w:val="center"/>
              <w:rPr>
                <w:color w:val="auto"/>
                <w:szCs w:val="21"/>
                <w:highlight w:val="none"/>
              </w:rPr>
            </w:pPr>
            <w:r>
              <w:rPr>
                <w:rFonts w:hint="eastAsia"/>
                <w:color w:val="auto"/>
                <w:szCs w:val="21"/>
                <w:highlight w:val="none"/>
              </w:rPr>
              <w:t>6</w:t>
            </w:r>
          </w:p>
        </w:tc>
        <w:tc>
          <w:tcPr>
            <w:tcW w:w="2386" w:type="dxa"/>
            <w:vAlign w:val="center"/>
          </w:tcPr>
          <w:p w14:paraId="72C3E7E6">
            <w:pPr>
              <w:jc w:val="center"/>
              <w:rPr>
                <w:rFonts w:hint="eastAsia" w:ascii="宋体" w:hAnsi="宋体"/>
                <w:color w:val="auto"/>
                <w:szCs w:val="21"/>
                <w:highlight w:val="none"/>
              </w:rPr>
            </w:pPr>
            <w:r>
              <w:rPr>
                <w:rFonts w:hint="eastAsia" w:ascii="宋体" w:hAnsi="宋体"/>
                <w:color w:val="auto"/>
                <w:szCs w:val="21"/>
                <w:highlight w:val="none"/>
              </w:rPr>
              <w:t>开户行</w:t>
            </w:r>
          </w:p>
        </w:tc>
        <w:tc>
          <w:tcPr>
            <w:tcW w:w="5444" w:type="dxa"/>
            <w:gridSpan w:val="4"/>
            <w:vAlign w:val="center"/>
          </w:tcPr>
          <w:p w14:paraId="60A46215">
            <w:pPr>
              <w:jc w:val="center"/>
              <w:rPr>
                <w:color w:val="auto"/>
                <w:szCs w:val="21"/>
                <w:highlight w:val="none"/>
              </w:rPr>
            </w:pPr>
          </w:p>
        </w:tc>
      </w:tr>
      <w:tr w14:paraId="71972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2C1957EC">
            <w:pPr>
              <w:jc w:val="center"/>
              <w:rPr>
                <w:color w:val="auto"/>
                <w:szCs w:val="21"/>
                <w:highlight w:val="none"/>
              </w:rPr>
            </w:pPr>
            <w:r>
              <w:rPr>
                <w:rFonts w:hint="eastAsia"/>
                <w:color w:val="auto"/>
                <w:szCs w:val="21"/>
                <w:highlight w:val="none"/>
              </w:rPr>
              <w:t>7</w:t>
            </w:r>
          </w:p>
        </w:tc>
        <w:tc>
          <w:tcPr>
            <w:tcW w:w="2386" w:type="dxa"/>
            <w:vAlign w:val="center"/>
          </w:tcPr>
          <w:p w14:paraId="634EBB58">
            <w:pPr>
              <w:jc w:val="center"/>
              <w:rPr>
                <w:rFonts w:hint="eastAsia" w:ascii="宋体" w:hAnsi="宋体"/>
                <w:color w:val="auto"/>
                <w:szCs w:val="21"/>
                <w:highlight w:val="none"/>
              </w:rPr>
            </w:pPr>
            <w:r>
              <w:rPr>
                <w:rFonts w:hint="eastAsia" w:ascii="宋体" w:hAnsi="宋体"/>
                <w:color w:val="auto"/>
                <w:szCs w:val="21"/>
                <w:highlight w:val="none"/>
              </w:rPr>
              <w:t>账号</w:t>
            </w:r>
          </w:p>
        </w:tc>
        <w:tc>
          <w:tcPr>
            <w:tcW w:w="5444" w:type="dxa"/>
            <w:gridSpan w:val="4"/>
            <w:vAlign w:val="center"/>
          </w:tcPr>
          <w:p w14:paraId="5E760B2A">
            <w:pPr>
              <w:jc w:val="center"/>
              <w:rPr>
                <w:color w:val="auto"/>
                <w:szCs w:val="21"/>
                <w:highlight w:val="none"/>
              </w:rPr>
            </w:pPr>
          </w:p>
        </w:tc>
      </w:tr>
      <w:tr w14:paraId="45682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FFA119D">
            <w:pPr>
              <w:jc w:val="center"/>
              <w:rPr>
                <w:color w:val="auto"/>
                <w:szCs w:val="21"/>
                <w:highlight w:val="none"/>
              </w:rPr>
            </w:pPr>
            <w:r>
              <w:rPr>
                <w:rFonts w:hint="eastAsia"/>
                <w:color w:val="auto"/>
                <w:szCs w:val="21"/>
                <w:highlight w:val="none"/>
              </w:rPr>
              <w:t>8</w:t>
            </w:r>
          </w:p>
        </w:tc>
        <w:tc>
          <w:tcPr>
            <w:tcW w:w="2386" w:type="dxa"/>
            <w:vAlign w:val="center"/>
          </w:tcPr>
          <w:p w14:paraId="47829178">
            <w:pPr>
              <w:jc w:val="center"/>
              <w:rPr>
                <w:rFonts w:hint="eastAsia" w:ascii="宋体" w:hAnsi="宋体"/>
                <w:color w:val="auto"/>
                <w:szCs w:val="21"/>
                <w:highlight w:val="none"/>
              </w:rPr>
            </w:pPr>
            <w:r>
              <w:rPr>
                <w:rFonts w:hint="eastAsia" w:ascii="宋体" w:hAnsi="宋体"/>
                <w:color w:val="auto"/>
                <w:szCs w:val="21"/>
                <w:highlight w:val="none"/>
              </w:rPr>
              <w:t>地址：</w:t>
            </w:r>
          </w:p>
        </w:tc>
        <w:tc>
          <w:tcPr>
            <w:tcW w:w="5444" w:type="dxa"/>
            <w:gridSpan w:val="4"/>
            <w:vAlign w:val="center"/>
          </w:tcPr>
          <w:p w14:paraId="771395D6">
            <w:pPr>
              <w:jc w:val="center"/>
              <w:rPr>
                <w:color w:val="auto"/>
                <w:szCs w:val="21"/>
                <w:highlight w:val="none"/>
              </w:rPr>
            </w:pPr>
          </w:p>
        </w:tc>
      </w:tr>
      <w:tr w14:paraId="07693A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35" w:type="dxa"/>
            <w:vAlign w:val="center"/>
          </w:tcPr>
          <w:p w14:paraId="48800AC8">
            <w:pPr>
              <w:jc w:val="center"/>
              <w:rPr>
                <w:color w:val="auto"/>
                <w:szCs w:val="21"/>
                <w:highlight w:val="none"/>
              </w:rPr>
            </w:pPr>
            <w:r>
              <w:rPr>
                <w:rFonts w:hint="eastAsia"/>
                <w:color w:val="auto"/>
                <w:szCs w:val="21"/>
                <w:highlight w:val="none"/>
              </w:rPr>
              <w:t>9</w:t>
            </w:r>
          </w:p>
        </w:tc>
        <w:tc>
          <w:tcPr>
            <w:tcW w:w="2386" w:type="dxa"/>
            <w:vAlign w:val="center"/>
          </w:tcPr>
          <w:p w14:paraId="732A8427">
            <w:pPr>
              <w:jc w:val="center"/>
              <w:rPr>
                <w:rFonts w:hint="eastAsia" w:ascii="宋体" w:hAnsi="宋体"/>
                <w:color w:val="auto"/>
                <w:szCs w:val="21"/>
                <w:highlight w:val="none"/>
              </w:rPr>
            </w:pPr>
            <w:r>
              <w:rPr>
                <w:rFonts w:ascii="宋体" w:hAnsi="宋体"/>
                <w:color w:val="auto"/>
                <w:szCs w:val="21"/>
                <w:highlight w:val="none"/>
              </w:rPr>
              <w:t>电话</w:t>
            </w:r>
          </w:p>
        </w:tc>
        <w:tc>
          <w:tcPr>
            <w:tcW w:w="5444" w:type="dxa"/>
            <w:gridSpan w:val="4"/>
            <w:vAlign w:val="center"/>
          </w:tcPr>
          <w:p w14:paraId="411CC2C8">
            <w:pPr>
              <w:jc w:val="center"/>
              <w:rPr>
                <w:color w:val="auto"/>
                <w:szCs w:val="21"/>
                <w:highlight w:val="none"/>
              </w:rPr>
            </w:pPr>
          </w:p>
        </w:tc>
      </w:tr>
    </w:tbl>
    <w:p w14:paraId="6B021454">
      <w:pPr>
        <w:spacing w:line="360" w:lineRule="auto"/>
        <w:ind w:firstLine="420" w:firstLineChars="200"/>
        <w:rPr>
          <w:color w:val="auto"/>
          <w:highlight w:val="none"/>
        </w:rPr>
      </w:pPr>
      <w:r>
        <w:rPr>
          <w:rFonts w:hint="eastAsia"/>
          <w:color w:val="auto"/>
          <w:highlight w:val="none"/>
        </w:rPr>
        <w:t>注：需附税务登记证相关证明材料。</w:t>
      </w:r>
    </w:p>
    <w:p w14:paraId="49D2C164">
      <w:pPr>
        <w:spacing w:line="360" w:lineRule="auto"/>
        <w:ind w:firstLine="420" w:firstLineChars="200"/>
        <w:rPr>
          <w:color w:val="auto"/>
          <w:highlight w:val="none"/>
        </w:rPr>
      </w:pPr>
    </w:p>
    <w:p w14:paraId="3552024E">
      <w:pPr>
        <w:spacing w:line="360" w:lineRule="auto"/>
        <w:rPr>
          <w:color w:val="auto"/>
          <w:szCs w:val="21"/>
          <w:highlight w:val="none"/>
        </w:rPr>
      </w:pPr>
    </w:p>
    <w:p w14:paraId="262F302C">
      <w:pPr>
        <w:spacing w:line="360" w:lineRule="auto"/>
        <w:rPr>
          <w:color w:val="auto"/>
          <w:szCs w:val="21"/>
          <w:highlight w:val="none"/>
        </w:rPr>
      </w:pPr>
    </w:p>
    <w:p w14:paraId="7B57C68C">
      <w:pPr>
        <w:spacing w:line="360" w:lineRule="auto"/>
        <w:rPr>
          <w:color w:val="auto"/>
          <w:highlight w:val="none"/>
        </w:rPr>
      </w:pPr>
      <w:r>
        <w:rPr>
          <w:color w:val="auto"/>
          <w:szCs w:val="21"/>
          <w:highlight w:val="none"/>
        </w:rPr>
        <w:t>响应单位： (盖章)   　法定代表人或授权代理人：(签字) 　 日期：  年 月 日</w:t>
      </w:r>
    </w:p>
    <w:p w14:paraId="7168DC65">
      <w:pPr>
        <w:spacing w:line="360" w:lineRule="auto"/>
        <w:rPr>
          <w:color w:val="auto"/>
          <w:highlight w:val="none"/>
        </w:rPr>
      </w:pPr>
    </w:p>
    <w:p w14:paraId="5EDC127D">
      <w:pPr>
        <w:spacing w:line="360" w:lineRule="auto"/>
        <w:rPr>
          <w:color w:val="auto"/>
          <w:highlight w:val="none"/>
        </w:rPr>
      </w:pPr>
    </w:p>
    <w:p w14:paraId="3BBE32BB">
      <w:pPr>
        <w:rPr>
          <w:rStyle w:val="46"/>
          <w:rFonts w:ascii="Times New Roman" w:hAnsi="Times New Roman" w:eastAsia="宋体"/>
          <w:b w:val="0"/>
          <w:color w:val="auto"/>
          <w:sz w:val="28"/>
          <w:szCs w:val="28"/>
          <w:highlight w:val="none"/>
        </w:rPr>
      </w:pPr>
    </w:p>
    <w:p w14:paraId="0AAD0A4D">
      <w:pPr>
        <w:rPr>
          <w:rStyle w:val="46"/>
          <w:rFonts w:ascii="Times New Roman" w:hAnsi="Times New Roman" w:eastAsia="宋体"/>
          <w:b w:val="0"/>
          <w:color w:val="auto"/>
          <w:sz w:val="28"/>
          <w:szCs w:val="28"/>
          <w:highlight w:val="none"/>
        </w:rPr>
      </w:pPr>
    </w:p>
    <w:p w14:paraId="26C5FEBA">
      <w:pPr>
        <w:rPr>
          <w:rStyle w:val="46"/>
          <w:rFonts w:ascii="Times New Roman" w:hAnsi="Times New Roman" w:eastAsia="宋体"/>
          <w:b w:val="0"/>
          <w:color w:val="auto"/>
          <w:sz w:val="28"/>
          <w:szCs w:val="28"/>
          <w:highlight w:val="none"/>
        </w:rPr>
        <w:sectPr>
          <w:pgSz w:w="11907" w:h="16840"/>
          <w:pgMar w:top="1417" w:right="1701" w:bottom="1417" w:left="1701" w:header="850" w:footer="1134" w:gutter="0"/>
          <w:pgNumType w:fmt="decimal"/>
          <w:cols w:space="0" w:num="1"/>
          <w:rtlGutter w:val="0"/>
          <w:docGrid w:linePitch="312" w:charSpace="0"/>
        </w:sectPr>
      </w:pPr>
    </w:p>
    <w:p w14:paraId="248F4C92">
      <w:pPr>
        <w:rPr>
          <w:rStyle w:val="46"/>
          <w:rFonts w:ascii="Times New Roman" w:hAnsi="Times New Roman" w:eastAsia="宋体"/>
          <w:b w:val="0"/>
          <w:color w:val="auto"/>
          <w:sz w:val="28"/>
          <w:szCs w:val="28"/>
          <w:highlight w:val="none"/>
        </w:rPr>
      </w:pPr>
    </w:p>
    <w:p w14:paraId="28794DE3">
      <w:pPr>
        <w:jc w:val="center"/>
        <w:rPr>
          <w:rFonts w:ascii="宋体"/>
          <w:b/>
          <w:color w:val="auto"/>
          <w:spacing w:val="20"/>
          <w:sz w:val="32"/>
          <w:szCs w:val="32"/>
          <w:highlight w:val="none"/>
        </w:rPr>
      </w:pPr>
      <w:r>
        <w:rPr>
          <w:rFonts w:hint="eastAsia" w:ascii="宋体" w:hAnsi="宋体"/>
          <w:b/>
          <w:color w:val="auto"/>
          <w:spacing w:val="20"/>
          <w:sz w:val="32"/>
          <w:szCs w:val="32"/>
          <w:highlight w:val="none"/>
        </w:rPr>
        <w:t>公司简介、资质证明、业绩证明等</w:t>
      </w:r>
    </w:p>
    <w:p w14:paraId="50ADD6EE">
      <w:pPr>
        <w:jc w:val="center"/>
        <w:rPr>
          <w:color w:val="auto"/>
          <w:spacing w:val="20"/>
          <w:sz w:val="28"/>
          <w:szCs w:val="28"/>
          <w:highlight w:val="none"/>
        </w:rPr>
      </w:pPr>
      <w:r>
        <w:rPr>
          <w:rFonts w:hint="eastAsia"/>
          <w:color w:val="auto"/>
          <w:spacing w:val="20"/>
          <w:sz w:val="28"/>
          <w:szCs w:val="28"/>
          <w:highlight w:val="none"/>
        </w:rPr>
        <w:t>（需每页加盖公章）</w:t>
      </w:r>
    </w:p>
    <w:p w14:paraId="2F858682">
      <w:pPr>
        <w:rPr>
          <w:rStyle w:val="46"/>
          <w:rFonts w:ascii="Times New Roman" w:hAnsi="Times New Roman" w:eastAsia="宋体"/>
          <w:b w:val="0"/>
          <w:color w:val="auto"/>
          <w:sz w:val="28"/>
          <w:szCs w:val="28"/>
          <w:highlight w:val="none"/>
        </w:rPr>
        <w:sectPr>
          <w:pgSz w:w="11907" w:h="16840"/>
          <w:pgMar w:top="1417" w:right="1701" w:bottom="1417" w:left="1701" w:header="850" w:footer="1134" w:gutter="0"/>
          <w:pgNumType w:fmt="decimal"/>
          <w:cols w:space="0" w:num="1"/>
          <w:rtlGutter w:val="0"/>
          <w:docGrid w:linePitch="312" w:charSpace="0"/>
        </w:sectPr>
      </w:pPr>
    </w:p>
    <w:p w14:paraId="08191DAB">
      <w:pPr>
        <w:pStyle w:val="3"/>
        <w:numPr>
          <w:ilvl w:val="0"/>
          <w:numId w:val="14"/>
        </w:numPr>
        <w:spacing w:before="240" w:beforeLines="100" w:after="120" w:afterLines="50" w:line="360" w:lineRule="auto"/>
        <w:jc w:val="center"/>
        <w:rPr>
          <w:rStyle w:val="46"/>
          <w:rFonts w:ascii="Times New Roman" w:hAnsi="Times New Roman" w:eastAsia="宋体"/>
          <w:b/>
          <w:bCs w:val="0"/>
          <w:color w:val="auto"/>
          <w:sz w:val="32"/>
          <w:highlight w:val="none"/>
        </w:rPr>
      </w:pPr>
      <w:r>
        <w:rPr>
          <w:rStyle w:val="46"/>
          <w:rFonts w:hint="eastAsia" w:ascii="Times New Roman" w:hAnsi="Times New Roman" w:eastAsia="宋体"/>
          <w:b/>
          <w:bCs w:val="0"/>
          <w:color w:val="auto"/>
          <w:sz w:val="32"/>
          <w:highlight w:val="none"/>
        </w:rPr>
        <w:t>技术</w:t>
      </w:r>
      <w:r>
        <w:rPr>
          <w:rStyle w:val="46"/>
          <w:rFonts w:ascii="Times New Roman" w:hAnsi="Times New Roman" w:eastAsia="宋体"/>
          <w:b/>
          <w:bCs w:val="0"/>
          <w:color w:val="auto"/>
          <w:sz w:val="32"/>
          <w:highlight w:val="none"/>
        </w:rPr>
        <w:t>部分</w:t>
      </w:r>
    </w:p>
    <w:p w14:paraId="4693CF1C">
      <w:pPr>
        <w:rPr>
          <w:color w:val="auto"/>
          <w:highlight w:val="none"/>
        </w:rPr>
      </w:pPr>
    </w:p>
    <w:p w14:paraId="2F7D4289">
      <w:pPr>
        <w:pStyle w:val="3"/>
        <w:spacing w:before="240" w:beforeLines="100" w:after="120" w:afterLines="50" w:line="360" w:lineRule="auto"/>
        <w:rPr>
          <w:rStyle w:val="46"/>
          <w:rFonts w:ascii="Times New Roman" w:hAnsi="Times New Roman" w:eastAsia="宋体"/>
          <w:b/>
          <w:bCs w:val="0"/>
          <w:color w:val="auto"/>
          <w:sz w:val="28"/>
          <w:szCs w:val="28"/>
          <w:highlight w:val="none"/>
        </w:rPr>
      </w:pPr>
      <w:r>
        <w:rPr>
          <w:rStyle w:val="46"/>
          <w:rFonts w:hint="eastAsia" w:ascii="Times New Roman" w:hAnsi="Times New Roman" w:eastAsia="宋体"/>
          <w:b/>
          <w:bCs w:val="0"/>
          <w:color w:val="auto"/>
          <w:sz w:val="28"/>
          <w:szCs w:val="28"/>
          <w:highlight w:val="none"/>
        </w:rPr>
        <w:t>技术方案</w:t>
      </w:r>
      <w:r>
        <w:rPr>
          <w:rStyle w:val="46"/>
          <w:rFonts w:ascii="Times New Roman" w:hAnsi="Times New Roman" w:eastAsia="宋体"/>
          <w:b/>
          <w:bCs w:val="0"/>
          <w:color w:val="auto"/>
          <w:sz w:val="28"/>
          <w:szCs w:val="28"/>
          <w:highlight w:val="none"/>
        </w:rPr>
        <w:t>格式</w:t>
      </w:r>
    </w:p>
    <w:p w14:paraId="736E41AE">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技术部分文件按照采购文件第二篇“响应单位须知”第三章“响应文件”15.4所列内容编制，格式可参照如下：</w:t>
      </w:r>
    </w:p>
    <w:p w14:paraId="67DAAE17">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1.工程概述：主要对拟投施工</w:t>
      </w:r>
      <w:r>
        <w:rPr>
          <w:rFonts w:hint="eastAsia" w:ascii="宋体" w:hAnsi="宋体"/>
          <w:color w:val="auto"/>
          <w:sz w:val="24"/>
          <w:highlight w:val="none"/>
        </w:rPr>
        <w:t>段落</w:t>
      </w:r>
      <w:r>
        <w:rPr>
          <w:rFonts w:ascii="宋体" w:hAnsi="宋体"/>
          <w:color w:val="auto"/>
          <w:sz w:val="24"/>
          <w:highlight w:val="none"/>
        </w:rPr>
        <w:t>的工程总体概况进行简单描述。</w:t>
      </w:r>
    </w:p>
    <w:p w14:paraId="4B558830">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施工</w:t>
      </w:r>
      <w:r>
        <w:rPr>
          <w:rFonts w:ascii="宋体" w:hAnsi="宋体"/>
          <w:color w:val="auto"/>
          <w:sz w:val="24"/>
          <w:highlight w:val="none"/>
        </w:rPr>
        <w:t>范围</w:t>
      </w:r>
      <w:r>
        <w:rPr>
          <w:rFonts w:hint="eastAsia" w:ascii="宋体" w:hAnsi="宋体"/>
          <w:color w:val="auto"/>
          <w:sz w:val="24"/>
          <w:highlight w:val="none"/>
        </w:rPr>
        <w:t>：</w:t>
      </w:r>
      <w:r>
        <w:rPr>
          <w:rFonts w:ascii="宋体" w:hAnsi="宋体"/>
          <w:color w:val="auto"/>
          <w:sz w:val="24"/>
          <w:highlight w:val="none"/>
        </w:rPr>
        <w:t>依据</w:t>
      </w:r>
      <w:r>
        <w:rPr>
          <w:rFonts w:hint="eastAsia" w:ascii="宋体" w:hAnsi="宋体"/>
          <w:color w:val="auto"/>
          <w:sz w:val="24"/>
          <w:highlight w:val="none"/>
        </w:rPr>
        <w:t>施工</w:t>
      </w:r>
      <w:r>
        <w:rPr>
          <w:rFonts w:ascii="宋体" w:hAnsi="宋体"/>
          <w:color w:val="auto"/>
          <w:sz w:val="24"/>
          <w:highlight w:val="none"/>
        </w:rPr>
        <w:t>合同中</w:t>
      </w:r>
      <w:r>
        <w:rPr>
          <w:rFonts w:hint="eastAsia" w:ascii="宋体" w:hAnsi="宋体"/>
          <w:color w:val="auto"/>
          <w:sz w:val="24"/>
          <w:highlight w:val="none"/>
        </w:rPr>
        <w:t>约</w:t>
      </w:r>
      <w:r>
        <w:rPr>
          <w:rFonts w:ascii="宋体" w:hAnsi="宋体"/>
          <w:color w:val="auto"/>
          <w:sz w:val="24"/>
          <w:highlight w:val="none"/>
        </w:rPr>
        <w:t>定的</w:t>
      </w:r>
      <w:r>
        <w:rPr>
          <w:rFonts w:hint="eastAsia" w:ascii="宋体" w:hAnsi="宋体"/>
          <w:color w:val="auto"/>
          <w:sz w:val="24"/>
          <w:highlight w:val="none"/>
        </w:rPr>
        <w:t>施工范围</w:t>
      </w:r>
      <w:r>
        <w:rPr>
          <w:rFonts w:ascii="宋体" w:hAnsi="宋体"/>
          <w:color w:val="auto"/>
          <w:sz w:val="24"/>
          <w:highlight w:val="none"/>
        </w:rPr>
        <w:t>范围，对拟投施工</w:t>
      </w:r>
      <w:r>
        <w:rPr>
          <w:rFonts w:hint="eastAsia" w:ascii="宋体" w:hAnsi="宋体"/>
          <w:color w:val="auto"/>
          <w:sz w:val="24"/>
          <w:highlight w:val="none"/>
        </w:rPr>
        <w:t>段落</w:t>
      </w:r>
      <w:r>
        <w:rPr>
          <w:rFonts w:ascii="宋体" w:hAnsi="宋体"/>
          <w:color w:val="auto"/>
          <w:sz w:val="24"/>
          <w:highlight w:val="none"/>
        </w:rPr>
        <w:t>的</w:t>
      </w:r>
      <w:r>
        <w:rPr>
          <w:rFonts w:hint="eastAsia" w:ascii="宋体" w:hAnsi="宋体"/>
          <w:color w:val="auto"/>
          <w:sz w:val="24"/>
          <w:highlight w:val="none"/>
        </w:rPr>
        <w:t>施工准备阶段、施工阶段、交工阶段工作</w:t>
      </w:r>
      <w:r>
        <w:rPr>
          <w:rFonts w:ascii="宋体" w:hAnsi="宋体"/>
          <w:color w:val="auto"/>
          <w:sz w:val="24"/>
          <w:highlight w:val="none"/>
        </w:rPr>
        <w:t>安排、主要人员的岗位职责进行必要的阐述。</w:t>
      </w:r>
    </w:p>
    <w:p w14:paraId="2B567F7E">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3.现场组织机构设置与人员安排：通过框图形式，明确拟投</w:t>
      </w:r>
      <w:r>
        <w:rPr>
          <w:rFonts w:hint="eastAsia" w:ascii="宋体" w:hAnsi="宋体"/>
          <w:color w:val="auto"/>
          <w:sz w:val="24"/>
          <w:highlight w:val="none"/>
        </w:rPr>
        <w:t>施工段落</w:t>
      </w:r>
      <w:r>
        <w:rPr>
          <w:rFonts w:ascii="宋体" w:hAnsi="宋体"/>
          <w:color w:val="auto"/>
          <w:sz w:val="24"/>
          <w:highlight w:val="none"/>
        </w:rPr>
        <w:t>的组织机构设置。</w:t>
      </w:r>
    </w:p>
    <w:p w14:paraId="3065C763">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施工</w:t>
      </w:r>
      <w:r>
        <w:rPr>
          <w:rFonts w:ascii="宋体" w:hAnsi="宋体"/>
          <w:color w:val="auto"/>
          <w:sz w:val="24"/>
          <w:highlight w:val="none"/>
        </w:rPr>
        <w:t>设备和设施的配备：</w:t>
      </w:r>
      <w:r>
        <w:rPr>
          <w:rFonts w:hint="eastAsia" w:ascii="宋体" w:hAnsi="宋体"/>
          <w:color w:val="auto"/>
          <w:sz w:val="24"/>
          <w:highlight w:val="none"/>
        </w:rPr>
        <w:t>响应单位</w:t>
      </w:r>
      <w:r>
        <w:rPr>
          <w:rFonts w:ascii="宋体" w:hAnsi="宋体"/>
          <w:color w:val="auto"/>
          <w:sz w:val="24"/>
          <w:highlight w:val="none"/>
        </w:rPr>
        <w:t>根据拟投</w:t>
      </w:r>
      <w:r>
        <w:rPr>
          <w:rFonts w:hint="eastAsia" w:ascii="宋体" w:hAnsi="宋体"/>
          <w:color w:val="auto"/>
          <w:sz w:val="24"/>
          <w:highlight w:val="none"/>
        </w:rPr>
        <w:t>施工</w:t>
      </w:r>
      <w:r>
        <w:rPr>
          <w:rFonts w:ascii="宋体" w:hAnsi="宋体"/>
          <w:color w:val="auto"/>
          <w:sz w:val="24"/>
          <w:highlight w:val="none"/>
        </w:rPr>
        <w:t>段落的现场工作需要，对其拟投入本</w:t>
      </w:r>
      <w:r>
        <w:rPr>
          <w:rFonts w:hint="eastAsia" w:ascii="宋体" w:hAnsi="宋体"/>
          <w:color w:val="auto"/>
          <w:sz w:val="24"/>
          <w:highlight w:val="none"/>
        </w:rPr>
        <w:t>工程</w:t>
      </w:r>
      <w:r>
        <w:rPr>
          <w:rFonts w:ascii="宋体" w:hAnsi="宋体"/>
          <w:color w:val="auto"/>
          <w:sz w:val="24"/>
          <w:highlight w:val="none"/>
        </w:rPr>
        <w:t>的设备和设施的配备等情况做简要介绍</w:t>
      </w:r>
      <w:r>
        <w:rPr>
          <w:rFonts w:hint="eastAsia" w:ascii="宋体" w:hAnsi="宋体"/>
          <w:color w:val="auto"/>
          <w:sz w:val="24"/>
          <w:highlight w:val="none"/>
        </w:rPr>
        <w:t>,</w:t>
      </w:r>
      <w:r>
        <w:rPr>
          <w:rFonts w:ascii="宋体" w:hAnsi="宋体"/>
          <w:color w:val="auto"/>
          <w:sz w:val="24"/>
          <w:highlight w:val="none"/>
        </w:rPr>
        <w:t>。</w:t>
      </w:r>
    </w:p>
    <w:p w14:paraId="4B9EE6CC">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5.</w:t>
      </w:r>
      <w:r>
        <w:rPr>
          <w:rFonts w:hint="eastAsia" w:ascii="宋体" w:hAnsi="宋体"/>
          <w:color w:val="auto"/>
          <w:sz w:val="24"/>
          <w:highlight w:val="none"/>
        </w:rPr>
        <w:t>施工</w:t>
      </w:r>
      <w:r>
        <w:rPr>
          <w:rFonts w:ascii="宋体" w:hAnsi="宋体"/>
          <w:color w:val="auto"/>
          <w:sz w:val="24"/>
          <w:highlight w:val="none"/>
        </w:rPr>
        <w:t>组织设计：结合</w:t>
      </w:r>
      <w:r>
        <w:rPr>
          <w:rFonts w:hint="eastAsia" w:ascii="宋体" w:hAnsi="宋体"/>
          <w:color w:val="auto"/>
          <w:sz w:val="24"/>
          <w:highlight w:val="none"/>
        </w:rPr>
        <w:t>施工</w:t>
      </w:r>
      <w:r>
        <w:rPr>
          <w:rFonts w:ascii="宋体" w:hAnsi="宋体"/>
          <w:color w:val="auto"/>
          <w:sz w:val="24"/>
          <w:highlight w:val="none"/>
        </w:rPr>
        <w:t>段落，对专项施工方案</w:t>
      </w:r>
      <w:r>
        <w:rPr>
          <w:rFonts w:hint="eastAsia" w:ascii="宋体" w:hAnsi="宋体"/>
          <w:color w:val="auto"/>
          <w:sz w:val="24"/>
          <w:highlight w:val="none"/>
        </w:rPr>
        <w:t>、施工布置、组织安排、</w:t>
      </w:r>
      <w:r>
        <w:rPr>
          <w:rFonts w:ascii="宋体" w:hAnsi="宋体"/>
          <w:color w:val="auto"/>
          <w:sz w:val="24"/>
          <w:highlight w:val="none"/>
        </w:rPr>
        <w:t>工程质量控制、进度控制、</w:t>
      </w:r>
      <w:r>
        <w:rPr>
          <w:rFonts w:hint="eastAsia" w:ascii="宋体" w:hAnsi="宋体"/>
          <w:color w:val="auto"/>
          <w:sz w:val="24"/>
          <w:highlight w:val="none"/>
        </w:rPr>
        <w:t>施工</w:t>
      </w:r>
      <w:r>
        <w:rPr>
          <w:rFonts w:ascii="宋体" w:hAnsi="宋体"/>
          <w:color w:val="auto"/>
          <w:sz w:val="24"/>
          <w:highlight w:val="none"/>
        </w:rPr>
        <w:t>安全控制、</w:t>
      </w:r>
      <w:r>
        <w:rPr>
          <w:rFonts w:hint="eastAsia" w:ascii="宋体" w:hAnsi="宋体"/>
          <w:color w:val="auto"/>
          <w:sz w:val="24"/>
          <w:highlight w:val="none"/>
        </w:rPr>
        <w:t>施工环境保护、费用</w:t>
      </w:r>
      <w:r>
        <w:rPr>
          <w:rFonts w:ascii="宋体" w:hAnsi="宋体"/>
          <w:color w:val="auto"/>
          <w:sz w:val="24"/>
          <w:highlight w:val="none"/>
        </w:rPr>
        <w:t>控制、</w:t>
      </w:r>
      <w:r>
        <w:rPr>
          <w:rFonts w:hint="eastAsia" w:ascii="宋体" w:hAnsi="宋体"/>
          <w:color w:val="auto"/>
          <w:sz w:val="24"/>
          <w:highlight w:val="none"/>
        </w:rPr>
        <w:t>合同及其他事项</w:t>
      </w:r>
      <w:r>
        <w:rPr>
          <w:rFonts w:ascii="宋体" w:hAnsi="宋体"/>
          <w:color w:val="auto"/>
          <w:sz w:val="24"/>
          <w:highlight w:val="none"/>
        </w:rPr>
        <w:t>管理</w:t>
      </w:r>
      <w:r>
        <w:rPr>
          <w:rFonts w:hint="eastAsia" w:ascii="宋体" w:hAnsi="宋体"/>
          <w:color w:val="auto"/>
          <w:sz w:val="24"/>
          <w:highlight w:val="none"/>
        </w:rPr>
        <w:t>、文件资料管理</w:t>
      </w:r>
      <w:r>
        <w:rPr>
          <w:rFonts w:ascii="宋体" w:hAnsi="宋体"/>
          <w:color w:val="auto"/>
          <w:sz w:val="24"/>
          <w:highlight w:val="none"/>
        </w:rPr>
        <w:t>等方面进行</w:t>
      </w:r>
      <w:r>
        <w:rPr>
          <w:rFonts w:hint="eastAsia" w:ascii="宋体" w:hAnsi="宋体"/>
          <w:color w:val="auto"/>
          <w:sz w:val="24"/>
          <w:highlight w:val="none"/>
        </w:rPr>
        <w:t>简要</w:t>
      </w:r>
      <w:r>
        <w:rPr>
          <w:rFonts w:ascii="宋体" w:hAnsi="宋体"/>
          <w:color w:val="auto"/>
          <w:sz w:val="24"/>
          <w:highlight w:val="none"/>
        </w:rPr>
        <w:t>阐述。</w:t>
      </w:r>
    </w:p>
    <w:p w14:paraId="2A09050A">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6</w:t>
      </w:r>
      <w:r>
        <w:rPr>
          <w:rFonts w:ascii="宋体" w:hAnsi="宋体"/>
          <w:color w:val="auto"/>
          <w:sz w:val="24"/>
          <w:highlight w:val="none"/>
        </w:rPr>
        <w:t>.本工程</w:t>
      </w:r>
      <w:r>
        <w:rPr>
          <w:rFonts w:hint="eastAsia" w:ascii="宋体" w:hAnsi="宋体"/>
          <w:color w:val="auto"/>
          <w:sz w:val="24"/>
          <w:highlight w:val="none"/>
        </w:rPr>
        <w:t>施工</w:t>
      </w:r>
      <w:r>
        <w:rPr>
          <w:rFonts w:ascii="宋体" w:hAnsi="宋体"/>
          <w:color w:val="auto"/>
          <w:sz w:val="24"/>
          <w:highlight w:val="none"/>
        </w:rPr>
        <w:t>的重点与难点分析：根据采购文件及现场考察，对本</w:t>
      </w:r>
      <w:r>
        <w:rPr>
          <w:rFonts w:hint="eastAsia" w:ascii="宋体" w:hAnsi="宋体"/>
          <w:color w:val="auto"/>
          <w:sz w:val="24"/>
          <w:highlight w:val="none"/>
        </w:rPr>
        <w:t>工程施工</w:t>
      </w:r>
      <w:r>
        <w:rPr>
          <w:rFonts w:ascii="宋体" w:hAnsi="宋体"/>
          <w:color w:val="auto"/>
          <w:sz w:val="24"/>
          <w:highlight w:val="none"/>
        </w:rPr>
        <w:t>需要特别给予重视的问题逐一论述并给出解决方法。</w:t>
      </w:r>
    </w:p>
    <w:p w14:paraId="37131DCF">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7</w:t>
      </w:r>
      <w:r>
        <w:rPr>
          <w:rFonts w:ascii="宋体" w:hAnsi="宋体"/>
          <w:color w:val="auto"/>
          <w:sz w:val="24"/>
          <w:highlight w:val="none"/>
        </w:rPr>
        <w:t>.</w:t>
      </w:r>
      <w:r>
        <w:rPr>
          <w:rFonts w:hint="eastAsia" w:ascii="宋体" w:hAnsi="宋体"/>
          <w:color w:val="auto"/>
          <w:sz w:val="24"/>
          <w:highlight w:val="none"/>
        </w:rPr>
        <w:t>对本工程</w:t>
      </w:r>
      <w:r>
        <w:rPr>
          <w:rFonts w:ascii="宋体" w:hAnsi="宋体"/>
          <w:color w:val="auto"/>
          <w:sz w:val="24"/>
          <w:highlight w:val="none"/>
        </w:rPr>
        <w:t>建议：为更好地完成本</w:t>
      </w:r>
      <w:r>
        <w:rPr>
          <w:rFonts w:hint="eastAsia" w:ascii="宋体" w:hAnsi="宋体"/>
          <w:color w:val="auto"/>
          <w:sz w:val="24"/>
          <w:highlight w:val="none"/>
        </w:rPr>
        <w:t>工程</w:t>
      </w:r>
      <w:r>
        <w:rPr>
          <w:rFonts w:ascii="宋体" w:hAnsi="宋体"/>
          <w:color w:val="auto"/>
          <w:sz w:val="24"/>
          <w:highlight w:val="none"/>
        </w:rPr>
        <w:t>的</w:t>
      </w:r>
      <w:r>
        <w:rPr>
          <w:rFonts w:hint="eastAsia" w:ascii="宋体" w:hAnsi="宋体"/>
          <w:color w:val="auto"/>
          <w:sz w:val="24"/>
          <w:highlight w:val="none"/>
        </w:rPr>
        <w:t>施工</w:t>
      </w:r>
      <w:r>
        <w:rPr>
          <w:rFonts w:ascii="宋体" w:hAnsi="宋体"/>
          <w:color w:val="auto"/>
          <w:sz w:val="24"/>
          <w:highlight w:val="none"/>
        </w:rPr>
        <w:t>，</w:t>
      </w:r>
      <w:r>
        <w:rPr>
          <w:rFonts w:hint="eastAsia" w:ascii="宋体" w:hAnsi="宋体"/>
          <w:color w:val="auto"/>
          <w:sz w:val="24"/>
          <w:highlight w:val="none"/>
        </w:rPr>
        <w:t>响应单位</w:t>
      </w:r>
      <w:r>
        <w:rPr>
          <w:rFonts w:ascii="宋体" w:hAnsi="宋体"/>
          <w:color w:val="auto"/>
          <w:sz w:val="24"/>
          <w:highlight w:val="none"/>
        </w:rPr>
        <w:t>可根据以往的经验，对本</w:t>
      </w:r>
      <w:r>
        <w:rPr>
          <w:rFonts w:hint="eastAsia" w:ascii="宋体" w:hAnsi="宋体"/>
          <w:color w:val="auto"/>
          <w:sz w:val="24"/>
          <w:highlight w:val="none"/>
        </w:rPr>
        <w:t>工程施工</w:t>
      </w:r>
      <w:r>
        <w:rPr>
          <w:rFonts w:ascii="宋体" w:hAnsi="宋体"/>
          <w:color w:val="auto"/>
          <w:sz w:val="24"/>
          <w:highlight w:val="none"/>
        </w:rPr>
        <w:t>工作提出建议。</w:t>
      </w:r>
    </w:p>
    <w:p w14:paraId="736B6B7B">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8.其他响应单位认为需要说明的事项。</w:t>
      </w:r>
    </w:p>
    <w:p w14:paraId="7B07535A">
      <w:pPr>
        <w:spacing w:line="360" w:lineRule="auto"/>
        <w:rPr>
          <w:color w:val="auto"/>
          <w:highlight w:val="none"/>
        </w:rPr>
      </w:pPr>
    </w:p>
    <w:p w14:paraId="6315A5B2">
      <w:pPr>
        <w:spacing w:line="360" w:lineRule="auto"/>
        <w:rPr>
          <w:color w:val="auto"/>
          <w:highlight w:val="none"/>
        </w:rPr>
      </w:pPr>
    </w:p>
    <w:p w14:paraId="32573A71">
      <w:pPr>
        <w:jc w:val="center"/>
        <w:rPr>
          <w:rFonts w:hint="eastAsia" w:ascii="宋体" w:hAnsi="宋体"/>
          <w:b/>
          <w:color w:val="auto"/>
          <w:spacing w:val="20"/>
          <w:sz w:val="32"/>
          <w:szCs w:val="32"/>
          <w:highlight w:val="none"/>
        </w:rPr>
        <w:sectPr>
          <w:pgSz w:w="11907" w:h="16840"/>
          <w:pgMar w:top="1417" w:right="1701" w:bottom="1417" w:left="1701" w:header="850" w:footer="1134" w:gutter="0"/>
          <w:pgNumType w:fmt="decimal"/>
          <w:cols w:space="0" w:num="1"/>
          <w:rtlGutter w:val="0"/>
          <w:docGrid w:linePitch="312" w:charSpace="0"/>
        </w:sectPr>
      </w:pPr>
    </w:p>
    <w:p w14:paraId="3909D7B5">
      <w:pPr>
        <w:jc w:val="center"/>
        <w:rPr>
          <w:rFonts w:ascii="宋体"/>
          <w:b/>
          <w:color w:val="auto"/>
          <w:spacing w:val="20"/>
          <w:sz w:val="32"/>
          <w:szCs w:val="32"/>
          <w:highlight w:val="none"/>
        </w:rPr>
      </w:pPr>
      <w:r>
        <w:rPr>
          <w:rFonts w:hint="eastAsia" w:ascii="宋体" w:hAnsi="宋体"/>
          <w:b/>
          <w:color w:val="auto"/>
          <w:spacing w:val="20"/>
          <w:sz w:val="32"/>
          <w:szCs w:val="32"/>
          <w:highlight w:val="none"/>
        </w:rPr>
        <w:t>承诺或其它优惠条件</w:t>
      </w:r>
    </w:p>
    <w:p w14:paraId="49A50DD9">
      <w:pPr>
        <w:jc w:val="center"/>
        <w:rPr>
          <w:color w:val="auto"/>
          <w:spacing w:val="20"/>
          <w:sz w:val="28"/>
          <w:szCs w:val="28"/>
          <w:highlight w:val="none"/>
        </w:rPr>
      </w:pPr>
      <w:r>
        <w:rPr>
          <w:rFonts w:hint="eastAsia"/>
          <w:color w:val="auto"/>
          <w:spacing w:val="20"/>
          <w:sz w:val="28"/>
          <w:szCs w:val="28"/>
          <w:highlight w:val="none"/>
        </w:rPr>
        <w:t>（需每页加盖公章）</w:t>
      </w:r>
    </w:p>
    <w:p w14:paraId="5C112887">
      <w:pPr>
        <w:spacing w:line="360" w:lineRule="auto"/>
        <w:rPr>
          <w:color w:val="auto"/>
          <w:highlight w:val="none"/>
        </w:rPr>
      </w:pPr>
    </w:p>
    <w:p w14:paraId="194CB610">
      <w:pPr>
        <w:spacing w:line="360" w:lineRule="auto"/>
        <w:rPr>
          <w:color w:val="auto"/>
          <w:highlight w:val="none"/>
        </w:rPr>
      </w:pPr>
    </w:p>
    <w:p w14:paraId="2EF13052">
      <w:pPr>
        <w:pStyle w:val="3"/>
        <w:spacing w:before="240" w:beforeLines="100" w:after="120" w:afterLines="50" w:line="360" w:lineRule="auto"/>
        <w:rPr>
          <w:rStyle w:val="46"/>
          <w:rFonts w:hint="eastAsia" w:ascii="Times New Roman" w:hAnsi="宋体" w:eastAsia="宋体"/>
          <w:b/>
          <w:bCs w:val="0"/>
          <w:color w:val="auto"/>
          <w:sz w:val="28"/>
          <w:szCs w:val="28"/>
          <w:highlight w:val="none"/>
        </w:rPr>
      </w:pPr>
      <w:bookmarkStart w:id="1881" w:name="_Toc284135598"/>
      <w:bookmarkStart w:id="1882" w:name="_Toc145499771"/>
      <w:r>
        <w:rPr>
          <w:rStyle w:val="46"/>
          <w:rFonts w:hint="eastAsia" w:ascii="Times New Roman" w:hAnsi="宋体" w:eastAsia="宋体"/>
          <w:b/>
          <w:bCs w:val="0"/>
          <w:color w:val="auto"/>
          <w:sz w:val="28"/>
          <w:szCs w:val="28"/>
          <w:highlight w:val="none"/>
        </w:rPr>
        <w:t>如提供的资金、技术等方面的支持、保障等其他承诺</w:t>
      </w:r>
    </w:p>
    <w:p w14:paraId="75D78F94">
      <w:pPr>
        <w:rPr>
          <w:color w:val="auto"/>
          <w:highlight w:val="none"/>
        </w:rPr>
      </w:pPr>
    </w:p>
    <w:p w14:paraId="49349066">
      <w:pPr>
        <w:rPr>
          <w:color w:val="auto"/>
          <w:highlight w:val="none"/>
        </w:rPr>
        <w:sectPr>
          <w:pgSz w:w="11907" w:h="16840"/>
          <w:pgMar w:top="1417" w:right="1701" w:bottom="1417" w:left="1701" w:header="850" w:footer="1134" w:gutter="0"/>
          <w:pgNumType w:fmt="decimal"/>
          <w:cols w:space="0" w:num="1"/>
          <w:rtlGutter w:val="0"/>
          <w:docGrid w:linePitch="312" w:charSpace="0"/>
        </w:sectPr>
      </w:pPr>
    </w:p>
    <w:bookmarkEnd w:id="1881"/>
    <w:bookmarkEnd w:id="1882"/>
    <w:p w14:paraId="47B334A5">
      <w:pPr>
        <w:pStyle w:val="3"/>
        <w:spacing w:before="240" w:beforeLines="100" w:after="120" w:afterLines="50" w:line="360" w:lineRule="auto"/>
        <w:rPr>
          <w:rFonts w:hint="eastAsia" w:ascii="Times New Roman" w:hAnsi="宋体" w:eastAsia="宋体"/>
          <w:bCs w:val="0"/>
          <w:color w:val="auto"/>
          <w:sz w:val="28"/>
          <w:szCs w:val="28"/>
          <w:highlight w:val="none"/>
        </w:rPr>
      </w:pPr>
      <w:r>
        <w:rPr>
          <w:rStyle w:val="46"/>
          <w:rFonts w:ascii="Times New Roman" w:hAnsi="宋体" w:eastAsia="宋体"/>
          <w:b/>
          <w:bCs w:val="0"/>
          <w:color w:val="auto"/>
          <w:sz w:val="28"/>
          <w:szCs w:val="28"/>
          <w:highlight w:val="none"/>
        </w:rPr>
        <w:t>附件</w:t>
      </w:r>
      <w:r>
        <w:rPr>
          <w:rStyle w:val="46"/>
          <w:rFonts w:hint="eastAsia" w:ascii="Times New Roman" w:hAnsi="宋体" w:eastAsia="宋体"/>
          <w:b/>
          <w:bCs w:val="0"/>
          <w:color w:val="auto"/>
          <w:sz w:val="28"/>
          <w:szCs w:val="28"/>
          <w:highlight w:val="none"/>
        </w:rPr>
        <w:t>一:评审办法</w:t>
      </w:r>
    </w:p>
    <w:p w14:paraId="7B698274">
      <w:pPr>
        <w:spacing w:line="360" w:lineRule="auto"/>
        <w:jc w:val="center"/>
        <w:rPr>
          <w:b/>
          <w:color w:val="auto"/>
          <w:sz w:val="30"/>
          <w:szCs w:val="30"/>
          <w:highlight w:val="none"/>
        </w:rPr>
      </w:pPr>
      <w:r>
        <w:rPr>
          <w:rFonts w:hint="eastAsia" w:hAnsi="宋体"/>
          <w:color w:val="auto"/>
          <w:sz w:val="30"/>
          <w:szCs w:val="30"/>
          <w:highlight w:val="none"/>
          <w:u w:val="single"/>
        </w:rPr>
        <w:t>海兴高速</w:t>
      </w:r>
      <w:r>
        <w:rPr>
          <w:rFonts w:hint="eastAsia" w:hAnsi="宋体"/>
          <w:color w:val="auto"/>
          <w:sz w:val="30"/>
          <w:szCs w:val="30"/>
          <w:highlight w:val="none"/>
          <w:u w:val="single"/>
          <w:lang w:val="en-US" w:eastAsia="zh-CN"/>
        </w:rPr>
        <w:t>项目</w:t>
      </w:r>
      <w:r>
        <w:rPr>
          <w:rFonts w:hint="eastAsia" w:hAnsi="宋体"/>
          <w:color w:val="auto"/>
          <w:sz w:val="30"/>
          <w:szCs w:val="30"/>
          <w:highlight w:val="none"/>
          <w:u w:val="single"/>
          <w:lang w:eastAsia="zh-CN"/>
        </w:rPr>
        <w:t>钢板桩施工</w:t>
      </w:r>
      <w:r>
        <w:rPr>
          <w:rFonts w:hint="eastAsia" w:hAnsi="宋体"/>
          <w:color w:val="auto"/>
          <w:sz w:val="30"/>
          <w:szCs w:val="30"/>
          <w:highlight w:val="none"/>
          <w:u w:val="single"/>
        </w:rPr>
        <w:t>施工</w:t>
      </w:r>
      <w:r>
        <w:rPr>
          <w:rFonts w:hint="eastAsia" w:hAnsi="宋体"/>
          <w:b/>
          <w:color w:val="auto"/>
          <w:sz w:val="30"/>
          <w:szCs w:val="30"/>
          <w:highlight w:val="none"/>
        </w:rPr>
        <w:t>分包工程</w:t>
      </w:r>
      <w:r>
        <w:rPr>
          <w:rFonts w:hAnsi="宋体"/>
          <w:b/>
          <w:color w:val="auto"/>
          <w:sz w:val="30"/>
          <w:szCs w:val="30"/>
          <w:highlight w:val="none"/>
        </w:rPr>
        <w:t>采购</w:t>
      </w:r>
      <w:r>
        <w:rPr>
          <w:rFonts w:hint="eastAsia" w:hAnsi="宋体"/>
          <w:b/>
          <w:color w:val="auto"/>
          <w:sz w:val="30"/>
          <w:szCs w:val="30"/>
          <w:highlight w:val="none"/>
        </w:rPr>
        <w:t>评审方法</w:t>
      </w:r>
    </w:p>
    <w:p w14:paraId="2BEF9F5A">
      <w:pPr>
        <w:pStyle w:val="53"/>
        <w:spacing w:before="240" w:beforeLines="100" w:line="360" w:lineRule="auto"/>
        <w:jc w:val="both"/>
        <w:rPr>
          <w:rStyle w:val="46"/>
          <w:rFonts w:hint="eastAsia" w:ascii="Times New Roman" w:eastAsia="宋体" w:cs="Times New Roman"/>
          <w:b w:val="0"/>
          <w:bCs w:val="0"/>
          <w:color w:val="auto"/>
          <w:szCs w:val="24"/>
          <w:highlight w:val="none"/>
        </w:rPr>
      </w:pPr>
      <w:r>
        <w:rPr>
          <w:rStyle w:val="46"/>
          <w:rFonts w:ascii="Times New Roman" w:eastAsia="宋体" w:cs="Times New Roman"/>
          <w:b w:val="0"/>
          <w:bCs w:val="0"/>
          <w:color w:val="auto"/>
          <w:szCs w:val="24"/>
          <w:highlight w:val="none"/>
        </w:rPr>
        <w:t>1.</w:t>
      </w:r>
      <w:r>
        <w:rPr>
          <w:rStyle w:val="46"/>
          <w:rFonts w:ascii="Times New Roman" w:eastAsia="宋体" w:cs="Times New Roman"/>
          <w:b/>
          <w:bCs w:val="0"/>
          <w:color w:val="auto"/>
          <w:szCs w:val="24"/>
          <w:highlight w:val="none"/>
        </w:rPr>
        <w:t>总  则</w:t>
      </w:r>
    </w:p>
    <w:p w14:paraId="19D9034C">
      <w:pPr>
        <w:spacing w:line="360" w:lineRule="auto"/>
        <w:rPr>
          <w:b/>
          <w:color w:val="auto"/>
          <w:sz w:val="24"/>
          <w:highlight w:val="none"/>
        </w:rPr>
      </w:pPr>
      <w:r>
        <w:rPr>
          <w:b/>
          <w:color w:val="auto"/>
          <w:sz w:val="24"/>
          <w:highlight w:val="none"/>
        </w:rPr>
        <w:t>1.</w:t>
      </w:r>
      <w:r>
        <w:rPr>
          <w:rFonts w:hint="eastAsia"/>
          <w:b/>
          <w:color w:val="auto"/>
          <w:sz w:val="24"/>
          <w:highlight w:val="none"/>
        </w:rPr>
        <w:t>1定义</w:t>
      </w:r>
    </w:p>
    <w:p w14:paraId="396D157E">
      <w:pPr>
        <w:spacing w:line="360" w:lineRule="auto"/>
        <w:ind w:left="1018" w:leftChars="199" w:hanging="600" w:hangingChars="250"/>
        <w:rPr>
          <w:rFonts w:hint="eastAsia" w:hAnsi="宋体"/>
          <w:color w:val="auto"/>
          <w:sz w:val="24"/>
          <w:highlight w:val="none"/>
        </w:rPr>
      </w:pPr>
      <w:r>
        <w:rPr>
          <w:rFonts w:hAnsi="宋体"/>
          <w:color w:val="auto"/>
          <w:sz w:val="24"/>
          <w:highlight w:val="none"/>
        </w:rPr>
        <w:t>1.</w:t>
      </w:r>
      <w:r>
        <w:rPr>
          <w:rFonts w:hint="eastAsia" w:hAnsi="宋体"/>
          <w:color w:val="auto"/>
          <w:sz w:val="24"/>
          <w:highlight w:val="none"/>
        </w:rPr>
        <w:t>1</w:t>
      </w:r>
      <w:r>
        <w:rPr>
          <w:rFonts w:hAnsi="宋体"/>
          <w:color w:val="auto"/>
          <w:sz w:val="24"/>
          <w:highlight w:val="none"/>
        </w:rPr>
        <w:t>.1</w:t>
      </w:r>
      <w:r>
        <w:rPr>
          <w:rFonts w:hint="eastAsia" w:hAnsi="宋体"/>
          <w:color w:val="auto"/>
          <w:sz w:val="24"/>
          <w:highlight w:val="none"/>
        </w:rPr>
        <w:t>综合评分法：将响应单位报送的响应文件中的企业资质资料、技术方案、经济报价等，按照不同的权重进行评分，汇总得出综合分值的办法。</w:t>
      </w:r>
    </w:p>
    <w:p w14:paraId="5AE3B202">
      <w:pPr>
        <w:spacing w:line="360" w:lineRule="auto"/>
        <w:rPr>
          <w:b/>
          <w:color w:val="auto"/>
          <w:sz w:val="24"/>
          <w:highlight w:val="none"/>
        </w:rPr>
      </w:pPr>
      <w:r>
        <w:rPr>
          <w:b/>
          <w:color w:val="auto"/>
          <w:sz w:val="24"/>
          <w:highlight w:val="none"/>
        </w:rPr>
        <w:t>1.</w:t>
      </w:r>
      <w:r>
        <w:rPr>
          <w:rFonts w:hint="eastAsia"/>
          <w:b/>
          <w:color w:val="auto"/>
          <w:sz w:val="24"/>
          <w:highlight w:val="none"/>
        </w:rPr>
        <w:t>2</w:t>
      </w:r>
      <w:r>
        <w:rPr>
          <w:b/>
          <w:color w:val="auto"/>
          <w:sz w:val="24"/>
          <w:highlight w:val="none"/>
        </w:rPr>
        <w:t>适用范围</w:t>
      </w:r>
    </w:p>
    <w:p w14:paraId="5CCC9724">
      <w:pPr>
        <w:spacing w:line="360" w:lineRule="auto"/>
        <w:ind w:left="1018" w:leftChars="199" w:hanging="600" w:hangingChars="250"/>
        <w:rPr>
          <w:rFonts w:hint="eastAsia" w:hAnsi="宋体"/>
          <w:color w:val="auto"/>
          <w:sz w:val="24"/>
          <w:highlight w:val="none"/>
        </w:rPr>
      </w:pPr>
      <w:r>
        <w:rPr>
          <w:rFonts w:hAnsi="宋体"/>
          <w:color w:val="auto"/>
          <w:sz w:val="24"/>
          <w:highlight w:val="none"/>
        </w:rPr>
        <w:t>1.2.1本评审方法仅适用于</w:t>
      </w:r>
      <w:r>
        <w:rPr>
          <w:rFonts w:hint="eastAsia" w:hAnsi="宋体"/>
          <w:color w:val="auto"/>
          <w:sz w:val="24"/>
          <w:highlight w:val="none"/>
          <w:u w:val="single"/>
        </w:rPr>
        <w:t>中建路桥集团</w:t>
      </w:r>
      <w:r>
        <w:rPr>
          <w:rFonts w:hint="eastAsia" w:hAnsi="宋体"/>
          <w:color w:val="auto"/>
          <w:sz w:val="24"/>
          <w:highlight w:val="none"/>
          <w:u w:val="single"/>
          <w:lang w:val="en-US" w:eastAsia="zh-CN"/>
        </w:rPr>
        <w:t>第二工程</w:t>
      </w:r>
      <w:r>
        <w:rPr>
          <w:rFonts w:hint="eastAsia" w:hAnsi="宋体"/>
          <w:color w:val="auto"/>
          <w:sz w:val="24"/>
          <w:highlight w:val="none"/>
          <w:u w:val="single"/>
        </w:rPr>
        <w:t>有限公司海兴高速项目</w:t>
      </w:r>
      <w:r>
        <w:rPr>
          <w:rFonts w:hint="eastAsia" w:hAnsi="宋体"/>
          <w:color w:val="auto"/>
          <w:sz w:val="24"/>
          <w:highlight w:val="none"/>
          <w:u w:val="single"/>
          <w:lang w:eastAsia="zh-CN"/>
        </w:rPr>
        <w:t>钢板桩施工</w:t>
      </w:r>
      <w:r>
        <w:rPr>
          <w:rFonts w:hint="eastAsia" w:hAnsi="宋体"/>
          <w:color w:val="auto"/>
          <w:sz w:val="24"/>
          <w:highlight w:val="none"/>
          <w:u w:val="single"/>
        </w:rPr>
        <w:t>施工分包工程</w:t>
      </w:r>
      <w:r>
        <w:rPr>
          <w:rFonts w:hAnsi="宋体"/>
          <w:color w:val="auto"/>
          <w:sz w:val="24"/>
          <w:highlight w:val="none"/>
        </w:rPr>
        <w:t>的采购评</w:t>
      </w:r>
      <w:r>
        <w:rPr>
          <w:rFonts w:hint="eastAsia" w:hAnsi="宋体"/>
          <w:color w:val="auto"/>
          <w:sz w:val="24"/>
          <w:highlight w:val="none"/>
        </w:rPr>
        <w:t>审</w:t>
      </w:r>
      <w:r>
        <w:rPr>
          <w:rFonts w:hAnsi="宋体"/>
          <w:color w:val="auto"/>
          <w:sz w:val="24"/>
          <w:highlight w:val="none"/>
        </w:rPr>
        <w:t>活动。</w:t>
      </w:r>
    </w:p>
    <w:p w14:paraId="056CD2FA">
      <w:pPr>
        <w:spacing w:line="360" w:lineRule="auto"/>
        <w:rPr>
          <w:b/>
          <w:color w:val="auto"/>
          <w:sz w:val="24"/>
          <w:highlight w:val="none"/>
        </w:rPr>
      </w:pPr>
      <w:r>
        <w:rPr>
          <w:b/>
          <w:color w:val="auto"/>
          <w:sz w:val="24"/>
          <w:highlight w:val="none"/>
        </w:rPr>
        <w:t>1.</w:t>
      </w:r>
      <w:r>
        <w:rPr>
          <w:rFonts w:hint="eastAsia"/>
          <w:b/>
          <w:color w:val="auto"/>
          <w:sz w:val="24"/>
          <w:highlight w:val="none"/>
        </w:rPr>
        <w:t>3</w:t>
      </w:r>
      <w:r>
        <w:rPr>
          <w:b/>
          <w:color w:val="auto"/>
          <w:sz w:val="24"/>
          <w:highlight w:val="none"/>
        </w:rPr>
        <w:t>与采购文件的关系</w:t>
      </w:r>
    </w:p>
    <w:p w14:paraId="5559A0DD">
      <w:pPr>
        <w:spacing w:line="360" w:lineRule="auto"/>
        <w:ind w:left="1132" w:leftChars="200" w:hanging="712" w:hangingChars="297"/>
        <w:rPr>
          <w:color w:val="auto"/>
          <w:sz w:val="24"/>
          <w:highlight w:val="none"/>
        </w:rPr>
      </w:pPr>
      <w:r>
        <w:rPr>
          <w:color w:val="auto"/>
          <w:sz w:val="24"/>
          <w:highlight w:val="none"/>
        </w:rPr>
        <w:t>1.</w:t>
      </w:r>
      <w:r>
        <w:rPr>
          <w:rFonts w:hint="eastAsia"/>
          <w:color w:val="auto"/>
          <w:sz w:val="24"/>
          <w:highlight w:val="none"/>
        </w:rPr>
        <w:t>3</w:t>
      </w:r>
      <w:r>
        <w:rPr>
          <w:color w:val="auto"/>
          <w:sz w:val="24"/>
          <w:highlight w:val="none"/>
        </w:rPr>
        <w:t>.1本评审方法是本工程采购文件的组成部分之一。</w:t>
      </w:r>
    </w:p>
    <w:p w14:paraId="3E97A02C">
      <w:pPr>
        <w:spacing w:line="360" w:lineRule="auto"/>
        <w:rPr>
          <w:b/>
          <w:color w:val="auto"/>
          <w:sz w:val="24"/>
          <w:highlight w:val="none"/>
        </w:rPr>
      </w:pPr>
      <w:r>
        <w:rPr>
          <w:b/>
          <w:color w:val="auto"/>
          <w:sz w:val="24"/>
          <w:highlight w:val="none"/>
        </w:rPr>
        <w:t>1.</w:t>
      </w:r>
      <w:r>
        <w:rPr>
          <w:rFonts w:hint="eastAsia"/>
          <w:b/>
          <w:color w:val="auto"/>
          <w:sz w:val="24"/>
          <w:highlight w:val="none"/>
        </w:rPr>
        <w:t>4</w:t>
      </w:r>
      <w:r>
        <w:rPr>
          <w:b/>
          <w:color w:val="auto"/>
          <w:sz w:val="24"/>
          <w:highlight w:val="none"/>
        </w:rPr>
        <w:t>评审原则</w:t>
      </w:r>
    </w:p>
    <w:p w14:paraId="4850EAF9">
      <w:pPr>
        <w:spacing w:line="360" w:lineRule="auto"/>
        <w:ind w:left="1132" w:leftChars="200" w:hanging="712" w:hangingChars="297"/>
        <w:rPr>
          <w:color w:val="auto"/>
          <w:sz w:val="24"/>
          <w:highlight w:val="none"/>
        </w:rPr>
      </w:pPr>
      <w:r>
        <w:rPr>
          <w:color w:val="auto"/>
          <w:sz w:val="24"/>
          <w:highlight w:val="none"/>
        </w:rPr>
        <w:t>1.</w:t>
      </w:r>
      <w:r>
        <w:rPr>
          <w:rFonts w:hint="eastAsia"/>
          <w:color w:val="auto"/>
          <w:sz w:val="24"/>
          <w:highlight w:val="none"/>
        </w:rPr>
        <w:t>4</w:t>
      </w:r>
      <w:r>
        <w:rPr>
          <w:color w:val="auto"/>
          <w:sz w:val="24"/>
          <w:highlight w:val="none"/>
        </w:rPr>
        <w:t>.1评审工作必须遵循公平、公正、科学、择优的原则。</w:t>
      </w:r>
    </w:p>
    <w:p w14:paraId="13981F26">
      <w:pPr>
        <w:spacing w:line="360" w:lineRule="auto"/>
        <w:ind w:left="1132" w:leftChars="200" w:hanging="712" w:hangingChars="297"/>
        <w:rPr>
          <w:color w:val="auto"/>
          <w:sz w:val="24"/>
          <w:highlight w:val="none"/>
        </w:rPr>
      </w:pPr>
      <w:r>
        <w:rPr>
          <w:color w:val="auto"/>
          <w:sz w:val="24"/>
          <w:highlight w:val="none"/>
        </w:rPr>
        <w:t>1.</w:t>
      </w:r>
      <w:r>
        <w:rPr>
          <w:rFonts w:hint="eastAsia"/>
          <w:color w:val="auto"/>
          <w:sz w:val="24"/>
          <w:highlight w:val="none"/>
        </w:rPr>
        <w:t>4</w:t>
      </w:r>
      <w:r>
        <w:rPr>
          <w:color w:val="auto"/>
          <w:sz w:val="24"/>
          <w:highlight w:val="none"/>
        </w:rPr>
        <w:t>.2依法评审、严格保密。</w:t>
      </w:r>
    </w:p>
    <w:p w14:paraId="06718C07">
      <w:pPr>
        <w:spacing w:line="360" w:lineRule="auto"/>
        <w:ind w:left="1132" w:leftChars="200" w:hanging="712" w:hangingChars="297"/>
        <w:rPr>
          <w:color w:val="auto"/>
          <w:sz w:val="24"/>
          <w:highlight w:val="none"/>
        </w:rPr>
      </w:pPr>
      <w:r>
        <w:rPr>
          <w:color w:val="auto"/>
          <w:sz w:val="24"/>
          <w:highlight w:val="none"/>
        </w:rPr>
        <w:t>1.</w:t>
      </w:r>
      <w:r>
        <w:rPr>
          <w:rFonts w:hint="eastAsia"/>
          <w:color w:val="auto"/>
          <w:sz w:val="24"/>
          <w:highlight w:val="none"/>
        </w:rPr>
        <w:t>4</w:t>
      </w:r>
      <w:r>
        <w:rPr>
          <w:color w:val="auto"/>
          <w:sz w:val="24"/>
          <w:highlight w:val="none"/>
        </w:rPr>
        <w:t>.3反对不正当的竞争。</w:t>
      </w:r>
    </w:p>
    <w:p w14:paraId="507723F7">
      <w:pPr>
        <w:spacing w:line="360" w:lineRule="auto"/>
        <w:ind w:left="1132" w:leftChars="200" w:hanging="712" w:hangingChars="297"/>
        <w:rPr>
          <w:color w:val="auto"/>
          <w:sz w:val="24"/>
          <w:highlight w:val="none"/>
        </w:rPr>
      </w:pPr>
      <w:r>
        <w:rPr>
          <w:color w:val="auto"/>
          <w:sz w:val="24"/>
          <w:highlight w:val="none"/>
        </w:rPr>
        <w:t>1.</w:t>
      </w:r>
      <w:r>
        <w:rPr>
          <w:rFonts w:hint="eastAsia"/>
          <w:color w:val="auto"/>
          <w:sz w:val="24"/>
          <w:highlight w:val="none"/>
        </w:rPr>
        <w:t>4</w:t>
      </w:r>
      <w:r>
        <w:rPr>
          <w:color w:val="auto"/>
          <w:sz w:val="24"/>
          <w:highlight w:val="none"/>
        </w:rPr>
        <w:t>.4定性的结论由</w:t>
      </w:r>
      <w:r>
        <w:rPr>
          <w:rFonts w:hint="eastAsia"/>
          <w:color w:val="auto"/>
          <w:sz w:val="24"/>
          <w:highlight w:val="none"/>
        </w:rPr>
        <w:t>采购小组</w:t>
      </w:r>
      <w:r>
        <w:rPr>
          <w:color w:val="auto"/>
          <w:sz w:val="24"/>
          <w:highlight w:val="none"/>
        </w:rPr>
        <w:t>成员按照少数服从多数的原则决定。</w:t>
      </w:r>
    </w:p>
    <w:p w14:paraId="4F2F841B">
      <w:pPr>
        <w:pStyle w:val="53"/>
        <w:spacing w:before="0" w:beforeLines="0" w:line="360" w:lineRule="auto"/>
        <w:jc w:val="both"/>
        <w:rPr>
          <w:rFonts w:ascii="Times New Roman" w:eastAsia="宋体" w:cs="Times New Roman"/>
          <w:bCs w:val="0"/>
          <w:color w:val="auto"/>
          <w:szCs w:val="24"/>
          <w:highlight w:val="none"/>
        </w:rPr>
      </w:pPr>
      <w:r>
        <w:rPr>
          <w:rStyle w:val="46"/>
          <w:rFonts w:hint="eastAsia" w:ascii="Times New Roman" w:eastAsia="宋体" w:cs="Times New Roman"/>
          <w:b/>
          <w:bCs w:val="0"/>
          <w:color w:val="auto"/>
          <w:szCs w:val="24"/>
          <w:highlight w:val="none"/>
        </w:rPr>
        <w:t>2</w:t>
      </w:r>
      <w:r>
        <w:rPr>
          <w:rStyle w:val="46"/>
          <w:rFonts w:ascii="Times New Roman" w:eastAsia="宋体" w:cs="Times New Roman"/>
          <w:b/>
          <w:bCs w:val="0"/>
          <w:color w:val="auto"/>
          <w:szCs w:val="24"/>
          <w:highlight w:val="none"/>
        </w:rPr>
        <w:t>.评审内容及方法</w:t>
      </w:r>
    </w:p>
    <w:p w14:paraId="5475D6BC">
      <w:pPr>
        <w:spacing w:line="360" w:lineRule="auto"/>
        <w:ind w:left="592" w:leftChars="1" w:hanging="590" w:hangingChars="245"/>
        <w:rPr>
          <w:b/>
          <w:color w:val="auto"/>
          <w:sz w:val="24"/>
          <w:highlight w:val="none"/>
        </w:rPr>
      </w:pPr>
      <w:r>
        <w:rPr>
          <w:rFonts w:hint="eastAsia"/>
          <w:b/>
          <w:color w:val="auto"/>
          <w:sz w:val="24"/>
          <w:highlight w:val="none"/>
        </w:rPr>
        <w:t>2</w:t>
      </w:r>
      <w:r>
        <w:rPr>
          <w:b/>
          <w:color w:val="auto"/>
          <w:sz w:val="24"/>
          <w:highlight w:val="none"/>
        </w:rPr>
        <w:t>.</w:t>
      </w:r>
      <w:r>
        <w:rPr>
          <w:rFonts w:hint="eastAsia"/>
          <w:b/>
          <w:color w:val="auto"/>
          <w:sz w:val="24"/>
          <w:highlight w:val="none"/>
        </w:rPr>
        <w:t>1</w:t>
      </w:r>
      <w:r>
        <w:rPr>
          <w:b/>
          <w:color w:val="auto"/>
          <w:sz w:val="24"/>
          <w:highlight w:val="none"/>
        </w:rPr>
        <w:t>.</w:t>
      </w:r>
      <w:r>
        <w:rPr>
          <w:rFonts w:hint="eastAsia"/>
          <w:b/>
          <w:color w:val="auto"/>
          <w:sz w:val="24"/>
          <w:highlight w:val="none"/>
        </w:rPr>
        <w:t>商务评审</w:t>
      </w:r>
    </w:p>
    <w:p w14:paraId="55DF8EFC">
      <w:pPr>
        <w:spacing w:line="360" w:lineRule="auto"/>
        <w:ind w:left="1132" w:leftChars="200" w:hanging="712" w:hangingChars="297"/>
        <w:rPr>
          <w:color w:val="auto"/>
          <w:sz w:val="24"/>
          <w:highlight w:val="none"/>
        </w:rPr>
      </w:pPr>
      <w:r>
        <w:rPr>
          <w:rFonts w:hint="eastAsia"/>
          <w:color w:val="auto"/>
          <w:sz w:val="24"/>
          <w:highlight w:val="none"/>
        </w:rPr>
        <w:t>2.1.1企业资质是否符合采购分包工程要求，上报资料是否齐全、真实、有效。</w:t>
      </w:r>
    </w:p>
    <w:p w14:paraId="7C1EF523">
      <w:pPr>
        <w:spacing w:line="360" w:lineRule="auto"/>
        <w:ind w:left="1132" w:leftChars="200" w:hanging="712" w:hangingChars="297"/>
        <w:rPr>
          <w:color w:val="auto"/>
          <w:sz w:val="24"/>
          <w:highlight w:val="none"/>
        </w:rPr>
      </w:pPr>
      <w:r>
        <w:rPr>
          <w:rFonts w:hint="eastAsia"/>
          <w:color w:val="auto"/>
          <w:sz w:val="24"/>
          <w:highlight w:val="none"/>
        </w:rPr>
        <w:t>2.1.2上报拟定管理人员资料是否齐全、真实、有效。</w:t>
      </w:r>
    </w:p>
    <w:p w14:paraId="0104F77C">
      <w:pPr>
        <w:spacing w:line="360" w:lineRule="auto"/>
        <w:ind w:left="1132" w:leftChars="200" w:hanging="712" w:hangingChars="297"/>
        <w:rPr>
          <w:color w:val="auto"/>
          <w:sz w:val="24"/>
          <w:highlight w:val="none"/>
        </w:rPr>
      </w:pPr>
      <w:r>
        <w:rPr>
          <w:rFonts w:hint="eastAsia"/>
          <w:color w:val="auto"/>
          <w:sz w:val="24"/>
          <w:highlight w:val="none"/>
        </w:rPr>
        <w:t>2.1.3所报企业施工业绩是否真实等。</w:t>
      </w:r>
    </w:p>
    <w:p w14:paraId="25D7D2A7">
      <w:pPr>
        <w:spacing w:line="360" w:lineRule="auto"/>
        <w:ind w:left="1132" w:leftChars="200" w:hanging="712" w:hangingChars="297"/>
        <w:rPr>
          <w:color w:val="auto"/>
          <w:sz w:val="24"/>
          <w:highlight w:val="none"/>
        </w:rPr>
      </w:pPr>
      <w:r>
        <w:rPr>
          <w:rFonts w:hint="eastAsia"/>
          <w:color w:val="auto"/>
          <w:sz w:val="24"/>
          <w:highlight w:val="none"/>
        </w:rPr>
        <w:t>2.1.4</w:t>
      </w:r>
      <w:r>
        <w:rPr>
          <w:color w:val="auto"/>
          <w:sz w:val="24"/>
          <w:highlight w:val="none"/>
        </w:rPr>
        <w:t>详细评分指标见附表</w:t>
      </w:r>
      <w:r>
        <w:rPr>
          <w:rFonts w:hint="eastAsia"/>
          <w:color w:val="auto"/>
          <w:sz w:val="24"/>
          <w:highlight w:val="none"/>
        </w:rPr>
        <w:t>1</w:t>
      </w:r>
      <w:r>
        <w:rPr>
          <w:color w:val="auto"/>
          <w:sz w:val="24"/>
          <w:highlight w:val="none"/>
        </w:rPr>
        <w:t>《</w:t>
      </w:r>
      <w:r>
        <w:rPr>
          <w:rFonts w:hint="eastAsia"/>
          <w:color w:val="auto"/>
          <w:sz w:val="24"/>
          <w:highlight w:val="none"/>
        </w:rPr>
        <w:t>商务资料</w:t>
      </w:r>
      <w:r>
        <w:rPr>
          <w:color w:val="auto"/>
          <w:sz w:val="24"/>
          <w:highlight w:val="none"/>
        </w:rPr>
        <w:t>评分表》。</w:t>
      </w:r>
    </w:p>
    <w:p w14:paraId="268626B6">
      <w:pPr>
        <w:spacing w:line="360" w:lineRule="auto"/>
        <w:rPr>
          <w:b/>
          <w:color w:val="auto"/>
          <w:sz w:val="24"/>
          <w:highlight w:val="none"/>
        </w:rPr>
      </w:pPr>
      <w:r>
        <w:rPr>
          <w:rFonts w:hint="eastAsia"/>
          <w:b/>
          <w:color w:val="auto"/>
          <w:sz w:val="24"/>
          <w:highlight w:val="none"/>
        </w:rPr>
        <w:t>2.2</w:t>
      </w:r>
      <w:r>
        <w:rPr>
          <w:b/>
          <w:color w:val="auto"/>
          <w:sz w:val="24"/>
          <w:highlight w:val="none"/>
        </w:rPr>
        <w:t>技术评审</w:t>
      </w:r>
    </w:p>
    <w:p w14:paraId="75994D50">
      <w:pPr>
        <w:spacing w:line="360" w:lineRule="auto"/>
        <w:ind w:left="1018" w:leftChars="199" w:hanging="600" w:hangingChars="250"/>
        <w:rPr>
          <w:color w:val="auto"/>
          <w:sz w:val="24"/>
          <w:highlight w:val="none"/>
        </w:rPr>
      </w:pPr>
      <w:r>
        <w:rPr>
          <w:color w:val="auto"/>
          <w:sz w:val="24"/>
          <w:highlight w:val="none"/>
        </w:rPr>
        <w:t>2.2.1评审施工方案是否全面且针对性强，难点、重点把握准确，措施可靠、实用</w:t>
      </w:r>
      <w:r>
        <w:rPr>
          <w:rFonts w:hint="eastAsia"/>
          <w:color w:val="auto"/>
          <w:sz w:val="24"/>
          <w:highlight w:val="none"/>
        </w:rPr>
        <w:t>；尤其对重点难点问题的实施方案是否经济、合理、可行</w:t>
      </w:r>
      <w:r>
        <w:rPr>
          <w:color w:val="auto"/>
          <w:sz w:val="24"/>
          <w:highlight w:val="none"/>
        </w:rPr>
        <w:t>。</w:t>
      </w:r>
    </w:p>
    <w:p w14:paraId="2B239780">
      <w:pPr>
        <w:spacing w:line="360" w:lineRule="auto"/>
        <w:ind w:left="1018" w:leftChars="199" w:hanging="600" w:hangingChars="250"/>
        <w:rPr>
          <w:color w:val="auto"/>
          <w:sz w:val="24"/>
          <w:highlight w:val="none"/>
        </w:rPr>
      </w:pPr>
      <w:r>
        <w:rPr>
          <w:color w:val="auto"/>
          <w:sz w:val="24"/>
          <w:highlight w:val="none"/>
        </w:rPr>
        <w:t>2.2.</w:t>
      </w:r>
      <w:r>
        <w:rPr>
          <w:rFonts w:hint="eastAsia"/>
          <w:color w:val="auto"/>
          <w:sz w:val="24"/>
          <w:highlight w:val="none"/>
        </w:rPr>
        <w:t>2</w:t>
      </w:r>
      <w:r>
        <w:rPr>
          <w:color w:val="auto"/>
          <w:sz w:val="24"/>
          <w:highlight w:val="none"/>
        </w:rPr>
        <w:t>评审施工进度计划及保证措施是否满足合同工期，保证措施、补救措施齐备合理。</w:t>
      </w:r>
    </w:p>
    <w:p w14:paraId="0E131CB3">
      <w:pPr>
        <w:spacing w:line="360" w:lineRule="auto"/>
        <w:ind w:left="1018" w:leftChars="199" w:hanging="600" w:hangingChars="250"/>
        <w:rPr>
          <w:color w:val="auto"/>
          <w:sz w:val="24"/>
          <w:highlight w:val="none"/>
        </w:rPr>
      </w:pPr>
      <w:r>
        <w:rPr>
          <w:color w:val="auto"/>
          <w:sz w:val="24"/>
          <w:highlight w:val="none"/>
        </w:rPr>
        <w:t>2.2.</w:t>
      </w:r>
      <w:r>
        <w:rPr>
          <w:rFonts w:hint="eastAsia"/>
          <w:color w:val="auto"/>
          <w:sz w:val="24"/>
          <w:highlight w:val="none"/>
        </w:rPr>
        <w:t>3</w:t>
      </w:r>
      <w:r>
        <w:rPr>
          <w:color w:val="auto"/>
          <w:sz w:val="24"/>
          <w:highlight w:val="none"/>
        </w:rPr>
        <w:t>评审工程质量保证措施、过程控制措施、质量事故处理应急预案是否完整、可</w:t>
      </w:r>
      <w:r>
        <w:rPr>
          <w:rFonts w:hint="eastAsia"/>
          <w:color w:val="auto"/>
          <w:sz w:val="24"/>
          <w:highlight w:val="none"/>
        </w:rPr>
        <w:t>行</w:t>
      </w:r>
      <w:r>
        <w:rPr>
          <w:color w:val="auto"/>
          <w:sz w:val="24"/>
          <w:highlight w:val="none"/>
        </w:rPr>
        <w:t>、有效；质量目标是否明确并符合项目实际和</w:t>
      </w:r>
      <w:r>
        <w:rPr>
          <w:rFonts w:hint="eastAsia"/>
          <w:color w:val="auto"/>
          <w:sz w:val="24"/>
          <w:highlight w:val="none"/>
        </w:rPr>
        <w:t>采购人</w:t>
      </w:r>
      <w:r>
        <w:rPr>
          <w:color w:val="auto"/>
          <w:sz w:val="24"/>
          <w:highlight w:val="none"/>
        </w:rPr>
        <w:t>要求，能否保证工程按合同要求的质量标准组织实施</w:t>
      </w:r>
      <w:r>
        <w:rPr>
          <w:rFonts w:hint="eastAsia"/>
          <w:color w:val="auto"/>
          <w:sz w:val="24"/>
          <w:highlight w:val="none"/>
        </w:rPr>
        <w:t>。</w:t>
      </w:r>
    </w:p>
    <w:p w14:paraId="1BAF735D">
      <w:pPr>
        <w:spacing w:line="360" w:lineRule="auto"/>
        <w:ind w:left="1018" w:leftChars="199" w:hanging="600" w:hangingChars="250"/>
        <w:rPr>
          <w:color w:val="auto"/>
          <w:sz w:val="24"/>
          <w:highlight w:val="none"/>
        </w:rPr>
      </w:pPr>
      <w:r>
        <w:rPr>
          <w:color w:val="auto"/>
          <w:sz w:val="24"/>
          <w:highlight w:val="none"/>
        </w:rPr>
        <w:t>2.2.</w:t>
      </w:r>
      <w:r>
        <w:rPr>
          <w:rFonts w:hint="eastAsia"/>
          <w:color w:val="auto"/>
          <w:sz w:val="24"/>
          <w:highlight w:val="none"/>
        </w:rPr>
        <w:t>4</w:t>
      </w:r>
      <w:r>
        <w:rPr>
          <w:color w:val="auto"/>
          <w:sz w:val="24"/>
          <w:highlight w:val="none"/>
        </w:rPr>
        <w:t>评审投入的机械设备是否齐全、符合要求，配置是否合理，能否满足本工程合同中质量目标、工期目标的要求。</w:t>
      </w:r>
    </w:p>
    <w:p w14:paraId="3D08690E">
      <w:pPr>
        <w:spacing w:line="360" w:lineRule="auto"/>
        <w:ind w:left="1018" w:leftChars="199" w:hanging="600" w:hangingChars="250"/>
        <w:rPr>
          <w:color w:val="auto"/>
          <w:sz w:val="24"/>
          <w:highlight w:val="none"/>
        </w:rPr>
      </w:pPr>
      <w:r>
        <w:rPr>
          <w:color w:val="auto"/>
          <w:sz w:val="24"/>
          <w:highlight w:val="none"/>
        </w:rPr>
        <w:t>2.2.</w:t>
      </w:r>
      <w:r>
        <w:rPr>
          <w:rFonts w:hint="eastAsia"/>
          <w:color w:val="auto"/>
          <w:sz w:val="24"/>
          <w:highlight w:val="none"/>
        </w:rPr>
        <w:t>5</w:t>
      </w:r>
      <w:r>
        <w:rPr>
          <w:color w:val="auto"/>
          <w:sz w:val="24"/>
          <w:highlight w:val="none"/>
        </w:rPr>
        <w:t>评审投入的劳动力资源充裕、用工计划完整，材料使用计划合理，能够满足采购要求。</w:t>
      </w:r>
    </w:p>
    <w:p w14:paraId="494A32E2">
      <w:pPr>
        <w:spacing w:line="360" w:lineRule="auto"/>
        <w:ind w:left="1018" w:leftChars="199" w:hanging="600" w:hangingChars="250"/>
        <w:rPr>
          <w:color w:val="auto"/>
          <w:sz w:val="24"/>
          <w:highlight w:val="none"/>
        </w:rPr>
      </w:pPr>
      <w:r>
        <w:rPr>
          <w:color w:val="auto"/>
          <w:sz w:val="24"/>
          <w:highlight w:val="none"/>
        </w:rPr>
        <w:t>2.2.</w:t>
      </w:r>
      <w:r>
        <w:rPr>
          <w:rFonts w:hint="eastAsia"/>
          <w:color w:val="auto"/>
          <w:sz w:val="24"/>
          <w:highlight w:val="none"/>
        </w:rPr>
        <w:t>6</w:t>
      </w:r>
      <w:r>
        <w:rPr>
          <w:color w:val="auto"/>
          <w:sz w:val="24"/>
          <w:highlight w:val="none"/>
        </w:rPr>
        <w:t>评审现场组织机构是否合理，是否齐全高效，职责是否明确合理</w:t>
      </w:r>
      <w:r>
        <w:rPr>
          <w:rFonts w:hint="eastAsia"/>
          <w:color w:val="auto"/>
          <w:sz w:val="24"/>
          <w:highlight w:val="none"/>
        </w:rPr>
        <w:t>等</w:t>
      </w:r>
      <w:r>
        <w:rPr>
          <w:color w:val="auto"/>
          <w:sz w:val="24"/>
          <w:highlight w:val="none"/>
        </w:rPr>
        <w:t>。</w:t>
      </w:r>
    </w:p>
    <w:p w14:paraId="40E44A33">
      <w:pPr>
        <w:spacing w:line="360" w:lineRule="auto"/>
        <w:ind w:left="1018" w:leftChars="199" w:hanging="600" w:hangingChars="250"/>
        <w:rPr>
          <w:color w:val="auto"/>
          <w:sz w:val="24"/>
          <w:highlight w:val="none"/>
        </w:rPr>
      </w:pPr>
      <w:r>
        <w:rPr>
          <w:rFonts w:hint="eastAsia"/>
          <w:color w:val="auto"/>
          <w:sz w:val="24"/>
          <w:highlight w:val="none"/>
        </w:rPr>
        <w:t>2.2.7</w:t>
      </w:r>
      <w:r>
        <w:rPr>
          <w:rFonts w:hAnsi="宋体"/>
          <w:color w:val="auto"/>
          <w:sz w:val="24"/>
          <w:highlight w:val="none"/>
        </w:rPr>
        <w:t>详细评分指标见附表</w:t>
      </w:r>
      <w:r>
        <w:rPr>
          <w:rFonts w:hint="eastAsia" w:hAnsi="宋体"/>
          <w:color w:val="auto"/>
          <w:sz w:val="24"/>
          <w:highlight w:val="none"/>
        </w:rPr>
        <w:t>2</w:t>
      </w:r>
      <w:r>
        <w:rPr>
          <w:rFonts w:hAnsi="宋体"/>
          <w:color w:val="auto"/>
          <w:sz w:val="24"/>
          <w:highlight w:val="none"/>
        </w:rPr>
        <w:t>《</w:t>
      </w:r>
      <w:r>
        <w:rPr>
          <w:rFonts w:hint="eastAsia" w:hAnsi="宋体"/>
          <w:color w:val="auto"/>
          <w:sz w:val="24"/>
          <w:highlight w:val="none"/>
        </w:rPr>
        <w:t>施工技术方案</w:t>
      </w:r>
      <w:r>
        <w:rPr>
          <w:rFonts w:hAnsi="宋体"/>
          <w:color w:val="auto"/>
          <w:sz w:val="24"/>
          <w:highlight w:val="none"/>
        </w:rPr>
        <w:t>评分表》。</w:t>
      </w:r>
    </w:p>
    <w:p w14:paraId="1FC9D8E7">
      <w:pPr>
        <w:spacing w:line="360" w:lineRule="auto"/>
        <w:ind w:left="582" w:leftChars="33" w:hanging="513" w:hangingChars="213"/>
        <w:rPr>
          <w:b/>
          <w:color w:val="auto"/>
          <w:sz w:val="24"/>
          <w:highlight w:val="none"/>
        </w:rPr>
      </w:pPr>
      <w:r>
        <w:rPr>
          <w:rFonts w:hint="eastAsia"/>
          <w:b/>
          <w:color w:val="auto"/>
          <w:sz w:val="24"/>
          <w:highlight w:val="none"/>
        </w:rPr>
        <w:t>2</w:t>
      </w:r>
      <w:r>
        <w:rPr>
          <w:b/>
          <w:color w:val="auto"/>
          <w:sz w:val="24"/>
          <w:highlight w:val="none"/>
        </w:rPr>
        <w:t>.3.经济评审</w:t>
      </w:r>
    </w:p>
    <w:p w14:paraId="79366D57">
      <w:pPr>
        <w:spacing w:line="360" w:lineRule="auto"/>
        <w:ind w:left="1119" w:leftChars="247" w:hanging="600" w:hangingChars="250"/>
        <w:rPr>
          <w:color w:val="auto"/>
          <w:sz w:val="24"/>
          <w:highlight w:val="none"/>
        </w:rPr>
      </w:pPr>
      <w:r>
        <w:rPr>
          <w:color w:val="auto"/>
          <w:sz w:val="24"/>
          <w:highlight w:val="none"/>
        </w:rPr>
        <w:t>2.3.1</w:t>
      </w:r>
      <w:r>
        <w:rPr>
          <w:rFonts w:hint="eastAsia"/>
          <w:color w:val="auto"/>
          <w:sz w:val="24"/>
          <w:highlight w:val="none"/>
        </w:rPr>
        <w:t>采购人</w:t>
      </w:r>
      <w:r>
        <w:rPr>
          <w:color w:val="auto"/>
          <w:sz w:val="24"/>
          <w:highlight w:val="none"/>
        </w:rPr>
        <w:t>评审</w:t>
      </w:r>
      <w:r>
        <w:rPr>
          <w:rFonts w:hint="eastAsia"/>
          <w:color w:val="auto"/>
          <w:sz w:val="24"/>
          <w:highlight w:val="none"/>
        </w:rPr>
        <w:t>小组按照上述</w:t>
      </w:r>
      <w:r>
        <w:rPr>
          <w:color w:val="auto"/>
          <w:sz w:val="24"/>
          <w:highlight w:val="none"/>
        </w:rPr>
        <w:t>要求对响应单位商务及技术文件进行评审</w:t>
      </w:r>
      <w:r>
        <w:rPr>
          <w:rFonts w:hint="eastAsia"/>
          <w:color w:val="auto"/>
          <w:sz w:val="24"/>
          <w:highlight w:val="none"/>
        </w:rPr>
        <w:t>，响应单位商务部分及技术部分打分均超过60分（百分制）、且报价最低的</w:t>
      </w:r>
      <w:r>
        <w:rPr>
          <w:rFonts w:hint="eastAsia"/>
          <w:color w:val="auto"/>
          <w:sz w:val="24"/>
          <w:highlight w:val="none"/>
          <w:lang w:val="en-US" w:eastAsia="zh-CN"/>
        </w:rPr>
        <w:t>4</w:t>
      </w:r>
      <w:r>
        <w:rPr>
          <w:rFonts w:hint="eastAsia"/>
          <w:color w:val="auto"/>
          <w:sz w:val="24"/>
          <w:highlight w:val="none"/>
        </w:rPr>
        <w:t>家响应单位，采购人将与之进行二次议价（满足的响应单位超过</w:t>
      </w:r>
      <w:r>
        <w:rPr>
          <w:rFonts w:hint="eastAsia"/>
          <w:color w:val="auto"/>
          <w:sz w:val="24"/>
          <w:highlight w:val="none"/>
          <w:lang w:val="en-US" w:eastAsia="zh-CN"/>
        </w:rPr>
        <w:t>4</w:t>
      </w:r>
      <w:r>
        <w:rPr>
          <w:rFonts w:hint="eastAsia"/>
          <w:color w:val="auto"/>
          <w:sz w:val="24"/>
          <w:highlight w:val="none"/>
        </w:rPr>
        <w:t>家，则改为对</w:t>
      </w:r>
      <w:r>
        <w:rPr>
          <w:rFonts w:hint="eastAsia"/>
          <w:color w:val="auto"/>
          <w:sz w:val="24"/>
          <w:highlight w:val="none"/>
          <w:lang w:val="en-US" w:eastAsia="zh-CN"/>
        </w:rPr>
        <w:t>4</w:t>
      </w:r>
      <w:r>
        <w:rPr>
          <w:rFonts w:hint="eastAsia"/>
          <w:color w:val="auto"/>
          <w:sz w:val="24"/>
          <w:highlight w:val="none"/>
        </w:rPr>
        <w:t>家单价进行二次议价）。</w:t>
      </w:r>
    </w:p>
    <w:p w14:paraId="26599E26">
      <w:pPr>
        <w:spacing w:line="360" w:lineRule="auto"/>
        <w:ind w:left="1119" w:leftChars="247" w:hanging="600" w:hangingChars="250"/>
        <w:rPr>
          <w:color w:val="auto"/>
          <w:sz w:val="24"/>
          <w:highlight w:val="none"/>
        </w:rPr>
      </w:pPr>
      <w:r>
        <w:rPr>
          <w:rFonts w:hint="eastAsia"/>
          <w:color w:val="auto"/>
          <w:sz w:val="24"/>
          <w:highlight w:val="none"/>
        </w:rPr>
        <w:t>2.3.2各响应单位确认最终报价后，将按照以下步骤进行经济部分打分：</w:t>
      </w:r>
    </w:p>
    <w:p w14:paraId="03832962">
      <w:pPr>
        <w:spacing w:line="360" w:lineRule="auto"/>
        <w:ind w:left="1059" w:leftChars="447" w:hanging="120" w:hangingChars="50"/>
        <w:rPr>
          <w:color w:val="auto"/>
          <w:sz w:val="24"/>
          <w:highlight w:val="none"/>
        </w:rPr>
      </w:pPr>
      <w:r>
        <w:rPr>
          <w:rFonts w:hint="eastAsia"/>
          <w:b/>
          <w:color w:val="auto"/>
          <w:sz w:val="24"/>
          <w:highlight w:val="none"/>
        </w:rPr>
        <w:t>（1）确定评审基准价。</w:t>
      </w:r>
      <w:r>
        <w:rPr>
          <w:rFonts w:hint="eastAsia" w:hAnsi="宋体"/>
          <w:color w:val="auto"/>
          <w:sz w:val="24"/>
          <w:highlight w:val="none"/>
        </w:rPr>
        <w:t>最低报价作为评审基准价。</w:t>
      </w:r>
    </w:p>
    <w:p w14:paraId="47FA1A37">
      <w:pPr>
        <w:spacing w:line="360" w:lineRule="auto"/>
        <w:ind w:left="1059" w:leftChars="447" w:hanging="120" w:hangingChars="50"/>
        <w:rPr>
          <w:color w:val="auto"/>
          <w:sz w:val="24"/>
          <w:highlight w:val="none"/>
        </w:rPr>
      </w:pPr>
      <w:r>
        <w:rPr>
          <w:rFonts w:hint="eastAsia"/>
          <w:b/>
          <w:color w:val="auto"/>
          <w:sz w:val="24"/>
          <w:highlight w:val="none"/>
        </w:rPr>
        <w:t>（2）</w:t>
      </w:r>
      <w:r>
        <w:rPr>
          <w:rFonts w:hint="eastAsia" w:hAnsi="宋体"/>
          <w:b/>
          <w:color w:val="auto"/>
          <w:sz w:val="24"/>
          <w:highlight w:val="none"/>
        </w:rPr>
        <w:t>根据</w:t>
      </w:r>
      <w:r>
        <w:rPr>
          <w:rFonts w:hAnsi="宋体"/>
          <w:b/>
          <w:color w:val="auto"/>
          <w:sz w:val="24"/>
          <w:highlight w:val="none"/>
        </w:rPr>
        <w:t>各</w:t>
      </w:r>
      <w:r>
        <w:rPr>
          <w:rFonts w:hint="eastAsia" w:hAnsi="宋体"/>
          <w:b/>
          <w:color w:val="auto"/>
          <w:sz w:val="24"/>
          <w:highlight w:val="none"/>
        </w:rPr>
        <w:t>响应单位最终确认报价与基准价</w:t>
      </w:r>
      <w:r>
        <w:rPr>
          <w:rFonts w:hAnsi="宋体"/>
          <w:b/>
          <w:color w:val="auto"/>
          <w:sz w:val="24"/>
          <w:highlight w:val="none"/>
        </w:rPr>
        <w:t>的差异值</w:t>
      </w:r>
      <w:r>
        <w:rPr>
          <w:rFonts w:hint="eastAsia" w:hAnsi="宋体"/>
          <w:b/>
          <w:color w:val="auto"/>
          <w:sz w:val="24"/>
          <w:highlight w:val="none"/>
        </w:rPr>
        <w:t>进行评分。</w:t>
      </w:r>
      <w:r>
        <w:rPr>
          <w:rFonts w:hint="eastAsia" w:hAnsi="宋体"/>
          <w:color w:val="auto"/>
          <w:sz w:val="24"/>
          <w:highlight w:val="none"/>
        </w:rPr>
        <w:t>响应单位的最终确认报价等</w:t>
      </w:r>
      <w:r>
        <w:rPr>
          <w:rFonts w:hAnsi="宋体"/>
          <w:color w:val="auto"/>
          <w:sz w:val="24"/>
          <w:highlight w:val="none"/>
        </w:rPr>
        <w:t>于基准价的为最优</w:t>
      </w:r>
      <w:r>
        <w:rPr>
          <w:rFonts w:hint="eastAsia" w:hAnsi="宋体"/>
          <w:color w:val="auto"/>
          <w:sz w:val="24"/>
          <w:highlight w:val="none"/>
        </w:rPr>
        <w:t>报价</w:t>
      </w:r>
      <w:r>
        <w:rPr>
          <w:rFonts w:hAnsi="宋体"/>
          <w:color w:val="auto"/>
          <w:sz w:val="24"/>
          <w:highlight w:val="none"/>
        </w:rPr>
        <w:t>，报价得满分。</w:t>
      </w:r>
      <w:r>
        <w:rPr>
          <w:rFonts w:hint="eastAsia" w:hAnsi="宋体"/>
          <w:color w:val="auto"/>
          <w:sz w:val="24"/>
          <w:highlight w:val="none"/>
        </w:rPr>
        <w:t>每高于基准价最优值区间</w:t>
      </w:r>
      <w:r>
        <w:rPr>
          <w:color w:val="auto"/>
          <w:sz w:val="24"/>
          <w:highlight w:val="none"/>
        </w:rPr>
        <w:t>1%</w:t>
      </w:r>
      <w:r>
        <w:rPr>
          <w:rFonts w:hint="eastAsia"/>
          <w:color w:val="auto"/>
          <w:sz w:val="24"/>
          <w:highlight w:val="none"/>
        </w:rPr>
        <w:t>扣5分，以此类推等比扣减，扣完为止。</w:t>
      </w:r>
    </w:p>
    <w:p w14:paraId="725FC8C0">
      <w:pPr>
        <w:spacing w:line="360" w:lineRule="auto"/>
        <w:ind w:left="1119" w:leftChars="247" w:hanging="600" w:hangingChars="250"/>
        <w:rPr>
          <w:rFonts w:hint="eastAsia" w:hAnsi="宋体"/>
          <w:color w:val="auto"/>
          <w:sz w:val="24"/>
          <w:highlight w:val="none"/>
        </w:rPr>
      </w:pPr>
      <w:r>
        <w:rPr>
          <w:color w:val="auto"/>
          <w:sz w:val="24"/>
          <w:highlight w:val="none"/>
        </w:rPr>
        <w:t>2.3.3</w:t>
      </w:r>
      <w:r>
        <w:rPr>
          <w:rFonts w:hAnsi="宋体"/>
          <w:color w:val="auto"/>
          <w:sz w:val="24"/>
          <w:highlight w:val="none"/>
        </w:rPr>
        <w:t>详细评分指标见附表</w:t>
      </w:r>
      <w:r>
        <w:rPr>
          <w:rFonts w:hint="eastAsia" w:hAnsi="宋体"/>
          <w:color w:val="auto"/>
          <w:sz w:val="24"/>
          <w:highlight w:val="none"/>
        </w:rPr>
        <w:t>3</w:t>
      </w:r>
      <w:r>
        <w:rPr>
          <w:rFonts w:hAnsi="宋体"/>
          <w:color w:val="auto"/>
          <w:sz w:val="24"/>
          <w:highlight w:val="none"/>
        </w:rPr>
        <w:t>《经济</w:t>
      </w:r>
      <w:r>
        <w:rPr>
          <w:rFonts w:hint="eastAsia" w:hAnsi="宋体"/>
          <w:color w:val="auto"/>
          <w:sz w:val="24"/>
          <w:highlight w:val="none"/>
        </w:rPr>
        <w:t>报价</w:t>
      </w:r>
      <w:r>
        <w:rPr>
          <w:rFonts w:hAnsi="宋体"/>
          <w:color w:val="auto"/>
          <w:sz w:val="24"/>
          <w:highlight w:val="none"/>
        </w:rPr>
        <w:t>评分表》。</w:t>
      </w:r>
    </w:p>
    <w:p w14:paraId="77F7A3E5">
      <w:pPr>
        <w:spacing w:line="360" w:lineRule="auto"/>
        <w:ind w:left="582" w:leftChars="33" w:hanging="513" w:hangingChars="213"/>
        <w:rPr>
          <w:b/>
          <w:color w:val="auto"/>
          <w:sz w:val="24"/>
          <w:highlight w:val="none"/>
        </w:rPr>
      </w:pPr>
      <w:r>
        <w:rPr>
          <w:rFonts w:hint="eastAsia"/>
          <w:b/>
          <w:color w:val="auto"/>
          <w:sz w:val="24"/>
          <w:highlight w:val="none"/>
        </w:rPr>
        <w:t>2.4</w:t>
      </w:r>
      <w:r>
        <w:rPr>
          <w:b/>
          <w:color w:val="auto"/>
          <w:sz w:val="24"/>
          <w:highlight w:val="none"/>
        </w:rPr>
        <w:t>.澄清或补正</w:t>
      </w:r>
    </w:p>
    <w:p w14:paraId="38441AB6">
      <w:pPr>
        <w:spacing w:line="360" w:lineRule="auto"/>
        <w:ind w:left="1119" w:leftChars="247" w:hanging="600" w:hangingChars="250"/>
        <w:rPr>
          <w:color w:val="auto"/>
          <w:sz w:val="24"/>
          <w:highlight w:val="none"/>
        </w:rPr>
      </w:pPr>
      <w:r>
        <w:rPr>
          <w:rFonts w:hint="eastAsia"/>
          <w:color w:val="auto"/>
          <w:sz w:val="24"/>
          <w:highlight w:val="none"/>
        </w:rPr>
        <w:t>2.4</w:t>
      </w:r>
      <w:r>
        <w:rPr>
          <w:color w:val="auto"/>
          <w:sz w:val="24"/>
          <w:highlight w:val="none"/>
        </w:rPr>
        <w:t>.1在评审阶段，</w:t>
      </w:r>
      <w:r>
        <w:rPr>
          <w:rFonts w:hint="eastAsia"/>
          <w:color w:val="auto"/>
          <w:sz w:val="24"/>
          <w:highlight w:val="none"/>
        </w:rPr>
        <w:t>采购</w:t>
      </w:r>
      <w:r>
        <w:rPr>
          <w:color w:val="auto"/>
          <w:sz w:val="24"/>
          <w:highlight w:val="none"/>
        </w:rPr>
        <w:t>小组认为必要时，可要求响应单位澄清或补正响应文件中的问题，或者要求其补充某些资料，包括单价的分析资料等；对此，响应单位不得拒绝。</w:t>
      </w:r>
    </w:p>
    <w:p w14:paraId="064A738E">
      <w:pPr>
        <w:spacing w:line="360" w:lineRule="auto"/>
        <w:ind w:left="1119" w:leftChars="247" w:hanging="600" w:hangingChars="250"/>
        <w:rPr>
          <w:color w:val="auto"/>
          <w:sz w:val="24"/>
          <w:highlight w:val="none"/>
        </w:rPr>
      </w:pPr>
      <w:r>
        <w:rPr>
          <w:rFonts w:hint="eastAsia"/>
          <w:color w:val="auto"/>
          <w:sz w:val="24"/>
          <w:highlight w:val="none"/>
        </w:rPr>
        <w:t>2.4</w:t>
      </w:r>
      <w:r>
        <w:rPr>
          <w:color w:val="auto"/>
          <w:sz w:val="24"/>
          <w:highlight w:val="none"/>
        </w:rPr>
        <w:t>.2响应单位须以书面形式提供澄清或补正文件，并作为响应文件的组成部分。</w:t>
      </w:r>
    </w:p>
    <w:p w14:paraId="012A1AF4">
      <w:pPr>
        <w:spacing w:line="360" w:lineRule="auto"/>
        <w:ind w:left="582" w:leftChars="33" w:hanging="513" w:hangingChars="213"/>
        <w:rPr>
          <w:b/>
          <w:color w:val="auto"/>
          <w:sz w:val="24"/>
          <w:highlight w:val="none"/>
        </w:rPr>
      </w:pPr>
      <w:r>
        <w:rPr>
          <w:rFonts w:hint="eastAsia"/>
          <w:b/>
          <w:color w:val="auto"/>
          <w:sz w:val="24"/>
          <w:highlight w:val="none"/>
        </w:rPr>
        <w:t>2.5.</w:t>
      </w:r>
      <w:r>
        <w:rPr>
          <w:b/>
          <w:color w:val="auto"/>
          <w:sz w:val="24"/>
          <w:highlight w:val="none"/>
        </w:rPr>
        <w:t>汇总评分结果</w:t>
      </w:r>
    </w:p>
    <w:p w14:paraId="3620D479">
      <w:pPr>
        <w:spacing w:line="360" w:lineRule="auto"/>
        <w:ind w:left="1119" w:leftChars="247" w:hanging="600" w:hangingChars="250"/>
        <w:rPr>
          <w:color w:val="auto"/>
          <w:sz w:val="24"/>
          <w:highlight w:val="none"/>
        </w:rPr>
      </w:pPr>
      <w:r>
        <w:rPr>
          <w:rFonts w:hint="eastAsia"/>
          <w:color w:val="auto"/>
          <w:sz w:val="24"/>
          <w:highlight w:val="none"/>
        </w:rPr>
        <w:t>2.5</w:t>
      </w:r>
      <w:r>
        <w:rPr>
          <w:color w:val="auto"/>
          <w:sz w:val="24"/>
          <w:highlight w:val="none"/>
        </w:rPr>
        <w:t>.1</w:t>
      </w:r>
      <w:r>
        <w:rPr>
          <w:rFonts w:hint="eastAsia"/>
          <w:color w:val="auto"/>
          <w:sz w:val="24"/>
          <w:highlight w:val="none"/>
        </w:rPr>
        <w:t>采购</w:t>
      </w:r>
      <w:r>
        <w:rPr>
          <w:color w:val="auto"/>
          <w:sz w:val="24"/>
          <w:highlight w:val="none"/>
        </w:rPr>
        <w:t>小组成员</w:t>
      </w:r>
      <w:r>
        <w:rPr>
          <w:rFonts w:hint="eastAsia"/>
          <w:color w:val="auto"/>
          <w:sz w:val="24"/>
          <w:highlight w:val="none"/>
        </w:rPr>
        <w:t>负责</w:t>
      </w:r>
      <w:r>
        <w:rPr>
          <w:color w:val="auto"/>
          <w:sz w:val="24"/>
          <w:highlight w:val="none"/>
        </w:rPr>
        <w:t>各</w:t>
      </w:r>
      <w:r>
        <w:rPr>
          <w:rFonts w:hint="eastAsia"/>
          <w:color w:val="auto"/>
          <w:sz w:val="24"/>
          <w:highlight w:val="none"/>
        </w:rPr>
        <w:t>自相关内容的</w:t>
      </w:r>
      <w:r>
        <w:rPr>
          <w:color w:val="auto"/>
          <w:sz w:val="24"/>
          <w:highlight w:val="none"/>
        </w:rPr>
        <w:t>评分，并</w:t>
      </w:r>
      <w:r>
        <w:rPr>
          <w:rFonts w:hint="eastAsia"/>
          <w:color w:val="auto"/>
          <w:sz w:val="24"/>
          <w:highlight w:val="none"/>
        </w:rPr>
        <w:t>将</w:t>
      </w:r>
      <w:r>
        <w:rPr>
          <w:color w:val="auto"/>
          <w:sz w:val="24"/>
          <w:highlight w:val="none"/>
        </w:rPr>
        <w:t>计算</w:t>
      </w:r>
      <w:r>
        <w:rPr>
          <w:rFonts w:hint="eastAsia"/>
          <w:color w:val="auto"/>
          <w:sz w:val="24"/>
          <w:highlight w:val="none"/>
        </w:rPr>
        <w:t>结果</w:t>
      </w:r>
      <w:r>
        <w:rPr>
          <w:color w:val="auto"/>
          <w:sz w:val="24"/>
          <w:highlight w:val="none"/>
        </w:rPr>
        <w:t>加权得分</w:t>
      </w:r>
      <w:r>
        <w:rPr>
          <w:rFonts w:hint="eastAsia"/>
          <w:color w:val="auto"/>
          <w:sz w:val="24"/>
          <w:highlight w:val="none"/>
        </w:rPr>
        <w:t>后汇总出各响应单位的最终评分</w:t>
      </w:r>
      <w:r>
        <w:rPr>
          <w:color w:val="auto"/>
          <w:sz w:val="24"/>
          <w:highlight w:val="none"/>
        </w:rPr>
        <w:t>。</w:t>
      </w:r>
    </w:p>
    <w:p w14:paraId="6E791125">
      <w:pPr>
        <w:spacing w:line="360" w:lineRule="auto"/>
        <w:ind w:left="1117" w:leftChars="532"/>
        <w:rPr>
          <w:color w:val="auto"/>
          <w:sz w:val="24"/>
          <w:highlight w:val="none"/>
        </w:rPr>
      </w:pPr>
      <w:r>
        <w:rPr>
          <w:color w:val="auto"/>
          <w:sz w:val="24"/>
          <w:highlight w:val="none"/>
        </w:rPr>
        <w:t>响应单位综合得分＝A1*K1+A2*K2</w:t>
      </w:r>
      <w:r>
        <w:rPr>
          <w:rFonts w:hint="eastAsia"/>
          <w:color w:val="auto"/>
          <w:sz w:val="24"/>
          <w:highlight w:val="none"/>
        </w:rPr>
        <w:t>+</w:t>
      </w:r>
      <w:r>
        <w:rPr>
          <w:color w:val="auto"/>
          <w:sz w:val="24"/>
          <w:highlight w:val="none"/>
        </w:rPr>
        <w:t xml:space="preserve"> A</w:t>
      </w:r>
      <w:r>
        <w:rPr>
          <w:rFonts w:hint="eastAsia"/>
          <w:color w:val="auto"/>
          <w:sz w:val="24"/>
          <w:highlight w:val="none"/>
        </w:rPr>
        <w:t>3</w:t>
      </w:r>
      <w:r>
        <w:rPr>
          <w:color w:val="auto"/>
          <w:sz w:val="24"/>
          <w:highlight w:val="none"/>
        </w:rPr>
        <w:t>*K</w:t>
      </w:r>
      <w:r>
        <w:rPr>
          <w:rFonts w:hint="eastAsia"/>
          <w:color w:val="auto"/>
          <w:sz w:val="24"/>
          <w:highlight w:val="none"/>
        </w:rPr>
        <w:t>3（A1、A2、A3分别为商务、技术、经济部分的评分，</w:t>
      </w:r>
      <w:r>
        <w:rPr>
          <w:color w:val="auto"/>
          <w:sz w:val="24"/>
          <w:highlight w:val="none"/>
        </w:rPr>
        <w:t>K1</w:t>
      </w:r>
      <w:r>
        <w:rPr>
          <w:rFonts w:hint="eastAsia"/>
          <w:color w:val="auto"/>
          <w:sz w:val="24"/>
          <w:highlight w:val="none"/>
        </w:rPr>
        <w:t>、</w:t>
      </w:r>
      <w:r>
        <w:rPr>
          <w:color w:val="auto"/>
          <w:sz w:val="24"/>
          <w:highlight w:val="none"/>
        </w:rPr>
        <w:t>K</w:t>
      </w:r>
      <w:r>
        <w:rPr>
          <w:rFonts w:hint="eastAsia"/>
          <w:color w:val="auto"/>
          <w:sz w:val="24"/>
          <w:highlight w:val="none"/>
        </w:rPr>
        <w:t>2、</w:t>
      </w:r>
      <w:r>
        <w:rPr>
          <w:color w:val="auto"/>
          <w:sz w:val="24"/>
          <w:highlight w:val="none"/>
        </w:rPr>
        <w:t>K</w:t>
      </w:r>
      <w:r>
        <w:rPr>
          <w:rFonts w:hint="eastAsia"/>
          <w:color w:val="auto"/>
          <w:sz w:val="24"/>
          <w:highlight w:val="none"/>
        </w:rPr>
        <w:t>3分别为商务、技术、经济部分在综合得分中所占的权重）</w:t>
      </w:r>
      <w:r>
        <w:rPr>
          <w:color w:val="auto"/>
          <w:sz w:val="24"/>
          <w:highlight w:val="none"/>
        </w:rPr>
        <w:t>，</w:t>
      </w:r>
      <w:r>
        <w:rPr>
          <w:rFonts w:hint="eastAsia"/>
          <w:color w:val="auto"/>
          <w:sz w:val="24"/>
          <w:highlight w:val="none"/>
        </w:rPr>
        <w:t>详</w:t>
      </w:r>
      <w:r>
        <w:rPr>
          <w:color w:val="auto"/>
          <w:sz w:val="24"/>
          <w:highlight w:val="none"/>
        </w:rPr>
        <w:t>见附表</w:t>
      </w:r>
      <w:r>
        <w:rPr>
          <w:rFonts w:hint="eastAsia"/>
          <w:color w:val="auto"/>
          <w:sz w:val="24"/>
          <w:highlight w:val="none"/>
        </w:rPr>
        <w:t>4</w:t>
      </w:r>
      <w:r>
        <w:rPr>
          <w:color w:val="auto"/>
          <w:sz w:val="24"/>
          <w:highlight w:val="none"/>
        </w:rPr>
        <w:t>《综合得分表》。</w:t>
      </w:r>
    </w:p>
    <w:p w14:paraId="0A161527">
      <w:pPr>
        <w:spacing w:line="360" w:lineRule="auto"/>
        <w:ind w:left="1119" w:leftChars="247" w:hanging="600" w:hangingChars="250"/>
        <w:rPr>
          <w:color w:val="auto"/>
          <w:sz w:val="24"/>
          <w:highlight w:val="none"/>
        </w:rPr>
      </w:pPr>
      <w:r>
        <w:rPr>
          <w:rFonts w:hint="eastAsia"/>
          <w:color w:val="auto"/>
          <w:sz w:val="24"/>
          <w:highlight w:val="none"/>
        </w:rPr>
        <w:t>2.5</w:t>
      </w:r>
      <w:r>
        <w:rPr>
          <w:color w:val="auto"/>
          <w:sz w:val="24"/>
          <w:highlight w:val="none"/>
        </w:rPr>
        <w:t>.</w:t>
      </w:r>
      <w:r>
        <w:rPr>
          <w:rFonts w:hint="eastAsia"/>
          <w:color w:val="auto"/>
          <w:sz w:val="24"/>
          <w:highlight w:val="none"/>
        </w:rPr>
        <w:t>2</w:t>
      </w:r>
      <w:r>
        <w:rPr>
          <w:color w:val="auto"/>
          <w:sz w:val="24"/>
          <w:highlight w:val="none"/>
        </w:rPr>
        <w:t>评审小组</w:t>
      </w:r>
      <w:r>
        <w:rPr>
          <w:rFonts w:hint="eastAsia"/>
          <w:color w:val="auto"/>
          <w:sz w:val="24"/>
          <w:highlight w:val="none"/>
        </w:rPr>
        <w:t>按照</w:t>
      </w:r>
      <w:r>
        <w:rPr>
          <w:color w:val="auto"/>
          <w:sz w:val="24"/>
          <w:highlight w:val="none"/>
        </w:rPr>
        <w:t>最终汇总</w:t>
      </w:r>
      <w:r>
        <w:rPr>
          <w:rFonts w:hint="eastAsia"/>
          <w:color w:val="auto"/>
          <w:sz w:val="24"/>
          <w:highlight w:val="none"/>
        </w:rPr>
        <w:t>分数进行</w:t>
      </w:r>
      <w:r>
        <w:rPr>
          <w:color w:val="auto"/>
          <w:sz w:val="24"/>
          <w:highlight w:val="none"/>
        </w:rPr>
        <w:t>排序，推荐出</w:t>
      </w:r>
      <w:r>
        <w:rPr>
          <w:rFonts w:hint="eastAsia"/>
          <w:color w:val="auto"/>
          <w:sz w:val="24"/>
          <w:highlight w:val="none"/>
        </w:rPr>
        <w:t>备选成交单位</w:t>
      </w:r>
      <w:r>
        <w:rPr>
          <w:color w:val="auto"/>
          <w:sz w:val="24"/>
          <w:highlight w:val="none"/>
        </w:rPr>
        <w:t>名单</w:t>
      </w:r>
      <w:r>
        <w:rPr>
          <w:rFonts w:hint="eastAsia"/>
          <w:color w:val="auto"/>
          <w:sz w:val="24"/>
          <w:highlight w:val="none"/>
        </w:rPr>
        <w:t>，</w:t>
      </w:r>
      <w:r>
        <w:rPr>
          <w:color w:val="auto"/>
          <w:sz w:val="24"/>
          <w:highlight w:val="none"/>
        </w:rPr>
        <w:t>如存在最终得分相同的单位</w:t>
      </w:r>
      <w:r>
        <w:rPr>
          <w:rFonts w:hint="eastAsia"/>
          <w:color w:val="auto"/>
          <w:sz w:val="24"/>
          <w:highlight w:val="none"/>
        </w:rPr>
        <w:t>，</w:t>
      </w:r>
      <w:r>
        <w:rPr>
          <w:color w:val="auto"/>
          <w:sz w:val="24"/>
          <w:highlight w:val="none"/>
        </w:rPr>
        <w:t>最终报价低者排名在前。</w:t>
      </w:r>
    </w:p>
    <w:p w14:paraId="587DC7C5">
      <w:pPr>
        <w:spacing w:line="360" w:lineRule="auto"/>
        <w:rPr>
          <w:rFonts w:hint="eastAsia" w:hAnsi="宋体"/>
          <w:color w:val="auto"/>
          <w:sz w:val="24"/>
          <w:highlight w:val="none"/>
        </w:rPr>
      </w:pPr>
    </w:p>
    <w:p w14:paraId="06BCE0BA">
      <w:pPr>
        <w:spacing w:line="360" w:lineRule="auto"/>
        <w:rPr>
          <w:rFonts w:hint="eastAsia" w:hAnsi="宋体"/>
          <w:color w:val="auto"/>
          <w:sz w:val="24"/>
          <w:highlight w:val="none"/>
        </w:rPr>
      </w:pPr>
    </w:p>
    <w:p w14:paraId="4D701B43">
      <w:pPr>
        <w:spacing w:line="360" w:lineRule="auto"/>
        <w:rPr>
          <w:rFonts w:hint="eastAsia" w:hAnsi="宋体"/>
          <w:color w:val="auto"/>
          <w:sz w:val="24"/>
          <w:highlight w:val="none"/>
        </w:rPr>
        <w:sectPr>
          <w:pgSz w:w="11907" w:h="16840"/>
          <w:pgMar w:top="1417" w:right="1701" w:bottom="1417" w:left="1701" w:header="850" w:footer="1134" w:gutter="0"/>
          <w:pgNumType w:fmt="decimal"/>
          <w:cols w:space="0" w:num="1"/>
          <w:rtlGutter w:val="0"/>
          <w:docGrid w:linePitch="312" w:charSpace="0"/>
        </w:sectPr>
      </w:pPr>
    </w:p>
    <w:p w14:paraId="591C129C">
      <w:pPr>
        <w:spacing w:line="360" w:lineRule="auto"/>
        <w:rPr>
          <w:color w:val="auto"/>
          <w:sz w:val="24"/>
          <w:highlight w:val="none"/>
        </w:rPr>
      </w:pPr>
      <w:r>
        <w:rPr>
          <w:rFonts w:hAnsi="宋体"/>
          <w:color w:val="auto"/>
          <w:sz w:val="24"/>
          <w:highlight w:val="none"/>
        </w:rPr>
        <w:t>附表</w:t>
      </w:r>
      <w:r>
        <w:rPr>
          <w:rFonts w:hint="eastAsia" w:hAnsi="宋体"/>
          <w:color w:val="auto"/>
          <w:sz w:val="24"/>
          <w:highlight w:val="none"/>
        </w:rPr>
        <w:t>1</w:t>
      </w:r>
      <w:r>
        <w:rPr>
          <w:rFonts w:hAnsi="宋体"/>
          <w:color w:val="auto"/>
          <w:sz w:val="24"/>
          <w:highlight w:val="none"/>
        </w:rPr>
        <w:t>　</w:t>
      </w:r>
    </w:p>
    <w:p w14:paraId="2502CEC7">
      <w:pPr>
        <w:spacing w:line="360" w:lineRule="auto"/>
        <w:jc w:val="center"/>
        <w:rPr>
          <w:rFonts w:hint="eastAsia" w:hAnsi="宋体"/>
          <w:b/>
          <w:color w:val="auto"/>
          <w:sz w:val="24"/>
          <w:highlight w:val="none"/>
        </w:rPr>
      </w:pPr>
      <w:r>
        <w:rPr>
          <w:rFonts w:hint="eastAsia" w:hAnsi="宋体"/>
          <w:b/>
          <w:color w:val="auto"/>
          <w:sz w:val="24"/>
          <w:highlight w:val="none"/>
        </w:rPr>
        <w:t>商务资料</w:t>
      </w:r>
      <w:r>
        <w:rPr>
          <w:rFonts w:hAnsi="宋体"/>
          <w:b/>
          <w:color w:val="auto"/>
          <w:sz w:val="24"/>
          <w:highlight w:val="none"/>
        </w:rPr>
        <w:t>评分表</w:t>
      </w:r>
    </w:p>
    <w:p w14:paraId="77C3758A">
      <w:pPr>
        <w:spacing w:line="360" w:lineRule="auto"/>
        <w:rPr>
          <w:color w:val="auto"/>
          <w:szCs w:val="21"/>
          <w:highlight w:val="none"/>
        </w:rPr>
      </w:pPr>
      <w:r>
        <w:rPr>
          <w:rFonts w:hint="eastAsia"/>
          <w:color w:val="auto"/>
          <w:szCs w:val="21"/>
          <w:highlight w:val="none"/>
        </w:rPr>
        <w:t>响应单位名称：</w:t>
      </w:r>
    </w:p>
    <w:tbl>
      <w:tblPr>
        <w:tblStyle w:val="31"/>
        <w:tblW w:w="911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5"/>
        <w:gridCol w:w="1980"/>
        <w:gridCol w:w="737"/>
        <w:gridCol w:w="2154"/>
        <w:gridCol w:w="2891"/>
        <w:gridCol w:w="793"/>
      </w:tblGrid>
      <w:tr w14:paraId="53A562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555" w:type="dxa"/>
            <w:vMerge w:val="restart"/>
            <w:vAlign w:val="center"/>
          </w:tcPr>
          <w:p w14:paraId="208139C1">
            <w:pPr>
              <w:jc w:val="center"/>
              <w:rPr>
                <w:rFonts w:ascii="Arial" w:hAnsi="Arial" w:cs="Arial"/>
                <w:b/>
                <w:color w:val="auto"/>
                <w:szCs w:val="21"/>
                <w:highlight w:val="none"/>
              </w:rPr>
            </w:pPr>
            <w:r>
              <w:rPr>
                <w:rFonts w:ascii="Arial" w:hAnsi="Arial" w:cs="Arial"/>
                <w:b/>
                <w:color w:val="auto"/>
                <w:szCs w:val="21"/>
                <w:highlight w:val="none"/>
              </w:rPr>
              <w:t>序号</w:t>
            </w:r>
          </w:p>
        </w:tc>
        <w:tc>
          <w:tcPr>
            <w:tcW w:w="1980" w:type="dxa"/>
            <w:vMerge w:val="restart"/>
            <w:vAlign w:val="center"/>
          </w:tcPr>
          <w:p w14:paraId="18915617">
            <w:pPr>
              <w:jc w:val="center"/>
              <w:rPr>
                <w:rFonts w:ascii="Arial" w:hAnsi="Arial" w:cs="Arial"/>
                <w:b/>
                <w:color w:val="auto"/>
                <w:szCs w:val="21"/>
                <w:highlight w:val="none"/>
              </w:rPr>
            </w:pPr>
            <w:r>
              <w:rPr>
                <w:rFonts w:ascii="Arial" w:hAnsi="Arial" w:cs="Arial"/>
                <w:b/>
                <w:color w:val="auto"/>
                <w:szCs w:val="21"/>
                <w:highlight w:val="none"/>
              </w:rPr>
              <w:t>评分项目</w:t>
            </w:r>
          </w:p>
        </w:tc>
        <w:tc>
          <w:tcPr>
            <w:tcW w:w="737" w:type="dxa"/>
            <w:vMerge w:val="restart"/>
            <w:vAlign w:val="center"/>
          </w:tcPr>
          <w:p w14:paraId="1AA073F2">
            <w:pPr>
              <w:jc w:val="center"/>
              <w:rPr>
                <w:rFonts w:ascii="Arial" w:hAnsi="Arial" w:cs="Arial"/>
                <w:b/>
                <w:color w:val="auto"/>
                <w:szCs w:val="21"/>
                <w:highlight w:val="none"/>
              </w:rPr>
            </w:pPr>
            <w:r>
              <w:rPr>
                <w:rFonts w:hint="eastAsia" w:ascii="Arial" w:hAnsi="Arial" w:cs="Arial"/>
                <w:b/>
                <w:color w:val="auto"/>
                <w:szCs w:val="21"/>
                <w:highlight w:val="none"/>
              </w:rPr>
              <w:t>满</w:t>
            </w:r>
            <w:r>
              <w:rPr>
                <w:rFonts w:ascii="Arial" w:hAnsi="Arial" w:cs="Arial"/>
                <w:b/>
                <w:color w:val="auto"/>
                <w:szCs w:val="21"/>
                <w:highlight w:val="none"/>
              </w:rPr>
              <w:t>分</w:t>
            </w:r>
          </w:p>
        </w:tc>
        <w:tc>
          <w:tcPr>
            <w:tcW w:w="2154" w:type="dxa"/>
            <w:vMerge w:val="restart"/>
            <w:vAlign w:val="center"/>
          </w:tcPr>
          <w:p w14:paraId="188CB840">
            <w:pPr>
              <w:jc w:val="center"/>
              <w:rPr>
                <w:rFonts w:ascii="Arial" w:hAnsi="Arial" w:cs="Arial"/>
                <w:b/>
                <w:color w:val="auto"/>
                <w:szCs w:val="21"/>
                <w:highlight w:val="none"/>
              </w:rPr>
            </w:pPr>
            <w:r>
              <w:rPr>
                <w:rFonts w:ascii="Arial" w:hAnsi="Arial" w:cs="Arial"/>
                <w:b/>
                <w:color w:val="auto"/>
                <w:szCs w:val="21"/>
                <w:highlight w:val="none"/>
              </w:rPr>
              <w:t>评分标准</w:t>
            </w:r>
          </w:p>
        </w:tc>
        <w:tc>
          <w:tcPr>
            <w:tcW w:w="2891" w:type="dxa"/>
            <w:vMerge w:val="restart"/>
            <w:tcBorders>
              <w:right w:val="single" w:color="auto" w:sz="4" w:space="0"/>
            </w:tcBorders>
            <w:vAlign w:val="center"/>
          </w:tcPr>
          <w:p w14:paraId="69851E9A">
            <w:pPr>
              <w:jc w:val="center"/>
              <w:rPr>
                <w:rFonts w:ascii="Arial" w:hAnsi="Arial" w:cs="Arial"/>
                <w:b/>
                <w:color w:val="auto"/>
                <w:szCs w:val="21"/>
                <w:highlight w:val="none"/>
              </w:rPr>
            </w:pPr>
            <w:r>
              <w:rPr>
                <w:rFonts w:hint="eastAsia" w:ascii="Arial" w:hAnsi="Arial" w:cs="Arial"/>
                <w:b/>
                <w:color w:val="auto"/>
                <w:szCs w:val="21"/>
                <w:highlight w:val="none"/>
              </w:rPr>
              <w:t>扣分原因</w:t>
            </w:r>
          </w:p>
        </w:tc>
        <w:tc>
          <w:tcPr>
            <w:tcW w:w="793" w:type="dxa"/>
            <w:vMerge w:val="restart"/>
            <w:tcBorders>
              <w:left w:val="single" w:color="auto" w:sz="4" w:space="0"/>
            </w:tcBorders>
            <w:vAlign w:val="center"/>
          </w:tcPr>
          <w:p w14:paraId="32F3F25B">
            <w:pPr>
              <w:jc w:val="center"/>
              <w:rPr>
                <w:rFonts w:ascii="Arial" w:hAnsi="Arial" w:cs="Arial"/>
                <w:b/>
                <w:color w:val="auto"/>
                <w:szCs w:val="21"/>
                <w:highlight w:val="none"/>
              </w:rPr>
            </w:pPr>
            <w:r>
              <w:rPr>
                <w:rFonts w:hint="eastAsia" w:ascii="Arial" w:hAnsi="Arial" w:cs="Arial"/>
                <w:b/>
                <w:color w:val="auto"/>
                <w:szCs w:val="21"/>
                <w:highlight w:val="none"/>
              </w:rPr>
              <w:t>得分</w:t>
            </w:r>
          </w:p>
        </w:tc>
      </w:tr>
      <w:tr w14:paraId="0006AB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38" w:hRule="atLeast"/>
          <w:tblHeader/>
          <w:jc w:val="center"/>
        </w:trPr>
        <w:tc>
          <w:tcPr>
            <w:tcW w:w="555" w:type="dxa"/>
            <w:vMerge w:val="continue"/>
            <w:vAlign w:val="center"/>
          </w:tcPr>
          <w:p w14:paraId="0AD0FE16">
            <w:pPr>
              <w:jc w:val="center"/>
              <w:rPr>
                <w:rFonts w:ascii="Arial" w:hAnsi="Arial" w:cs="Arial"/>
                <w:color w:val="auto"/>
                <w:szCs w:val="21"/>
                <w:highlight w:val="none"/>
              </w:rPr>
            </w:pPr>
          </w:p>
        </w:tc>
        <w:tc>
          <w:tcPr>
            <w:tcW w:w="1980" w:type="dxa"/>
            <w:vMerge w:val="continue"/>
            <w:vAlign w:val="center"/>
          </w:tcPr>
          <w:p w14:paraId="0EB03942">
            <w:pPr>
              <w:jc w:val="center"/>
              <w:rPr>
                <w:rFonts w:ascii="Arial" w:hAnsi="Arial" w:cs="Arial"/>
                <w:color w:val="auto"/>
                <w:szCs w:val="21"/>
                <w:highlight w:val="none"/>
              </w:rPr>
            </w:pPr>
          </w:p>
        </w:tc>
        <w:tc>
          <w:tcPr>
            <w:tcW w:w="737" w:type="dxa"/>
            <w:vMerge w:val="continue"/>
            <w:vAlign w:val="center"/>
          </w:tcPr>
          <w:p w14:paraId="19915359">
            <w:pPr>
              <w:jc w:val="center"/>
              <w:rPr>
                <w:rFonts w:ascii="Arial" w:hAnsi="Arial" w:cs="Arial"/>
                <w:color w:val="auto"/>
                <w:szCs w:val="21"/>
                <w:highlight w:val="none"/>
              </w:rPr>
            </w:pPr>
          </w:p>
        </w:tc>
        <w:tc>
          <w:tcPr>
            <w:tcW w:w="2154" w:type="dxa"/>
            <w:vMerge w:val="continue"/>
            <w:vAlign w:val="center"/>
          </w:tcPr>
          <w:p w14:paraId="773743E9">
            <w:pPr>
              <w:jc w:val="center"/>
              <w:rPr>
                <w:rFonts w:ascii="Arial" w:hAnsi="Arial" w:cs="Arial"/>
                <w:color w:val="auto"/>
                <w:szCs w:val="21"/>
                <w:highlight w:val="none"/>
              </w:rPr>
            </w:pPr>
          </w:p>
        </w:tc>
        <w:tc>
          <w:tcPr>
            <w:tcW w:w="2891" w:type="dxa"/>
            <w:vMerge w:val="continue"/>
            <w:tcBorders>
              <w:right w:val="single" w:color="auto" w:sz="4" w:space="0"/>
            </w:tcBorders>
            <w:vAlign w:val="center"/>
          </w:tcPr>
          <w:p w14:paraId="1E3545E5">
            <w:pPr>
              <w:rPr>
                <w:rFonts w:ascii="Arial" w:hAnsi="Arial" w:cs="Arial"/>
                <w:color w:val="auto"/>
                <w:szCs w:val="21"/>
                <w:highlight w:val="none"/>
              </w:rPr>
            </w:pPr>
          </w:p>
        </w:tc>
        <w:tc>
          <w:tcPr>
            <w:tcW w:w="793" w:type="dxa"/>
            <w:vMerge w:val="continue"/>
            <w:tcBorders>
              <w:left w:val="single" w:color="auto" w:sz="4" w:space="0"/>
            </w:tcBorders>
            <w:vAlign w:val="center"/>
          </w:tcPr>
          <w:p w14:paraId="7CC72C98">
            <w:pPr>
              <w:rPr>
                <w:rFonts w:ascii="Arial" w:hAnsi="Arial" w:cs="Arial"/>
                <w:color w:val="auto"/>
                <w:szCs w:val="21"/>
                <w:highlight w:val="none"/>
              </w:rPr>
            </w:pPr>
          </w:p>
        </w:tc>
      </w:tr>
      <w:tr w14:paraId="15E4422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211" w:hRule="atLeast"/>
          <w:jc w:val="center"/>
        </w:trPr>
        <w:tc>
          <w:tcPr>
            <w:tcW w:w="555" w:type="dxa"/>
            <w:vAlign w:val="center"/>
          </w:tcPr>
          <w:p w14:paraId="1AE361AE">
            <w:pPr>
              <w:jc w:val="center"/>
              <w:rPr>
                <w:rFonts w:ascii="Arial" w:hAnsi="Arial" w:cs="Arial"/>
                <w:color w:val="auto"/>
                <w:szCs w:val="21"/>
                <w:highlight w:val="none"/>
              </w:rPr>
            </w:pPr>
            <w:r>
              <w:rPr>
                <w:rFonts w:hint="eastAsia" w:ascii="Arial" w:hAnsi="Arial" w:cs="Arial"/>
                <w:color w:val="auto"/>
                <w:szCs w:val="21"/>
                <w:highlight w:val="none"/>
              </w:rPr>
              <w:t>1</w:t>
            </w:r>
          </w:p>
        </w:tc>
        <w:tc>
          <w:tcPr>
            <w:tcW w:w="1980" w:type="dxa"/>
            <w:vAlign w:val="center"/>
          </w:tcPr>
          <w:p w14:paraId="20271DFD">
            <w:pPr>
              <w:rPr>
                <w:rFonts w:ascii="Arial" w:hAnsi="Arial"/>
                <w:color w:val="auto"/>
                <w:highlight w:val="none"/>
              </w:rPr>
            </w:pPr>
            <w:r>
              <w:rPr>
                <w:rFonts w:hint="eastAsia" w:ascii="Arial" w:hAnsi="Arial"/>
                <w:color w:val="auto"/>
                <w:highlight w:val="none"/>
              </w:rPr>
              <w:t>企业营业执照、资质等级、安全生产许可证复印件是否齐全、有效，是否符合采购文件要求</w:t>
            </w:r>
          </w:p>
        </w:tc>
        <w:tc>
          <w:tcPr>
            <w:tcW w:w="737" w:type="dxa"/>
            <w:vAlign w:val="center"/>
          </w:tcPr>
          <w:p w14:paraId="17B648DB">
            <w:pPr>
              <w:autoSpaceDE w:val="0"/>
              <w:autoSpaceDN w:val="0"/>
              <w:jc w:val="center"/>
              <w:rPr>
                <w:rFonts w:ascii="Arial" w:hAnsi="Arial"/>
                <w:color w:val="auto"/>
                <w:szCs w:val="21"/>
                <w:highlight w:val="none"/>
              </w:rPr>
            </w:pPr>
            <w:r>
              <w:rPr>
                <w:rFonts w:hint="eastAsia" w:ascii="Arial" w:hAnsi="Arial"/>
                <w:color w:val="auto"/>
                <w:szCs w:val="21"/>
                <w:highlight w:val="none"/>
              </w:rPr>
              <w:t>12</w:t>
            </w:r>
          </w:p>
        </w:tc>
        <w:tc>
          <w:tcPr>
            <w:tcW w:w="2154" w:type="dxa"/>
            <w:vAlign w:val="center"/>
          </w:tcPr>
          <w:p w14:paraId="4715BA26">
            <w:pPr>
              <w:autoSpaceDE w:val="0"/>
              <w:autoSpaceDN w:val="0"/>
              <w:spacing w:before="78"/>
              <w:ind w:right="-20"/>
              <w:rPr>
                <w:rFonts w:ascii="Arial" w:hAnsi="Arial"/>
                <w:color w:val="auto"/>
                <w:szCs w:val="21"/>
                <w:highlight w:val="none"/>
              </w:rPr>
            </w:pPr>
            <w:r>
              <w:rPr>
                <w:rFonts w:hint="eastAsia" w:ascii="Arial" w:hAnsi="Arial"/>
                <w:color w:val="auto"/>
                <w:highlight w:val="none"/>
              </w:rPr>
              <w:t>企业营业执照、资质等级、安全生产许可证有复印件的各得2分，没有复印件的那项不得分；证件在有效期的各得2分，不在有效期的那项不得分</w:t>
            </w:r>
          </w:p>
        </w:tc>
        <w:tc>
          <w:tcPr>
            <w:tcW w:w="2891" w:type="dxa"/>
            <w:tcBorders>
              <w:right w:val="single" w:color="auto" w:sz="4" w:space="0"/>
            </w:tcBorders>
            <w:vAlign w:val="center"/>
          </w:tcPr>
          <w:p w14:paraId="27930D50">
            <w:pPr>
              <w:rPr>
                <w:rFonts w:ascii="Arial" w:hAnsi="Arial"/>
                <w:color w:val="auto"/>
                <w:highlight w:val="none"/>
              </w:rPr>
            </w:pPr>
            <w:r>
              <w:rPr>
                <w:rFonts w:hint="eastAsia" w:ascii="Arial" w:hAnsi="Arial"/>
                <w:color w:val="auto"/>
                <w:highlight w:val="none"/>
              </w:rPr>
              <w:t>企业营业执照：（4分）</w:t>
            </w:r>
          </w:p>
          <w:p w14:paraId="4F7270CE">
            <w:pPr>
              <w:rPr>
                <w:rFonts w:ascii="Arial" w:hAnsi="Arial"/>
                <w:color w:val="auto"/>
                <w:highlight w:val="none"/>
              </w:rPr>
            </w:pPr>
            <w:r>
              <w:rPr>
                <w:rFonts w:hint="eastAsia" w:ascii="Arial" w:hAnsi="Arial"/>
                <w:color w:val="auto"/>
                <w:highlight w:val="none"/>
              </w:rPr>
              <w:t>有□无□   有效□无效□</w:t>
            </w:r>
          </w:p>
          <w:p w14:paraId="745E7842">
            <w:pPr>
              <w:rPr>
                <w:rFonts w:ascii="Arial" w:hAnsi="Arial"/>
                <w:color w:val="auto"/>
                <w:highlight w:val="none"/>
              </w:rPr>
            </w:pPr>
          </w:p>
          <w:p w14:paraId="67386B9E">
            <w:pPr>
              <w:rPr>
                <w:rFonts w:ascii="Arial" w:hAnsi="Arial"/>
                <w:color w:val="auto"/>
                <w:highlight w:val="none"/>
              </w:rPr>
            </w:pPr>
            <w:r>
              <w:rPr>
                <w:rFonts w:hint="eastAsia" w:ascii="Arial" w:hAnsi="Arial"/>
                <w:color w:val="auto"/>
                <w:highlight w:val="none"/>
              </w:rPr>
              <w:t>资质等级：（4分）</w:t>
            </w:r>
          </w:p>
          <w:p w14:paraId="7A857F1C">
            <w:pPr>
              <w:rPr>
                <w:rFonts w:ascii="Arial" w:hAnsi="Arial"/>
                <w:color w:val="auto"/>
                <w:highlight w:val="none"/>
              </w:rPr>
            </w:pPr>
            <w:r>
              <w:rPr>
                <w:rFonts w:hint="eastAsia" w:ascii="Arial" w:hAnsi="Arial"/>
                <w:color w:val="auto"/>
                <w:highlight w:val="none"/>
              </w:rPr>
              <w:t>有□无□   符合□不符合□</w:t>
            </w:r>
          </w:p>
          <w:p w14:paraId="6E6A58E5">
            <w:pPr>
              <w:rPr>
                <w:rFonts w:ascii="Arial" w:hAnsi="Arial"/>
                <w:color w:val="auto"/>
                <w:highlight w:val="none"/>
              </w:rPr>
            </w:pPr>
          </w:p>
          <w:p w14:paraId="00E12F9F">
            <w:pPr>
              <w:rPr>
                <w:rFonts w:ascii="Arial" w:hAnsi="Arial"/>
                <w:color w:val="auto"/>
                <w:highlight w:val="none"/>
              </w:rPr>
            </w:pPr>
            <w:r>
              <w:rPr>
                <w:rFonts w:hint="eastAsia" w:ascii="Arial" w:hAnsi="Arial"/>
                <w:color w:val="auto"/>
                <w:highlight w:val="none"/>
              </w:rPr>
              <w:t>安全生产许可证：（4分）</w:t>
            </w:r>
          </w:p>
          <w:p w14:paraId="59ECA5ED">
            <w:pPr>
              <w:rPr>
                <w:rFonts w:ascii="Arial" w:hAnsi="Arial"/>
                <w:color w:val="auto"/>
                <w:highlight w:val="none"/>
              </w:rPr>
            </w:pPr>
            <w:r>
              <w:rPr>
                <w:rFonts w:hint="eastAsia" w:ascii="Arial" w:hAnsi="Arial"/>
                <w:color w:val="auto"/>
                <w:highlight w:val="none"/>
              </w:rPr>
              <w:t>有□无□   有效□无效□</w:t>
            </w:r>
          </w:p>
        </w:tc>
        <w:tc>
          <w:tcPr>
            <w:tcW w:w="793" w:type="dxa"/>
            <w:tcBorders>
              <w:left w:val="single" w:color="auto" w:sz="4" w:space="0"/>
            </w:tcBorders>
            <w:vAlign w:val="center"/>
          </w:tcPr>
          <w:p w14:paraId="66A653A8">
            <w:pPr>
              <w:rPr>
                <w:rFonts w:ascii="Arial" w:hAnsi="Arial" w:cs="Arial"/>
                <w:color w:val="auto"/>
                <w:szCs w:val="21"/>
                <w:highlight w:val="none"/>
              </w:rPr>
            </w:pPr>
          </w:p>
        </w:tc>
      </w:tr>
      <w:tr w14:paraId="639CC6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606" w:hRule="atLeast"/>
          <w:jc w:val="center"/>
        </w:trPr>
        <w:tc>
          <w:tcPr>
            <w:tcW w:w="555" w:type="dxa"/>
            <w:vAlign w:val="center"/>
          </w:tcPr>
          <w:p w14:paraId="70CB92A2">
            <w:pPr>
              <w:jc w:val="center"/>
              <w:rPr>
                <w:rFonts w:ascii="Arial" w:hAnsi="Arial" w:cs="Arial"/>
                <w:color w:val="auto"/>
                <w:szCs w:val="21"/>
                <w:highlight w:val="none"/>
              </w:rPr>
            </w:pPr>
            <w:r>
              <w:rPr>
                <w:rFonts w:hint="eastAsia" w:ascii="Arial" w:hAnsi="Arial" w:cs="Arial"/>
                <w:color w:val="auto"/>
                <w:szCs w:val="21"/>
                <w:highlight w:val="none"/>
              </w:rPr>
              <w:t>2</w:t>
            </w:r>
          </w:p>
        </w:tc>
        <w:tc>
          <w:tcPr>
            <w:tcW w:w="1980" w:type="dxa"/>
            <w:vAlign w:val="center"/>
          </w:tcPr>
          <w:p w14:paraId="4CC54C55">
            <w:pPr>
              <w:rPr>
                <w:rFonts w:ascii="Arial" w:hAnsi="Arial" w:cs="Arial"/>
                <w:bCs/>
                <w:color w:val="auto"/>
                <w:szCs w:val="21"/>
                <w:highlight w:val="none"/>
              </w:rPr>
            </w:pPr>
            <w:r>
              <w:rPr>
                <w:rFonts w:hint="eastAsia" w:ascii="Arial" w:hAnsi="Arial" w:cs="Arial"/>
                <w:bCs/>
                <w:color w:val="auto"/>
                <w:szCs w:val="21"/>
                <w:highlight w:val="none"/>
              </w:rPr>
              <w:t>工程拟定主要人员结构是否合理、齐全，主要负责人有无类似工程施工履历</w:t>
            </w:r>
          </w:p>
        </w:tc>
        <w:tc>
          <w:tcPr>
            <w:tcW w:w="737" w:type="dxa"/>
            <w:vAlign w:val="center"/>
          </w:tcPr>
          <w:p w14:paraId="480E3FE8">
            <w:pPr>
              <w:jc w:val="center"/>
              <w:rPr>
                <w:rFonts w:ascii="Arial" w:hAnsi="Arial" w:cs="Arial"/>
                <w:color w:val="auto"/>
                <w:szCs w:val="21"/>
                <w:highlight w:val="none"/>
              </w:rPr>
            </w:pPr>
            <w:r>
              <w:rPr>
                <w:rFonts w:ascii="Arial" w:hAnsi="Arial" w:cs="Arial"/>
                <w:color w:val="auto"/>
                <w:szCs w:val="21"/>
                <w:highlight w:val="none"/>
              </w:rPr>
              <w:t>1</w:t>
            </w:r>
            <w:r>
              <w:rPr>
                <w:rFonts w:hint="eastAsia" w:ascii="Arial" w:hAnsi="Arial" w:cs="Arial"/>
                <w:color w:val="auto"/>
                <w:szCs w:val="21"/>
                <w:highlight w:val="none"/>
              </w:rPr>
              <w:t>8</w:t>
            </w:r>
          </w:p>
        </w:tc>
        <w:tc>
          <w:tcPr>
            <w:tcW w:w="2154" w:type="dxa"/>
          </w:tcPr>
          <w:p w14:paraId="65B677C1">
            <w:pPr>
              <w:autoSpaceDE w:val="0"/>
              <w:autoSpaceDN w:val="0"/>
              <w:spacing w:before="78" w:line="240" w:lineRule="atLeast"/>
              <w:ind w:right="-20"/>
              <w:rPr>
                <w:rFonts w:ascii="Arial" w:hAnsi="Arial"/>
                <w:color w:val="auto"/>
                <w:szCs w:val="21"/>
                <w:highlight w:val="none"/>
              </w:rPr>
            </w:pPr>
            <w:r>
              <w:rPr>
                <w:rFonts w:hint="eastAsia" w:ascii="Arial" w:hAnsi="Arial"/>
                <w:color w:val="auto"/>
                <w:szCs w:val="21"/>
                <w:highlight w:val="none"/>
              </w:rPr>
              <w:t>人员配置合理的得</w:t>
            </w:r>
            <w:r>
              <w:rPr>
                <w:rFonts w:ascii="Arial" w:hAnsi="Arial"/>
                <w:color w:val="auto"/>
                <w:szCs w:val="21"/>
                <w:highlight w:val="none"/>
              </w:rPr>
              <w:t>4</w:t>
            </w:r>
            <w:r>
              <w:rPr>
                <w:rFonts w:hint="eastAsia" w:ascii="Arial" w:hAnsi="Arial"/>
                <w:color w:val="auto"/>
                <w:szCs w:val="21"/>
                <w:highlight w:val="none"/>
              </w:rPr>
              <w:t>分；人员结构齐全的得</w:t>
            </w:r>
            <w:r>
              <w:rPr>
                <w:rFonts w:ascii="Arial" w:hAnsi="Arial"/>
                <w:color w:val="auto"/>
                <w:szCs w:val="21"/>
                <w:highlight w:val="none"/>
              </w:rPr>
              <w:t>4</w:t>
            </w:r>
            <w:r>
              <w:rPr>
                <w:rFonts w:hint="eastAsia" w:ascii="Arial" w:hAnsi="Arial"/>
                <w:color w:val="auto"/>
                <w:szCs w:val="21"/>
                <w:highlight w:val="none"/>
              </w:rPr>
              <w:t>分；主要负责人有类似工程施工履历的得</w:t>
            </w:r>
            <w:r>
              <w:rPr>
                <w:rFonts w:ascii="Arial" w:hAnsi="Arial"/>
                <w:color w:val="auto"/>
                <w:szCs w:val="21"/>
                <w:highlight w:val="none"/>
              </w:rPr>
              <w:t>5</w:t>
            </w:r>
            <w:r>
              <w:rPr>
                <w:rFonts w:hint="eastAsia" w:ascii="Arial" w:hAnsi="Arial"/>
                <w:color w:val="auto"/>
                <w:szCs w:val="21"/>
                <w:highlight w:val="none"/>
              </w:rPr>
              <w:t>分；主要人员持证情况得</w:t>
            </w:r>
            <w:r>
              <w:rPr>
                <w:rFonts w:ascii="Arial" w:hAnsi="Arial"/>
                <w:color w:val="auto"/>
                <w:szCs w:val="21"/>
                <w:highlight w:val="none"/>
              </w:rPr>
              <w:t>5</w:t>
            </w:r>
            <w:r>
              <w:rPr>
                <w:rFonts w:hint="eastAsia" w:ascii="Arial" w:hAnsi="Arial"/>
                <w:color w:val="auto"/>
                <w:szCs w:val="21"/>
                <w:highlight w:val="none"/>
              </w:rPr>
              <w:t>分。否则不得分</w:t>
            </w:r>
          </w:p>
        </w:tc>
        <w:tc>
          <w:tcPr>
            <w:tcW w:w="2891" w:type="dxa"/>
            <w:tcBorders>
              <w:right w:val="single" w:color="auto" w:sz="4" w:space="0"/>
            </w:tcBorders>
            <w:vAlign w:val="center"/>
          </w:tcPr>
          <w:p w14:paraId="241D041A">
            <w:pPr>
              <w:spacing w:line="240" w:lineRule="atLeast"/>
              <w:rPr>
                <w:rFonts w:ascii="Arial" w:hAnsi="Arial" w:cs="Arial"/>
                <w:color w:val="auto"/>
                <w:szCs w:val="21"/>
                <w:highlight w:val="none"/>
              </w:rPr>
            </w:pPr>
            <w:r>
              <w:rPr>
                <w:rFonts w:hint="eastAsia" w:ascii="Arial" w:hAnsi="Arial" w:cs="Arial"/>
                <w:color w:val="auto"/>
                <w:szCs w:val="21"/>
                <w:highlight w:val="none"/>
              </w:rPr>
              <w:t>人员配置：</w:t>
            </w:r>
          </w:p>
          <w:p w14:paraId="08331CE2">
            <w:pPr>
              <w:spacing w:line="240" w:lineRule="atLeast"/>
              <w:rPr>
                <w:rFonts w:ascii="Arial" w:hAnsi="Arial"/>
                <w:color w:val="auto"/>
                <w:highlight w:val="none"/>
              </w:rPr>
            </w:pPr>
            <w:r>
              <w:rPr>
                <w:rFonts w:hint="eastAsia" w:ascii="Arial" w:hAnsi="Arial" w:cs="Arial"/>
                <w:color w:val="auto"/>
                <w:szCs w:val="21"/>
                <w:highlight w:val="none"/>
              </w:rPr>
              <w:t>合  理</w:t>
            </w:r>
            <w:r>
              <w:rPr>
                <w:rFonts w:hint="eastAsia" w:ascii="Arial" w:hAnsi="Arial"/>
                <w:color w:val="auto"/>
                <w:highlight w:val="none"/>
              </w:rPr>
              <w:t>□    不合理□</w:t>
            </w:r>
          </w:p>
          <w:p w14:paraId="2BE7CFDD">
            <w:pPr>
              <w:spacing w:line="240" w:lineRule="atLeast"/>
              <w:rPr>
                <w:rFonts w:ascii="Arial" w:hAnsi="Arial"/>
                <w:color w:val="auto"/>
                <w:highlight w:val="none"/>
              </w:rPr>
            </w:pPr>
            <w:r>
              <w:rPr>
                <w:rFonts w:hint="eastAsia" w:ascii="Arial" w:hAnsi="Arial"/>
                <w:color w:val="auto"/>
                <w:highlight w:val="none"/>
              </w:rPr>
              <w:t>齐  全□    不齐全□</w:t>
            </w:r>
          </w:p>
          <w:p w14:paraId="771E08E1">
            <w:pPr>
              <w:spacing w:line="240" w:lineRule="atLeast"/>
              <w:rPr>
                <w:rFonts w:ascii="Arial" w:hAnsi="Arial"/>
                <w:color w:val="auto"/>
                <w:highlight w:val="none"/>
              </w:rPr>
            </w:pPr>
            <w:r>
              <w:rPr>
                <w:rFonts w:hint="eastAsia" w:ascii="Arial" w:hAnsi="Arial"/>
                <w:color w:val="auto"/>
                <w:highlight w:val="none"/>
              </w:rPr>
              <w:t>有  证□    无  证□</w:t>
            </w:r>
          </w:p>
          <w:p w14:paraId="56479766">
            <w:pPr>
              <w:spacing w:line="240" w:lineRule="atLeast"/>
              <w:rPr>
                <w:rFonts w:ascii="Arial" w:hAnsi="Arial" w:cs="Arial"/>
                <w:color w:val="auto"/>
                <w:szCs w:val="21"/>
                <w:highlight w:val="none"/>
              </w:rPr>
            </w:pPr>
            <w:r>
              <w:rPr>
                <w:rFonts w:hint="eastAsia" w:ascii="Arial" w:hAnsi="Arial"/>
                <w:color w:val="auto"/>
                <w:highlight w:val="none"/>
              </w:rPr>
              <w:t>施工经验    有□无□</w:t>
            </w:r>
          </w:p>
        </w:tc>
        <w:tc>
          <w:tcPr>
            <w:tcW w:w="793" w:type="dxa"/>
            <w:tcBorders>
              <w:left w:val="single" w:color="auto" w:sz="4" w:space="0"/>
            </w:tcBorders>
            <w:vAlign w:val="center"/>
          </w:tcPr>
          <w:p w14:paraId="1388010B">
            <w:pPr>
              <w:spacing w:line="240" w:lineRule="atLeast"/>
              <w:rPr>
                <w:rFonts w:ascii="Arial" w:hAnsi="Arial" w:cs="Arial"/>
                <w:color w:val="auto"/>
                <w:szCs w:val="21"/>
                <w:highlight w:val="none"/>
              </w:rPr>
            </w:pPr>
          </w:p>
        </w:tc>
      </w:tr>
      <w:tr w14:paraId="11E6B2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05" w:hRule="atLeast"/>
          <w:jc w:val="center"/>
        </w:trPr>
        <w:tc>
          <w:tcPr>
            <w:tcW w:w="555" w:type="dxa"/>
            <w:vAlign w:val="center"/>
          </w:tcPr>
          <w:p w14:paraId="10755616">
            <w:pPr>
              <w:jc w:val="center"/>
              <w:rPr>
                <w:rFonts w:ascii="Arial" w:hAnsi="Arial" w:cs="Arial"/>
                <w:color w:val="auto"/>
                <w:szCs w:val="21"/>
                <w:highlight w:val="none"/>
              </w:rPr>
            </w:pPr>
            <w:r>
              <w:rPr>
                <w:rFonts w:hint="eastAsia" w:ascii="Arial" w:hAnsi="Arial" w:cs="Arial"/>
                <w:color w:val="auto"/>
                <w:szCs w:val="21"/>
                <w:highlight w:val="none"/>
              </w:rPr>
              <w:t>3</w:t>
            </w:r>
          </w:p>
        </w:tc>
        <w:tc>
          <w:tcPr>
            <w:tcW w:w="1980" w:type="dxa"/>
            <w:vAlign w:val="center"/>
          </w:tcPr>
          <w:p w14:paraId="00744198">
            <w:pPr>
              <w:widowControl/>
              <w:rPr>
                <w:rFonts w:ascii="Arial" w:hAnsi="Arial" w:cs="Arial"/>
                <w:bCs/>
                <w:color w:val="auto"/>
                <w:szCs w:val="21"/>
                <w:highlight w:val="none"/>
              </w:rPr>
            </w:pPr>
            <w:r>
              <w:rPr>
                <w:rFonts w:hint="eastAsia" w:ascii="Arial" w:hAnsi="Arial" w:cs="Arial"/>
                <w:bCs/>
                <w:color w:val="auto"/>
                <w:szCs w:val="21"/>
                <w:highlight w:val="none"/>
              </w:rPr>
              <w:t>有无业绩及相关证明材料</w:t>
            </w:r>
          </w:p>
        </w:tc>
        <w:tc>
          <w:tcPr>
            <w:tcW w:w="737" w:type="dxa"/>
            <w:vAlign w:val="center"/>
          </w:tcPr>
          <w:p w14:paraId="07050F28">
            <w:pPr>
              <w:jc w:val="center"/>
              <w:rPr>
                <w:rFonts w:ascii="Arial" w:hAnsi="Arial" w:cs="Arial"/>
                <w:color w:val="auto"/>
                <w:szCs w:val="21"/>
                <w:highlight w:val="none"/>
              </w:rPr>
            </w:pPr>
            <w:r>
              <w:rPr>
                <w:rFonts w:hint="eastAsia" w:ascii="Arial" w:hAnsi="Arial" w:cs="Arial"/>
                <w:color w:val="auto"/>
                <w:szCs w:val="21"/>
                <w:highlight w:val="none"/>
              </w:rPr>
              <w:t>30</w:t>
            </w:r>
          </w:p>
        </w:tc>
        <w:tc>
          <w:tcPr>
            <w:tcW w:w="2154" w:type="dxa"/>
            <w:vAlign w:val="center"/>
          </w:tcPr>
          <w:p w14:paraId="68232814">
            <w:pPr>
              <w:spacing w:line="240" w:lineRule="atLeast"/>
              <w:rPr>
                <w:rFonts w:ascii="Arial" w:hAnsi="Arial" w:cs="Arial"/>
                <w:color w:val="auto"/>
                <w:szCs w:val="21"/>
                <w:highlight w:val="none"/>
              </w:rPr>
            </w:pPr>
            <w:r>
              <w:rPr>
                <w:rFonts w:hint="eastAsia" w:ascii="Arial" w:hAnsi="Arial" w:cs="Arial"/>
                <w:color w:val="auto"/>
                <w:szCs w:val="21"/>
                <w:highlight w:val="none"/>
              </w:rPr>
              <w:t>业绩少的得10分；业绩一般的得20分；业绩多的得30分。无业绩或无业绩证明材料的不得分。</w:t>
            </w:r>
          </w:p>
        </w:tc>
        <w:tc>
          <w:tcPr>
            <w:tcW w:w="2891" w:type="dxa"/>
            <w:tcBorders>
              <w:right w:val="single" w:color="auto" w:sz="4" w:space="0"/>
            </w:tcBorders>
            <w:vAlign w:val="center"/>
          </w:tcPr>
          <w:p w14:paraId="27C57599">
            <w:pPr>
              <w:spacing w:line="240" w:lineRule="atLeast"/>
              <w:rPr>
                <w:rFonts w:ascii="Arial" w:hAnsi="Arial" w:cs="Arial"/>
                <w:color w:val="auto"/>
                <w:szCs w:val="21"/>
                <w:highlight w:val="none"/>
              </w:rPr>
            </w:pPr>
            <w:r>
              <w:rPr>
                <w:rFonts w:hint="eastAsia" w:ascii="Arial" w:hAnsi="Arial" w:cs="Arial"/>
                <w:color w:val="auto"/>
                <w:szCs w:val="21"/>
                <w:highlight w:val="none"/>
              </w:rPr>
              <w:t>业绩资料：</w:t>
            </w:r>
          </w:p>
          <w:p w14:paraId="5D3D4725">
            <w:pPr>
              <w:spacing w:line="240" w:lineRule="atLeast"/>
              <w:rPr>
                <w:rFonts w:ascii="Arial" w:hAnsi="Arial"/>
                <w:color w:val="auto"/>
                <w:highlight w:val="none"/>
              </w:rPr>
            </w:pPr>
            <w:r>
              <w:rPr>
                <w:rFonts w:hint="eastAsia" w:ascii="Arial" w:hAnsi="Arial" w:cs="Arial"/>
                <w:color w:val="auto"/>
                <w:szCs w:val="21"/>
                <w:highlight w:val="none"/>
              </w:rPr>
              <w:t>很多</w:t>
            </w:r>
            <w:r>
              <w:rPr>
                <w:rFonts w:hint="eastAsia" w:ascii="Arial" w:hAnsi="Arial"/>
                <w:color w:val="auto"/>
                <w:highlight w:val="none"/>
              </w:rPr>
              <w:t xml:space="preserve">□    一般□  </w:t>
            </w:r>
          </w:p>
          <w:p w14:paraId="12DF4B1C">
            <w:pPr>
              <w:spacing w:line="240" w:lineRule="atLeast"/>
              <w:rPr>
                <w:rFonts w:ascii="Arial" w:hAnsi="Arial" w:cs="Arial"/>
                <w:color w:val="auto"/>
                <w:szCs w:val="21"/>
                <w:highlight w:val="none"/>
              </w:rPr>
            </w:pPr>
            <w:r>
              <w:rPr>
                <w:rFonts w:hint="eastAsia" w:ascii="Arial" w:hAnsi="Arial"/>
                <w:color w:val="auto"/>
                <w:highlight w:val="none"/>
              </w:rPr>
              <w:t>很少□      无□</w:t>
            </w:r>
          </w:p>
        </w:tc>
        <w:tc>
          <w:tcPr>
            <w:tcW w:w="793" w:type="dxa"/>
            <w:tcBorders>
              <w:left w:val="single" w:color="auto" w:sz="4" w:space="0"/>
            </w:tcBorders>
            <w:vAlign w:val="center"/>
          </w:tcPr>
          <w:p w14:paraId="1B511D88">
            <w:pPr>
              <w:spacing w:line="240" w:lineRule="atLeast"/>
              <w:rPr>
                <w:rFonts w:ascii="Arial" w:hAnsi="Arial" w:cs="Arial"/>
                <w:color w:val="auto"/>
                <w:szCs w:val="21"/>
                <w:highlight w:val="none"/>
              </w:rPr>
            </w:pPr>
          </w:p>
        </w:tc>
      </w:tr>
      <w:tr w14:paraId="7DCF7D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005" w:hRule="atLeast"/>
          <w:jc w:val="center"/>
        </w:trPr>
        <w:tc>
          <w:tcPr>
            <w:tcW w:w="555" w:type="dxa"/>
            <w:vAlign w:val="center"/>
          </w:tcPr>
          <w:p w14:paraId="5A519598">
            <w:pPr>
              <w:jc w:val="center"/>
              <w:rPr>
                <w:rFonts w:ascii="Arial" w:hAnsi="Arial" w:cs="Arial"/>
                <w:color w:val="auto"/>
                <w:szCs w:val="21"/>
                <w:highlight w:val="none"/>
              </w:rPr>
            </w:pPr>
            <w:r>
              <w:rPr>
                <w:rFonts w:ascii="Arial" w:hAnsi="Arial" w:cs="Arial"/>
                <w:color w:val="auto"/>
                <w:szCs w:val="21"/>
                <w:highlight w:val="none"/>
              </w:rPr>
              <w:t>4</w:t>
            </w:r>
          </w:p>
        </w:tc>
        <w:tc>
          <w:tcPr>
            <w:tcW w:w="1980" w:type="dxa"/>
            <w:vAlign w:val="center"/>
          </w:tcPr>
          <w:p w14:paraId="06E4DF95">
            <w:pPr>
              <w:widowControl/>
              <w:rPr>
                <w:rFonts w:ascii="Arial" w:hAnsi="Arial" w:cs="Arial"/>
                <w:bCs/>
                <w:color w:val="auto"/>
                <w:szCs w:val="21"/>
                <w:highlight w:val="none"/>
              </w:rPr>
            </w:pPr>
            <w:r>
              <w:rPr>
                <w:rFonts w:hint="eastAsia" w:ascii="Arial" w:hAnsi="Arial" w:cs="Arial"/>
                <w:bCs/>
                <w:color w:val="auto"/>
                <w:szCs w:val="21"/>
                <w:highlight w:val="none"/>
              </w:rPr>
              <w:t>与我单位或中建系统是否有合作经历</w:t>
            </w:r>
          </w:p>
        </w:tc>
        <w:tc>
          <w:tcPr>
            <w:tcW w:w="737" w:type="dxa"/>
            <w:vAlign w:val="center"/>
          </w:tcPr>
          <w:p w14:paraId="1562182B">
            <w:pPr>
              <w:jc w:val="center"/>
              <w:rPr>
                <w:rFonts w:ascii="Arial" w:hAnsi="Arial" w:cs="Arial"/>
                <w:color w:val="auto"/>
                <w:szCs w:val="21"/>
                <w:highlight w:val="none"/>
              </w:rPr>
            </w:pPr>
            <w:r>
              <w:rPr>
                <w:rFonts w:ascii="Arial" w:hAnsi="Arial" w:cs="Arial"/>
                <w:color w:val="auto"/>
                <w:szCs w:val="21"/>
                <w:highlight w:val="none"/>
              </w:rPr>
              <w:t>2</w:t>
            </w:r>
            <w:r>
              <w:rPr>
                <w:rFonts w:hint="eastAsia" w:ascii="Arial" w:hAnsi="Arial" w:cs="Arial"/>
                <w:color w:val="auto"/>
                <w:szCs w:val="21"/>
                <w:highlight w:val="none"/>
              </w:rPr>
              <w:t>0</w:t>
            </w:r>
          </w:p>
        </w:tc>
        <w:tc>
          <w:tcPr>
            <w:tcW w:w="2154" w:type="dxa"/>
            <w:vAlign w:val="center"/>
          </w:tcPr>
          <w:p w14:paraId="6F45F692">
            <w:pPr>
              <w:widowControl/>
              <w:rPr>
                <w:rFonts w:ascii="Arial" w:hAnsi="Arial" w:cs="Arial"/>
                <w:bCs/>
                <w:color w:val="auto"/>
                <w:szCs w:val="21"/>
                <w:highlight w:val="none"/>
              </w:rPr>
            </w:pPr>
            <w:r>
              <w:rPr>
                <w:rFonts w:hint="eastAsia" w:ascii="Arial" w:hAnsi="Arial" w:cs="Arial"/>
                <w:bCs/>
                <w:color w:val="auto"/>
                <w:szCs w:val="21"/>
                <w:highlight w:val="none"/>
              </w:rPr>
              <w:t>与我单位有合作经历的加5分；与中建系统其他单位有合作经历的加5分；合作次数&gt;</w:t>
            </w:r>
            <w:r>
              <w:rPr>
                <w:rFonts w:ascii="Arial" w:hAnsi="Arial" w:cs="Arial"/>
                <w:bCs/>
                <w:color w:val="auto"/>
                <w:szCs w:val="21"/>
                <w:highlight w:val="none"/>
              </w:rPr>
              <w:t>1</w:t>
            </w:r>
            <w:r>
              <w:rPr>
                <w:rFonts w:hint="eastAsia" w:ascii="Arial" w:hAnsi="Arial" w:cs="Arial"/>
                <w:bCs/>
                <w:color w:val="auto"/>
                <w:szCs w:val="21"/>
                <w:highlight w:val="none"/>
              </w:rPr>
              <w:t>次时，每增加一次加5分，两方面均有合作可同时加分。无合作的不加分。</w:t>
            </w:r>
          </w:p>
        </w:tc>
        <w:tc>
          <w:tcPr>
            <w:tcW w:w="2891" w:type="dxa"/>
            <w:tcBorders>
              <w:right w:val="single" w:color="auto" w:sz="4" w:space="0"/>
            </w:tcBorders>
            <w:vAlign w:val="center"/>
          </w:tcPr>
          <w:p w14:paraId="6A112DC8">
            <w:pPr>
              <w:spacing w:line="240" w:lineRule="atLeast"/>
              <w:rPr>
                <w:rFonts w:ascii="Arial" w:hAnsi="Arial" w:cs="Arial"/>
                <w:color w:val="auto"/>
                <w:szCs w:val="21"/>
                <w:highlight w:val="none"/>
              </w:rPr>
            </w:pPr>
            <w:r>
              <w:rPr>
                <w:rFonts w:hint="eastAsia" w:ascii="Arial" w:hAnsi="Arial" w:cs="Arial"/>
                <w:color w:val="auto"/>
                <w:szCs w:val="21"/>
                <w:highlight w:val="none"/>
              </w:rPr>
              <w:t>合作经历：</w:t>
            </w:r>
          </w:p>
          <w:p w14:paraId="30163D7B">
            <w:pPr>
              <w:spacing w:line="240" w:lineRule="atLeast"/>
              <w:rPr>
                <w:rFonts w:ascii="Arial" w:hAnsi="Arial"/>
                <w:color w:val="auto"/>
                <w:highlight w:val="none"/>
              </w:rPr>
            </w:pPr>
            <w:r>
              <w:rPr>
                <w:rFonts w:hint="eastAsia" w:ascii="Arial" w:hAnsi="Arial" w:cs="Arial"/>
                <w:color w:val="auto"/>
                <w:szCs w:val="21"/>
                <w:highlight w:val="none"/>
              </w:rPr>
              <w:t>与我单位：有</w:t>
            </w:r>
            <w:r>
              <w:rPr>
                <w:rFonts w:hint="eastAsia" w:ascii="Arial" w:hAnsi="Arial"/>
                <w:color w:val="auto"/>
                <w:highlight w:val="none"/>
              </w:rPr>
              <w:t>□  无□</w:t>
            </w:r>
          </w:p>
          <w:p w14:paraId="604159C5">
            <w:pPr>
              <w:spacing w:line="240" w:lineRule="atLeast"/>
              <w:rPr>
                <w:rFonts w:ascii="Arial" w:hAnsi="Arial" w:cs="Arial"/>
                <w:color w:val="auto"/>
                <w:szCs w:val="21"/>
                <w:highlight w:val="none"/>
              </w:rPr>
            </w:pPr>
            <w:r>
              <w:rPr>
                <w:rFonts w:hint="eastAsia" w:ascii="Arial" w:hAnsi="Arial"/>
                <w:color w:val="auto"/>
                <w:highlight w:val="none"/>
              </w:rPr>
              <w:t>与中建系统：</w:t>
            </w:r>
            <w:r>
              <w:rPr>
                <w:rFonts w:hint="eastAsia" w:ascii="Arial" w:hAnsi="Arial" w:cs="Arial"/>
                <w:color w:val="auto"/>
                <w:szCs w:val="21"/>
                <w:highlight w:val="none"/>
              </w:rPr>
              <w:t>有</w:t>
            </w:r>
            <w:r>
              <w:rPr>
                <w:rFonts w:hint="eastAsia" w:ascii="Arial" w:hAnsi="Arial"/>
                <w:color w:val="auto"/>
                <w:highlight w:val="none"/>
              </w:rPr>
              <w:t>□  无□</w:t>
            </w:r>
          </w:p>
        </w:tc>
        <w:tc>
          <w:tcPr>
            <w:tcW w:w="793" w:type="dxa"/>
            <w:tcBorders>
              <w:left w:val="single" w:color="auto" w:sz="4" w:space="0"/>
            </w:tcBorders>
            <w:vAlign w:val="center"/>
          </w:tcPr>
          <w:p w14:paraId="461DBC59">
            <w:pPr>
              <w:spacing w:line="240" w:lineRule="atLeast"/>
              <w:rPr>
                <w:rFonts w:ascii="Arial" w:hAnsi="Arial" w:cs="Arial"/>
                <w:color w:val="auto"/>
                <w:szCs w:val="21"/>
                <w:highlight w:val="none"/>
              </w:rPr>
            </w:pPr>
          </w:p>
        </w:tc>
      </w:tr>
      <w:tr w14:paraId="184C96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555" w:type="dxa"/>
            <w:vAlign w:val="center"/>
          </w:tcPr>
          <w:p w14:paraId="1C17D2F1">
            <w:pPr>
              <w:jc w:val="center"/>
              <w:rPr>
                <w:rFonts w:ascii="Arial" w:hAnsi="Arial" w:cs="Arial"/>
                <w:color w:val="auto"/>
                <w:szCs w:val="21"/>
                <w:highlight w:val="none"/>
              </w:rPr>
            </w:pPr>
            <w:r>
              <w:rPr>
                <w:rFonts w:hint="eastAsia" w:ascii="Arial" w:hAnsi="Arial" w:cs="Arial"/>
                <w:color w:val="auto"/>
                <w:szCs w:val="21"/>
                <w:highlight w:val="none"/>
              </w:rPr>
              <w:t>5</w:t>
            </w:r>
          </w:p>
        </w:tc>
        <w:tc>
          <w:tcPr>
            <w:tcW w:w="1980" w:type="dxa"/>
            <w:vAlign w:val="center"/>
          </w:tcPr>
          <w:p w14:paraId="59043733">
            <w:pPr>
              <w:rPr>
                <w:rFonts w:ascii="Arial" w:hAnsi="Arial" w:cs="Arial"/>
                <w:color w:val="auto"/>
                <w:szCs w:val="21"/>
                <w:highlight w:val="none"/>
              </w:rPr>
            </w:pPr>
            <w:r>
              <w:rPr>
                <w:rFonts w:hint="eastAsia" w:ascii="Arial" w:hAnsi="Arial" w:cs="Arial"/>
                <w:color w:val="auto"/>
                <w:szCs w:val="21"/>
                <w:highlight w:val="none"/>
              </w:rPr>
              <w:t>信誉是否良好</w:t>
            </w:r>
          </w:p>
        </w:tc>
        <w:tc>
          <w:tcPr>
            <w:tcW w:w="737" w:type="dxa"/>
            <w:vAlign w:val="center"/>
          </w:tcPr>
          <w:p w14:paraId="11C67C97">
            <w:pPr>
              <w:jc w:val="center"/>
              <w:rPr>
                <w:rFonts w:ascii="Arial" w:hAnsi="Arial" w:cs="Arial"/>
                <w:color w:val="auto"/>
                <w:szCs w:val="21"/>
                <w:highlight w:val="none"/>
              </w:rPr>
            </w:pPr>
            <w:r>
              <w:rPr>
                <w:rFonts w:ascii="Arial" w:hAnsi="Arial" w:cs="Arial"/>
                <w:color w:val="auto"/>
                <w:szCs w:val="21"/>
                <w:highlight w:val="none"/>
              </w:rPr>
              <w:t>2</w:t>
            </w:r>
            <w:r>
              <w:rPr>
                <w:rFonts w:hint="eastAsia" w:ascii="Arial" w:hAnsi="Arial" w:cs="Arial"/>
                <w:color w:val="auto"/>
                <w:szCs w:val="21"/>
                <w:highlight w:val="none"/>
              </w:rPr>
              <w:t>0</w:t>
            </w:r>
          </w:p>
        </w:tc>
        <w:tc>
          <w:tcPr>
            <w:tcW w:w="2154" w:type="dxa"/>
          </w:tcPr>
          <w:p w14:paraId="06A67743">
            <w:pPr>
              <w:autoSpaceDE w:val="0"/>
              <w:autoSpaceDN w:val="0"/>
              <w:spacing w:before="78" w:line="240" w:lineRule="atLeast"/>
              <w:ind w:right="-20"/>
              <w:rPr>
                <w:rFonts w:ascii="Arial" w:hAnsi="Arial"/>
                <w:color w:val="auto"/>
                <w:szCs w:val="21"/>
                <w:highlight w:val="none"/>
              </w:rPr>
            </w:pPr>
            <w:r>
              <w:rPr>
                <w:rFonts w:hint="eastAsia" w:ascii="Arial" w:hAnsi="Arial"/>
                <w:color w:val="auto"/>
                <w:szCs w:val="21"/>
                <w:highlight w:val="none"/>
              </w:rPr>
              <w:t>在上年度在中建系统内部评为优质分供商的得20分，在我单位信用评价等级中逐级减</w:t>
            </w:r>
            <w:r>
              <w:rPr>
                <w:rFonts w:ascii="Arial" w:hAnsi="Arial"/>
                <w:color w:val="auto"/>
                <w:szCs w:val="21"/>
                <w:highlight w:val="none"/>
              </w:rPr>
              <w:t>5</w:t>
            </w:r>
            <w:r>
              <w:rPr>
                <w:rFonts w:hint="eastAsia" w:ascii="Arial" w:hAnsi="Arial"/>
                <w:color w:val="auto"/>
                <w:szCs w:val="21"/>
                <w:highlight w:val="none"/>
              </w:rPr>
              <w:t>分（即</w:t>
            </w:r>
            <w:r>
              <w:rPr>
                <w:rFonts w:ascii="Arial" w:hAnsi="Arial"/>
                <w:color w:val="auto"/>
                <w:szCs w:val="21"/>
                <w:highlight w:val="none"/>
              </w:rPr>
              <w:t>AA</w:t>
            </w:r>
            <w:r>
              <w:rPr>
                <w:rFonts w:hint="eastAsia" w:ascii="Arial" w:hAnsi="Arial"/>
                <w:color w:val="auto"/>
                <w:szCs w:val="21"/>
                <w:highlight w:val="none"/>
              </w:rPr>
              <w:t>级得2</w:t>
            </w:r>
            <w:r>
              <w:rPr>
                <w:rFonts w:ascii="Arial" w:hAnsi="Arial"/>
                <w:color w:val="auto"/>
                <w:szCs w:val="21"/>
                <w:highlight w:val="none"/>
              </w:rPr>
              <w:t>0</w:t>
            </w:r>
            <w:r>
              <w:rPr>
                <w:rFonts w:hint="eastAsia" w:ascii="Arial" w:hAnsi="Arial"/>
                <w:color w:val="auto"/>
                <w:szCs w:val="21"/>
                <w:highlight w:val="none"/>
              </w:rPr>
              <w:t>分，</w:t>
            </w:r>
            <w:r>
              <w:rPr>
                <w:rFonts w:ascii="Arial" w:hAnsi="Arial"/>
                <w:color w:val="auto"/>
                <w:szCs w:val="21"/>
                <w:highlight w:val="none"/>
              </w:rPr>
              <w:t>C</w:t>
            </w:r>
            <w:r>
              <w:rPr>
                <w:rFonts w:hint="eastAsia" w:ascii="Arial" w:hAnsi="Arial"/>
                <w:color w:val="auto"/>
                <w:szCs w:val="21"/>
                <w:highlight w:val="none"/>
              </w:rPr>
              <w:t>级得5分），首次合作或其他情况得</w:t>
            </w:r>
            <w:r>
              <w:rPr>
                <w:rFonts w:ascii="Arial" w:hAnsi="Arial"/>
                <w:color w:val="auto"/>
                <w:szCs w:val="21"/>
                <w:highlight w:val="none"/>
              </w:rPr>
              <w:t>10</w:t>
            </w:r>
            <w:r>
              <w:rPr>
                <w:rFonts w:hint="eastAsia" w:ascii="Arial" w:hAnsi="Arial"/>
                <w:color w:val="auto"/>
                <w:szCs w:val="21"/>
                <w:highlight w:val="none"/>
              </w:rPr>
              <w:t>分。</w:t>
            </w:r>
          </w:p>
        </w:tc>
        <w:tc>
          <w:tcPr>
            <w:tcW w:w="2891" w:type="dxa"/>
            <w:tcBorders>
              <w:right w:val="single" w:color="auto" w:sz="4" w:space="0"/>
            </w:tcBorders>
            <w:vAlign w:val="center"/>
          </w:tcPr>
          <w:p w14:paraId="3B3A06FA">
            <w:pPr>
              <w:spacing w:line="240" w:lineRule="atLeast"/>
              <w:rPr>
                <w:rFonts w:ascii="Arial" w:hAnsi="Arial" w:cs="Arial"/>
                <w:color w:val="auto"/>
                <w:szCs w:val="21"/>
                <w:highlight w:val="none"/>
              </w:rPr>
            </w:pPr>
            <w:r>
              <w:rPr>
                <w:rFonts w:hint="eastAsia" w:ascii="Arial" w:hAnsi="Arial" w:cs="Arial"/>
                <w:color w:val="auto"/>
                <w:szCs w:val="21"/>
                <w:highlight w:val="none"/>
              </w:rPr>
              <w:t>信誉：</w:t>
            </w:r>
          </w:p>
          <w:p w14:paraId="3C2A8328">
            <w:pPr>
              <w:spacing w:line="240" w:lineRule="atLeast"/>
              <w:rPr>
                <w:rFonts w:ascii="Arial" w:hAnsi="Arial" w:cs="Arial"/>
                <w:b/>
                <w:color w:val="auto"/>
                <w:szCs w:val="21"/>
                <w:highlight w:val="none"/>
              </w:rPr>
            </w:pPr>
            <w:r>
              <w:rPr>
                <w:rFonts w:hint="eastAsia" w:ascii="Arial" w:hAnsi="Arial"/>
                <w:color w:val="auto"/>
                <w:highlight w:val="none"/>
              </w:rPr>
              <w:t>优质□   其他□</w:t>
            </w:r>
          </w:p>
        </w:tc>
        <w:tc>
          <w:tcPr>
            <w:tcW w:w="793" w:type="dxa"/>
            <w:tcBorders>
              <w:left w:val="single" w:color="auto" w:sz="4" w:space="0"/>
            </w:tcBorders>
            <w:vAlign w:val="center"/>
          </w:tcPr>
          <w:p w14:paraId="45F6634F">
            <w:pPr>
              <w:spacing w:line="240" w:lineRule="atLeast"/>
              <w:rPr>
                <w:rFonts w:ascii="Arial" w:hAnsi="Arial" w:cs="Arial"/>
                <w:color w:val="auto"/>
                <w:szCs w:val="21"/>
                <w:highlight w:val="none"/>
              </w:rPr>
            </w:pPr>
          </w:p>
        </w:tc>
      </w:tr>
      <w:tr w14:paraId="429971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20" w:hRule="atLeast"/>
          <w:jc w:val="center"/>
        </w:trPr>
        <w:tc>
          <w:tcPr>
            <w:tcW w:w="555" w:type="dxa"/>
            <w:vAlign w:val="center"/>
          </w:tcPr>
          <w:p w14:paraId="4D238911">
            <w:pPr>
              <w:jc w:val="center"/>
              <w:rPr>
                <w:rFonts w:ascii="Arial" w:hAnsi="Arial" w:cs="Arial"/>
                <w:color w:val="auto"/>
                <w:szCs w:val="21"/>
                <w:highlight w:val="none"/>
              </w:rPr>
            </w:pPr>
            <w:r>
              <w:rPr>
                <w:rFonts w:hint="eastAsia" w:ascii="Arial" w:hAnsi="Arial" w:cs="Arial"/>
                <w:color w:val="auto"/>
                <w:szCs w:val="21"/>
                <w:highlight w:val="none"/>
              </w:rPr>
              <w:t>6</w:t>
            </w:r>
          </w:p>
        </w:tc>
        <w:tc>
          <w:tcPr>
            <w:tcW w:w="1980" w:type="dxa"/>
            <w:vAlign w:val="center"/>
          </w:tcPr>
          <w:p w14:paraId="674E2FCF">
            <w:pPr>
              <w:rPr>
                <w:rFonts w:ascii="Arial" w:hAnsi="Arial" w:cs="Arial"/>
                <w:color w:val="auto"/>
                <w:szCs w:val="21"/>
                <w:highlight w:val="none"/>
              </w:rPr>
            </w:pPr>
            <w:r>
              <w:rPr>
                <w:rFonts w:hint="eastAsia" w:ascii="Arial" w:hAnsi="Arial" w:cs="Arial"/>
                <w:color w:val="auto"/>
                <w:szCs w:val="21"/>
                <w:highlight w:val="none"/>
              </w:rPr>
              <w:t>垫资能力及其他优惠条件</w:t>
            </w:r>
          </w:p>
        </w:tc>
        <w:tc>
          <w:tcPr>
            <w:tcW w:w="737" w:type="dxa"/>
            <w:vAlign w:val="center"/>
          </w:tcPr>
          <w:p w14:paraId="3D8D01D9">
            <w:pPr>
              <w:jc w:val="center"/>
              <w:rPr>
                <w:rFonts w:ascii="Arial" w:hAnsi="Arial" w:cs="Arial"/>
                <w:color w:val="auto"/>
                <w:szCs w:val="21"/>
                <w:highlight w:val="none"/>
              </w:rPr>
            </w:pPr>
            <w:r>
              <w:rPr>
                <w:rFonts w:hint="eastAsia" w:ascii="Arial" w:hAnsi="Arial" w:cs="Arial"/>
                <w:color w:val="auto"/>
                <w:szCs w:val="21"/>
                <w:highlight w:val="none"/>
              </w:rPr>
              <w:t>加分项</w:t>
            </w:r>
          </w:p>
        </w:tc>
        <w:tc>
          <w:tcPr>
            <w:tcW w:w="2154" w:type="dxa"/>
          </w:tcPr>
          <w:p w14:paraId="658CC004">
            <w:pPr>
              <w:autoSpaceDE w:val="0"/>
              <w:autoSpaceDN w:val="0"/>
              <w:spacing w:before="78" w:line="240" w:lineRule="atLeast"/>
              <w:ind w:right="-20"/>
              <w:rPr>
                <w:rFonts w:ascii="Arial" w:hAnsi="Arial"/>
                <w:color w:val="auto"/>
                <w:szCs w:val="21"/>
                <w:highlight w:val="none"/>
              </w:rPr>
            </w:pPr>
            <w:r>
              <w:rPr>
                <w:rFonts w:hint="eastAsia" w:ascii="Arial" w:hAnsi="Arial"/>
                <w:color w:val="auto"/>
                <w:szCs w:val="21"/>
                <w:highlight w:val="none"/>
              </w:rPr>
              <w:t>根据响应单位提供的承诺给与一定的加分，上限20分（百分制）</w:t>
            </w:r>
          </w:p>
        </w:tc>
        <w:tc>
          <w:tcPr>
            <w:tcW w:w="2891" w:type="dxa"/>
            <w:tcBorders>
              <w:right w:val="single" w:color="auto" w:sz="4" w:space="0"/>
            </w:tcBorders>
            <w:vAlign w:val="center"/>
          </w:tcPr>
          <w:p w14:paraId="63AF3FA7">
            <w:pPr>
              <w:spacing w:line="240" w:lineRule="atLeast"/>
              <w:rPr>
                <w:rFonts w:ascii="Arial" w:hAnsi="Arial"/>
                <w:color w:val="auto"/>
                <w:highlight w:val="none"/>
              </w:rPr>
            </w:pPr>
          </w:p>
        </w:tc>
        <w:tc>
          <w:tcPr>
            <w:tcW w:w="793" w:type="dxa"/>
            <w:tcBorders>
              <w:left w:val="single" w:color="auto" w:sz="4" w:space="0"/>
            </w:tcBorders>
            <w:vAlign w:val="center"/>
          </w:tcPr>
          <w:p w14:paraId="5529E094">
            <w:pPr>
              <w:jc w:val="center"/>
              <w:rPr>
                <w:rFonts w:ascii="Arial" w:hAnsi="Arial" w:cs="Arial"/>
                <w:color w:val="auto"/>
                <w:szCs w:val="21"/>
                <w:highlight w:val="none"/>
              </w:rPr>
            </w:pPr>
          </w:p>
        </w:tc>
      </w:tr>
      <w:tr w14:paraId="621CA5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33" w:hRule="atLeast"/>
          <w:jc w:val="center"/>
        </w:trPr>
        <w:tc>
          <w:tcPr>
            <w:tcW w:w="5426" w:type="dxa"/>
            <w:gridSpan w:val="4"/>
            <w:vAlign w:val="center"/>
          </w:tcPr>
          <w:p w14:paraId="13AC8586">
            <w:pPr>
              <w:jc w:val="center"/>
              <w:rPr>
                <w:rFonts w:ascii="Arial" w:hAnsi="Arial" w:cs="宋体"/>
                <w:color w:val="auto"/>
                <w:szCs w:val="21"/>
                <w:highlight w:val="none"/>
              </w:rPr>
            </w:pPr>
            <w:r>
              <w:rPr>
                <w:rFonts w:hint="eastAsia" w:ascii="Arial" w:hAnsi="Arial" w:cs="Arial"/>
                <w:color w:val="auto"/>
                <w:szCs w:val="21"/>
                <w:highlight w:val="none"/>
              </w:rPr>
              <w:t>合 计（100）</w:t>
            </w:r>
          </w:p>
        </w:tc>
        <w:tc>
          <w:tcPr>
            <w:tcW w:w="3684" w:type="dxa"/>
            <w:gridSpan w:val="2"/>
            <w:vAlign w:val="center"/>
          </w:tcPr>
          <w:p w14:paraId="5C8B2BD0">
            <w:pPr>
              <w:rPr>
                <w:rFonts w:ascii="Arial" w:hAnsi="Arial" w:cs="Arial"/>
                <w:bCs/>
                <w:color w:val="auto"/>
                <w:szCs w:val="21"/>
                <w:highlight w:val="none"/>
              </w:rPr>
            </w:pPr>
          </w:p>
        </w:tc>
      </w:tr>
    </w:tbl>
    <w:p w14:paraId="7FF2D40D">
      <w:pPr>
        <w:spacing w:line="360" w:lineRule="auto"/>
        <w:rPr>
          <w:rFonts w:hint="eastAsia" w:hAnsi="宋体"/>
          <w:color w:val="auto"/>
          <w:sz w:val="24"/>
          <w:highlight w:val="none"/>
        </w:rPr>
      </w:pPr>
      <w:r>
        <w:rPr>
          <w:rFonts w:hAnsi="宋体"/>
          <w:color w:val="auto"/>
          <w:sz w:val="24"/>
          <w:highlight w:val="none"/>
        </w:rPr>
        <w:t>附表</w:t>
      </w:r>
      <w:r>
        <w:rPr>
          <w:rFonts w:hint="eastAsia" w:hAnsi="宋体"/>
          <w:color w:val="auto"/>
          <w:sz w:val="24"/>
          <w:highlight w:val="none"/>
        </w:rPr>
        <w:t>2</w:t>
      </w:r>
    </w:p>
    <w:p w14:paraId="21BDFBDF">
      <w:pPr>
        <w:jc w:val="center"/>
        <w:rPr>
          <w:rFonts w:hint="eastAsia" w:hAnsi="宋体"/>
          <w:b/>
          <w:color w:val="auto"/>
          <w:sz w:val="24"/>
          <w:highlight w:val="none"/>
        </w:rPr>
      </w:pPr>
      <w:r>
        <w:rPr>
          <w:rFonts w:hint="eastAsia" w:hAnsi="宋体"/>
          <w:b/>
          <w:color w:val="auto"/>
          <w:sz w:val="24"/>
          <w:highlight w:val="none"/>
        </w:rPr>
        <w:t>施工</w:t>
      </w:r>
      <w:r>
        <w:rPr>
          <w:rFonts w:hAnsi="宋体"/>
          <w:b/>
          <w:color w:val="auto"/>
          <w:sz w:val="24"/>
          <w:highlight w:val="none"/>
        </w:rPr>
        <w:t>技术</w:t>
      </w:r>
      <w:r>
        <w:rPr>
          <w:rFonts w:hint="eastAsia" w:hAnsi="宋体"/>
          <w:b/>
          <w:color w:val="auto"/>
          <w:sz w:val="24"/>
          <w:highlight w:val="none"/>
        </w:rPr>
        <w:t>方案</w:t>
      </w:r>
      <w:r>
        <w:rPr>
          <w:rFonts w:hAnsi="宋体"/>
          <w:b/>
          <w:color w:val="auto"/>
          <w:sz w:val="24"/>
          <w:highlight w:val="none"/>
        </w:rPr>
        <w:t>评分表</w:t>
      </w:r>
    </w:p>
    <w:p w14:paraId="10746B50">
      <w:pPr>
        <w:spacing w:line="360" w:lineRule="auto"/>
        <w:rPr>
          <w:color w:val="auto"/>
          <w:szCs w:val="21"/>
          <w:highlight w:val="none"/>
        </w:rPr>
      </w:pPr>
      <w:r>
        <w:rPr>
          <w:rFonts w:hint="eastAsia"/>
          <w:color w:val="auto"/>
          <w:szCs w:val="21"/>
          <w:highlight w:val="none"/>
        </w:rPr>
        <w:t>响应单位名称：</w:t>
      </w:r>
    </w:p>
    <w:tbl>
      <w:tblPr>
        <w:tblStyle w:val="31"/>
        <w:tblW w:w="9553"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72"/>
        <w:gridCol w:w="1593"/>
        <w:gridCol w:w="871"/>
        <w:gridCol w:w="4068"/>
        <w:gridCol w:w="1110"/>
        <w:gridCol w:w="1139"/>
      </w:tblGrid>
      <w:tr w14:paraId="0D42F3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772" w:type="dxa"/>
            <w:vMerge w:val="restart"/>
            <w:vAlign w:val="center"/>
          </w:tcPr>
          <w:p w14:paraId="5D45929C">
            <w:pPr>
              <w:jc w:val="center"/>
              <w:rPr>
                <w:rFonts w:ascii="Arial" w:hAnsi="Arial" w:cs="Arial"/>
                <w:b/>
                <w:color w:val="auto"/>
                <w:szCs w:val="21"/>
                <w:highlight w:val="none"/>
              </w:rPr>
            </w:pPr>
            <w:r>
              <w:rPr>
                <w:rFonts w:ascii="Arial" w:hAnsi="Arial" w:cs="Arial"/>
                <w:b/>
                <w:color w:val="auto"/>
                <w:szCs w:val="21"/>
                <w:highlight w:val="none"/>
              </w:rPr>
              <w:t>序号</w:t>
            </w:r>
          </w:p>
        </w:tc>
        <w:tc>
          <w:tcPr>
            <w:tcW w:w="1593" w:type="dxa"/>
            <w:vMerge w:val="restart"/>
            <w:vAlign w:val="center"/>
          </w:tcPr>
          <w:p w14:paraId="51164D80">
            <w:pPr>
              <w:jc w:val="center"/>
              <w:rPr>
                <w:rFonts w:ascii="Arial" w:hAnsi="Arial" w:cs="Arial"/>
                <w:b/>
                <w:color w:val="auto"/>
                <w:szCs w:val="21"/>
                <w:highlight w:val="none"/>
              </w:rPr>
            </w:pPr>
            <w:r>
              <w:rPr>
                <w:rFonts w:ascii="Arial" w:hAnsi="Arial" w:cs="Arial"/>
                <w:b/>
                <w:color w:val="auto"/>
                <w:szCs w:val="21"/>
                <w:highlight w:val="none"/>
              </w:rPr>
              <w:t>评分项目</w:t>
            </w:r>
          </w:p>
        </w:tc>
        <w:tc>
          <w:tcPr>
            <w:tcW w:w="871" w:type="dxa"/>
            <w:vMerge w:val="restart"/>
            <w:vAlign w:val="center"/>
          </w:tcPr>
          <w:p w14:paraId="5FA817BE">
            <w:pPr>
              <w:jc w:val="center"/>
              <w:rPr>
                <w:rFonts w:ascii="Arial" w:hAnsi="Arial" w:cs="Arial"/>
                <w:b/>
                <w:color w:val="auto"/>
                <w:szCs w:val="21"/>
                <w:highlight w:val="none"/>
              </w:rPr>
            </w:pPr>
            <w:r>
              <w:rPr>
                <w:rFonts w:hint="eastAsia" w:ascii="Arial" w:hAnsi="Arial" w:cs="Arial"/>
                <w:b/>
                <w:color w:val="auto"/>
                <w:szCs w:val="21"/>
                <w:highlight w:val="none"/>
              </w:rPr>
              <w:t>满</w:t>
            </w:r>
            <w:r>
              <w:rPr>
                <w:rFonts w:ascii="Arial" w:hAnsi="Arial" w:cs="Arial"/>
                <w:b/>
                <w:color w:val="auto"/>
                <w:szCs w:val="21"/>
                <w:highlight w:val="none"/>
              </w:rPr>
              <w:t>分</w:t>
            </w:r>
          </w:p>
        </w:tc>
        <w:tc>
          <w:tcPr>
            <w:tcW w:w="4068" w:type="dxa"/>
            <w:vMerge w:val="restart"/>
            <w:vAlign w:val="center"/>
          </w:tcPr>
          <w:p w14:paraId="4EA3B19C">
            <w:pPr>
              <w:jc w:val="center"/>
              <w:rPr>
                <w:rFonts w:ascii="Arial" w:hAnsi="Arial" w:cs="Arial"/>
                <w:b/>
                <w:color w:val="auto"/>
                <w:szCs w:val="21"/>
                <w:highlight w:val="none"/>
              </w:rPr>
            </w:pPr>
            <w:r>
              <w:rPr>
                <w:rFonts w:ascii="Arial" w:hAnsi="Arial" w:cs="Arial"/>
                <w:b/>
                <w:color w:val="auto"/>
                <w:szCs w:val="21"/>
                <w:highlight w:val="none"/>
              </w:rPr>
              <w:t>评分标准</w:t>
            </w:r>
          </w:p>
        </w:tc>
        <w:tc>
          <w:tcPr>
            <w:tcW w:w="1110" w:type="dxa"/>
            <w:vMerge w:val="restart"/>
            <w:tcBorders>
              <w:right w:val="single" w:color="auto" w:sz="4" w:space="0"/>
            </w:tcBorders>
            <w:vAlign w:val="center"/>
          </w:tcPr>
          <w:p w14:paraId="78E1827D">
            <w:pPr>
              <w:jc w:val="center"/>
              <w:rPr>
                <w:rFonts w:ascii="Arial" w:hAnsi="Arial" w:cs="Arial"/>
                <w:b/>
                <w:color w:val="auto"/>
                <w:szCs w:val="21"/>
                <w:highlight w:val="none"/>
              </w:rPr>
            </w:pPr>
            <w:r>
              <w:rPr>
                <w:rFonts w:hint="eastAsia" w:ascii="Arial" w:hAnsi="Arial" w:cs="Arial"/>
                <w:b/>
                <w:color w:val="auto"/>
                <w:szCs w:val="21"/>
                <w:highlight w:val="none"/>
              </w:rPr>
              <w:t>选择分值</w:t>
            </w:r>
          </w:p>
        </w:tc>
        <w:tc>
          <w:tcPr>
            <w:tcW w:w="1139" w:type="dxa"/>
            <w:vMerge w:val="restart"/>
            <w:tcBorders>
              <w:left w:val="single" w:color="auto" w:sz="4" w:space="0"/>
            </w:tcBorders>
            <w:vAlign w:val="center"/>
          </w:tcPr>
          <w:p w14:paraId="7E57E6EC">
            <w:pPr>
              <w:jc w:val="center"/>
              <w:rPr>
                <w:rFonts w:ascii="Arial" w:hAnsi="Arial" w:cs="Arial"/>
                <w:b/>
                <w:color w:val="auto"/>
                <w:szCs w:val="21"/>
                <w:highlight w:val="none"/>
              </w:rPr>
            </w:pPr>
            <w:r>
              <w:rPr>
                <w:rFonts w:hint="eastAsia" w:ascii="Arial" w:hAnsi="Arial" w:cs="Arial"/>
                <w:b/>
                <w:color w:val="auto"/>
                <w:szCs w:val="21"/>
                <w:highlight w:val="none"/>
              </w:rPr>
              <w:t>得分</w:t>
            </w:r>
          </w:p>
        </w:tc>
      </w:tr>
      <w:tr w14:paraId="203230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41" w:hRule="atLeast"/>
          <w:tblHeader/>
          <w:jc w:val="center"/>
        </w:trPr>
        <w:tc>
          <w:tcPr>
            <w:tcW w:w="772" w:type="dxa"/>
            <w:vMerge w:val="continue"/>
            <w:vAlign w:val="center"/>
          </w:tcPr>
          <w:p w14:paraId="5C761B84">
            <w:pPr>
              <w:jc w:val="center"/>
              <w:rPr>
                <w:rFonts w:ascii="Arial" w:hAnsi="Arial" w:cs="Arial"/>
                <w:color w:val="auto"/>
                <w:szCs w:val="21"/>
                <w:highlight w:val="none"/>
              </w:rPr>
            </w:pPr>
          </w:p>
        </w:tc>
        <w:tc>
          <w:tcPr>
            <w:tcW w:w="1593" w:type="dxa"/>
            <w:vMerge w:val="continue"/>
            <w:vAlign w:val="center"/>
          </w:tcPr>
          <w:p w14:paraId="3A0A91B0">
            <w:pPr>
              <w:jc w:val="center"/>
              <w:rPr>
                <w:rFonts w:ascii="Arial" w:hAnsi="Arial" w:cs="Arial"/>
                <w:color w:val="auto"/>
                <w:szCs w:val="21"/>
                <w:highlight w:val="none"/>
              </w:rPr>
            </w:pPr>
          </w:p>
        </w:tc>
        <w:tc>
          <w:tcPr>
            <w:tcW w:w="871" w:type="dxa"/>
            <w:vMerge w:val="continue"/>
            <w:vAlign w:val="center"/>
          </w:tcPr>
          <w:p w14:paraId="4283D4A5">
            <w:pPr>
              <w:jc w:val="center"/>
              <w:rPr>
                <w:rFonts w:ascii="Arial" w:hAnsi="Arial" w:cs="Arial"/>
                <w:color w:val="auto"/>
                <w:szCs w:val="21"/>
                <w:highlight w:val="none"/>
              </w:rPr>
            </w:pPr>
          </w:p>
        </w:tc>
        <w:tc>
          <w:tcPr>
            <w:tcW w:w="4068" w:type="dxa"/>
            <w:vMerge w:val="continue"/>
            <w:vAlign w:val="center"/>
          </w:tcPr>
          <w:p w14:paraId="56819143">
            <w:pPr>
              <w:jc w:val="center"/>
              <w:rPr>
                <w:rFonts w:ascii="Arial" w:hAnsi="Arial" w:cs="Arial"/>
                <w:color w:val="auto"/>
                <w:szCs w:val="21"/>
                <w:highlight w:val="none"/>
              </w:rPr>
            </w:pPr>
          </w:p>
        </w:tc>
        <w:tc>
          <w:tcPr>
            <w:tcW w:w="1110" w:type="dxa"/>
            <w:vMerge w:val="continue"/>
            <w:tcBorders>
              <w:right w:val="single" w:color="auto" w:sz="4" w:space="0"/>
            </w:tcBorders>
            <w:vAlign w:val="center"/>
          </w:tcPr>
          <w:p w14:paraId="43AE9094">
            <w:pPr>
              <w:jc w:val="center"/>
              <w:rPr>
                <w:rFonts w:ascii="Arial" w:hAnsi="Arial" w:cs="Arial"/>
                <w:color w:val="auto"/>
                <w:szCs w:val="21"/>
                <w:highlight w:val="none"/>
              </w:rPr>
            </w:pPr>
          </w:p>
        </w:tc>
        <w:tc>
          <w:tcPr>
            <w:tcW w:w="1139" w:type="dxa"/>
            <w:vMerge w:val="continue"/>
            <w:tcBorders>
              <w:left w:val="single" w:color="auto" w:sz="4" w:space="0"/>
            </w:tcBorders>
            <w:vAlign w:val="center"/>
          </w:tcPr>
          <w:p w14:paraId="1AED646C">
            <w:pPr>
              <w:rPr>
                <w:rFonts w:ascii="Arial" w:hAnsi="Arial" w:cs="Arial"/>
                <w:color w:val="auto"/>
                <w:szCs w:val="21"/>
                <w:highlight w:val="none"/>
              </w:rPr>
            </w:pPr>
          </w:p>
        </w:tc>
      </w:tr>
      <w:tr w14:paraId="25C2C4B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40897FE0">
            <w:pPr>
              <w:jc w:val="center"/>
              <w:rPr>
                <w:rFonts w:ascii="Arial" w:hAnsi="Arial" w:cs="Arial"/>
                <w:color w:val="auto"/>
                <w:szCs w:val="21"/>
                <w:highlight w:val="none"/>
              </w:rPr>
            </w:pPr>
            <w:bookmarkStart w:id="1883" w:name="_Hlk240252769"/>
            <w:bookmarkStart w:id="1884" w:name="OLE_LINK1" w:colFirst="1" w:colLast="2"/>
            <w:bookmarkStart w:id="1885" w:name="OLE_LINK2" w:colFirst="1" w:colLast="2"/>
            <w:r>
              <w:rPr>
                <w:rFonts w:hint="eastAsia" w:ascii="Arial" w:hAnsi="Arial" w:cs="Arial"/>
                <w:color w:val="auto"/>
                <w:szCs w:val="21"/>
                <w:highlight w:val="none"/>
              </w:rPr>
              <w:t>1</w:t>
            </w:r>
          </w:p>
        </w:tc>
        <w:tc>
          <w:tcPr>
            <w:tcW w:w="1593" w:type="dxa"/>
            <w:vMerge w:val="restart"/>
            <w:vAlign w:val="center"/>
          </w:tcPr>
          <w:p w14:paraId="75FB9C4C">
            <w:pPr>
              <w:rPr>
                <w:rFonts w:ascii="Arial" w:hAnsi="Arial" w:cs="Arial"/>
                <w:bCs/>
                <w:color w:val="auto"/>
                <w:szCs w:val="21"/>
                <w:highlight w:val="none"/>
              </w:rPr>
            </w:pPr>
            <w:r>
              <w:rPr>
                <w:rFonts w:ascii="Arial" w:hAnsi="Arial" w:cs="Arial"/>
                <w:color w:val="auto"/>
                <w:szCs w:val="21"/>
                <w:highlight w:val="none"/>
              </w:rPr>
              <w:t>主要施工方案</w:t>
            </w:r>
            <w:r>
              <w:rPr>
                <w:rFonts w:hint="eastAsia" w:ascii="Arial" w:hAnsi="Arial" w:cs="Arial"/>
                <w:color w:val="auto"/>
                <w:szCs w:val="21"/>
                <w:highlight w:val="none"/>
              </w:rPr>
              <w:t>和技术措施</w:t>
            </w:r>
          </w:p>
        </w:tc>
        <w:tc>
          <w:tcPr>
            <w:tcW w:w="871" w:type="dxa"/>
            <w:vMerge w:val="restart"/>
            <w:vAlign w:val="center"/>
          </w:tcPr>
          <w:p w14:paraId="50A80D57">
            <w:pPr>
              <w:autoSpaceDE w:val="0"/>
              <w:autoSpaceDN w:val="0"/>
              <w:jc w:val="center"/>
              <w:rPr>
                <w:rFonts w:ascii="Arial" w:hAnsi="Arial"/>
                <w:color w:val="auto"/>
                <w:szCs w:val="21"/>
                <w:highlight w:val="none"/>
              </w:rPr>
            </w:pPr>
            <w:r>
              <w:rPr>
                <w:rFonts w:hint="eastAsia" w:ascii="Arial" w:hAnsi="Arial" w:cs="Arial"/>
                <w:color w:val="auto"/>
                <w:szCs w:val="21"/>
                <w:highlight w:val="none"/>
              </w:rPr>
              <w:t>20</w:t>
            </w:r>
          </w:p>
        </w:tc>
        <w:tc>
          <w:tcPr>
            <w:tcW w:w="4068" w:type="dxa"/>
            <w:vAlign w:val="center"/>
          </w:tcPr>
          <w:p w14:paraId="5A1494A7">
            <w:pPr>
              <w:rPr>
                <w:rFonts w:ascii="Arial" w:hAnsi="Arial" w:cs="Arial"/>
                <w:color w:val="auto"/>
                <w:szCs w:val="21"/>
                <w:highlight w:val="none"/>
              </w:rPr>
            </w:pPr>
            <w:r>
              <w:rPr>
                <w:rFonts w:hint="eastAsia" w:ascii="Arial" w:hAnsi="Arial" w:cs="Arial"/>
                <w:color w:val="auto"/>
                <w:szCs w:val="21"/>
                <w:highlight w:val="none"/>
              </w:rPr>
              <w:t>全面且针对性强，难点、重点把握准确，</w:t>
            </w:r>
            <w:r>
              <w:rPr>
                <w:rFonts w:ascii="Arial" w:hAnsi="Arial" w:cs="Arial"/>
                <w:color w:val="auto"/>
                <w:szCs w:val="21"/>
                <w:highlight w:val="none"/>
              </w:rPr>
              <w:t>措施</w:t>
            </w:r>
            <w:r>
              <w:rPr>
                <w:rFonts w:hint="eastAsia" w:ascii="Arial" w:hAnsi="Arial" w:cs="Arial"/>
                <w:color w:val="auto"/>
                <w:szCs w:val="21"/>
                <w:highlight w:val="none"/>
              </w:rPr>
              <w:t>先进、可靠实用</w:t>
            </w:r>
          </w:p>
        </w:tc>
        <w:tc>
          <w:tcPr>
            <w:tcW w:w="1110" w:type="dxa"/>
            <w:tcBorders>
              <w:right w:val="single" w:color="auto" w:sz="4" w:space="0"/>
            </w:tcBorders>
            <w:vAlign w:val="center"/>
          </w:tcPr>
          <w:p w14:paraId="6297A089">
            <w:pPr>
              <w:jc w:val="center"/>
              <w:rPr>
                <w:rFonts w:ascii="Arial" w:hAnsi="Arial" w:cs="Arial"/>
                <w:color w:val="auto"/>
                <w:szCs w:val="21"/>
                <w:highlight w:val="none"/>
              </w:rPr>
            </w:pPr>
            <w:r>
              <w:rPr>
                <w:rFonts w:hint="eastAsia" w:ascii="Arial" w:hAnsi="Arial" w:cs="Arial"/>
                <w:color w:val="auto"/>
                <w:szCs w:val="21"/>
                <w:highlight w:val="none"/>
              </w:rPr>
              <w:t>20</w:t>
            </w:r>
          </w:p>
        </w:tc>
        <w:tc>
          <w:tcPr>
            <w:tcW w:w="1139" w:type="dxa"/>
            <w:vMerge w:val="restart"/>
            <w:tcBorders>
              <w:left w:val="single" w:color="auto" w:sz="4" w:space="0"/>
            </w:tcBorders>
            <w:vAlign w:val="center"/>
          </w:tcPr>
          <w:p w14:paraId="6DF687C0">
            <w:pPr>
              <w:rPr>
                <w:rFonts w:ascii="Arial" w:hAnsi="Arial" w:cs="Arial"/>
                <w:color w:val="auto"/>
                <w:szCs w:val="21"/>
                <w:highlight w:val="none"/>
              </w:rPr>
            </w:pPr>
          </w:p>
        </w:tc>
      </w:tr>
      <w:tr w14:paraId="546B82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3C026765">
            <w:pPr>
              <w:widowControl/>
              <w:rPr>
                <w:rFonts w:ascii="Arial" w:hAnsi="Arial" w:cs="Arial"/>
                <w:color w:val="auto"/>
                <w:szCs w:val="21"/>
                <w:highlight w:val="none"/>
              </w:rPr>
            </w:pPr>
          </w:p>
        </w:tc>
        <w:tc>
          <w:tcPr>
            <w:tcW w:w="1593" w:type="dxa"/>
            <w:vMerge w:val="continue"/>
            <w:vAlign w:val="center"/>
          </w:tcPr>
          <w:p w14:paraId="43455446">
            <w:pPr>
              <w:widowControl/>
              <w:rPr>
                <w:rFonts w:ascii="Arial" w:hAnsi="Arial" w:cs="Arial"/>
                <w:color w:val="auto"/>
                <w:szCs w:val="21"/>
                <w:highlight w:val="none"/>
              </w:rPr>
            </w:pPr>
          </w:p>
        </w:tc>
        <w:tc>
          <w:tcPr>
            <w:tcW w:w="871" w:type="dxa"/>
            <w:vMerge w:val="continue"/>
          </w:tcPr>
          <w:p w14:paraId="55BEDF50">
            <w:pPr>
              <w:jc w:val="center"/>
              <w:rPr>
                <w:rFonts w:ascii="Arial" w:hAnsi="Arial" w:cs="Arial"/>
                <w:color w:val="auto"/>
                <w:szCs w:val="21"/>
                <w:highlight w:val="none"/>
              </w:rPr>
            </w:pPr>
          </w:p>
        </w:tc>
        <w:tc>
          <w:tcPr>
            <w:tcW w:w="4068" w:type="dxa"/>
            <w:vAlign w:val="center"/>
          </w:tcPr>
          <w:p w14:paraId="1689F0C2">
            <w:pPr>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较全面针对性较强，难点、重点把握较准确，</w:t>
            </w:r>
            <w:r>
              <w:rPr>
                <w:rFonts w:ascii="Arial" w:hAnsi="Arial" w:cs="Arial"/>
                <w:color w:val="auto"/>
                <w:szCs w:val="21"/>
                <w:highlight w:val="none"/>
              </w:rPr>
              <w:t>措施</w:t>
            </w:r>
            <w:r>
              <w:rPr>
                <w:rFonts w:hint="eastAsia" w:ascii="Arial" w:hAnsi="Arial" w:cs="Arial"/>
                <w:color w:val="auto"/>
                <w:szCs w:val="21"/>
                <w:highlight w:val="none"/>
              </w:rPr>
              <w:t>较先进、较可靠实用</w:t>
            </w:r>
          </w:p>
        </w:tc>
        <w:tc>
          <w:tcPr>
            <w:tcW w:w="1110" w:type="dxa"/>
            <w:tcBorders>
              <w:right w:val="single" w:color="auto" w:sz="4" w:space="0"/>
            </w:tcBorders>
            <w:vAlign w:val="center"/>
          </w:tcPr>
          <w:p w14:paraId="44E5FD25">
            <w:pPr>
              <w:jc w:val="center"/>
              <w:rPr>
                <w:rFonts w:ascii="Arial" w:hAnsi="Arial" w:cs="Arial"/>
                <w:color w:val="auto"/>
                <w:szCs w:val="21"/>
                <w:highlight w:val="none"/>
              </w:rPr>
            </w:pPr>
            <w:r>
              <w:rPr>
                <w:rFonts w:hint="eastAsia" w:ascii="Arial" w:hAnsi="Arial" w:cs="Arial"/>
                <w:color w:val="auto"/>
                <w:szCs w:val="21"/>
                <w:highlight w:val="none"/>
              </w:rPr>
              <w:t>15</w:t>
            </w:r>
          </w:p>
        </w:tc>
        <w:tc>
          <w:tcPr>
            <w:tcW w:w="1139" w:type="dxa"/>
            <w:vMerge w:val="continue"/>
            <w:tcBorders>
              <w:left w:val="single" w:color="auto" w:sz="4" w:space="0"/>
            </w:tcBorders>
            <w:vAlign w:val="center"/>
          </w:tcPr>
          <w:p w14:paraId="462D56E6">
            <w:pPr>
              <w:rPr>
                <w:rFonts w:ascii="Arial" w:hAnsi="Arial" w:cs="Arial"/>
                <w:color w:val="auto"/>
                <w:szCs w:val="21"/>
                <w:highlight w:val="none"/>
              </w:rPr>
            </w:pPr>
          </w:p>
        </w:tc>
      </w:tr>
      <w:bookmarkEnd w:id="1883"/>
      <w:bookmarkEnd w:id="1884"/>
      <w:bookmarkEnd w:id="1885"/>
      <w:tr w14:paraId="31F19A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3B8BBCD5">
            <w:pPr>
              <w:widowControl/>
              <w:rPr>
                <w:rFonts w:ascii="Arial" w:hAnsi="Arial" w:cs="Arial"/>
                <w:color w:val="auto"/>
                <w:szCs w:val="21"/>
                <w:highlight w:val="none"/>
              </w:rPr>
            </w:pPr>
          </w:p>
        </w:tc>
        <w:tc>
          <w:tcPr>
            <w:tcW w:w="1593" w:type="dxa"/>
            <w:vMerge w:val="continue"/>
            <w:vAlign w:val="center"/>
          </w:tcPr>
          <w:p w14:paraId="7AD80A52">
            <w:pPr>
              <w:widowControl/>
              <w:rPr>
                <w:rFonts w:ascii="Arial" w:hAnsi="Arial" w:cs="Arial"/>
                <w:color w:val="auto"/>
                <w:szCs w:val="21"/>
                <w:highlight w:val="none"/>
              </w:rPr>
            </w:pPr>
          </w:p>
        </w:tc>
        <w:tc>
          <w:tcPr>
            <w:tcW w:w="871" w:type="dxa"/>
            <w:vMerge w:val="continue"/>
          </w:tcPr>
          <w:p w14:paraId="4D10EEEA">
            <w:pPr>
              <w:jc w:val="center"/>
              <w:rPr>
                <w:rFonts w:ascii="Arial" w:hAnsi="Arial" w:cs="Arial"/>
                <w:color w:val="auto"/>
                <w:szCs w:val="21"/>
                <w:highlight w:val="none"/>
              </w:rPr>
            </w:pPr>
          </w:p>
        </w:tc>
        <w:tc>
          <w:tcPr>
            <w:tcW w:w="4068" w:type="dxa"/>
            <w:vAlign w:val="center"/>
          </w:tcPr>
          <w:p w14:paraId="1DAA5C0E">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针对性</w:t>
            </w:r>
            <w:r>
              <w:rPr>
                <w:rFonts w:ascii="Arial" w:hAnsi="Arial" w:cs="Arial"/>
                <w:color w:val="auto"/>
                <w:szCs w:val="21"/>
                <w:highlight w:val="none"/>
              </w:rPr>
              <w:t>一般</w:t>
            </w:r>
            <w:r>
              <w:rPr>
                <w:rFonts w:hint="eastAsia" w:ascii="Arial" w:hAnsi="Arial" w:cs="Arial"/>
                <w:color w:val="auto"/>
                <w:szCs w:val="21"/>
                <w:highlight w:val="none"/>
              </w:rPr>
              <w:t>，</w:t>
            </w:r>
            <w:r>
              <w:rPr>
                <w:rFonts w:ascii="Arial" w:hAnsi="Arial" w:cs="Arial"/>
                <w:color w:val="auto"/>
                <w:szCs w:val="21"/>
                <w:highlight w:val="none"/>
              </w:rPr>
              <w:t>技术措施</w:t>
            </w:r>
            <w:r>
              <w:rPr>
                <w:rFonts w:hint="eastAsia" w:ascii="Arial" w:hAnsi="Arial" w:cs="Arial"/>
                <w:color w:val="auto"/>
                <w:szCs w:val="21"/>
                <w:highlight w:val="none"/>
              </w:rPr>
              <w:t>可行</w:t>
            </w:r>
          </w:p>
        </w:tc>
        <w:tc>
          <w:tcPr>
            <w:tcW w:w="1110" w:type="dxa"/>
            <w:tcBorders>
              <w:right w:val="single" w:color="auto" w:sz="4" w:space="0"/>
            </w:tcBorders>
            <w:vAlign w:val="center"/>
          </w:tcPr>
          <w:p w14:paraId="2B9A3EC8">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10</w:t>
            </w:r>
          </w:p>
        </w:tc>
        <w:tc>
          <w:tcPr>
            <w:tcW w:w="1139" w:type="dxa"/>
            <w:vMerge w:val="continue"/>
            <w:tcBorders>
              <w:left w:val="single" w:color="auto" w:sz="4" w:space="0"/>
            </w:tcBorders>
            <w:vAlign w:val="center"/>
          </w:tcPr>
          <w:p w14:paraId="57675340">
            <w:pPr>
              <w:spacing w:line="240" w:lineRule="atLeast"/>
              <w:rPr>
                <w:rFonts w:ascii="Arial" w:hAnsi="Arial" w:cs="Arial"/>
                <w:color w:val="auto"/>
                <w:szCs w:val="21"/>
                <w:highlight w:val="none"/>
              </w:rPr>
            </w:pPr>
          </w:p>
        </w:tc>
      </w:tr>
      <w:tr w14:paraId="1474BE7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CCED73F">
            <w:pPr>
              <w:widowControl/>
              <w:rPr>
                <w:rFonts w:ascii="Arial" w:hAnsi="Arial" w:cs="Arial"/>
                <w:color w:val="auto"/>
                <w:szCs w:val="21"/>
                <w:highlight w:val="none"/>
              </w:rPr>
            </w:pPr>
          </w:p>
        </w:tc>
        <w:tc>
          <w:tcPr>
            <w:tcW w:w="1593" w:type="dxa"/>
            <w:vMerge w:val="continue"/>
            <w:vAlign w:val="center"/>
          </w:tcPr>
          <w:p w14:paraId="46243FE3">
            <w:pPr>
              <w:widowControl/>
              <w:rPr>
                <w:rFonts w:ascii="Arial" w:hAnsi="Arial" w:cs="Arial"/>
                <w:color w:val="auto"/>
                <w:szCs w:val="21"/>
                <w:highlight w:val="none"/>
              </w:rPr>
            </w:pPr>
          </w:p>
        </w:tc>
        <w:tc>
          <w:tcPr>
            <w:tcW w:w="871" w:type="dxa"/>
            <w:vMerge w:val="continue"/>
          </w:tcPr>
          <w:p w14:paraId="77B3C38C">
            <w:pPr>
              <w:jc w:val="center"/>
              <w:rPr>
                <w:rFonts w:ascii="Arial" w:hAnsi="Arial" w:cs="Arial"/>
                <w:color w:val="auto"/>
                <w:szCs w:val="21"/>
                <w:highlight w:val="none"/>
              </w:rPr>
            </w:pPr>
          </w:p>
        </w:tc>
        <w:tc>
          <w:tcPr>
            <w:tcW w:w="4068" w:type="dxa"/>
            <w:vAlign w:val="center"/>
          </w:tcPr>
          <w:p w14:paraId="4661DB21">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针对性不强，</w:t>
            </w:r>
            <w:r>
              <w:rPr>
                <w:rFonts w:ascii="Arial" w:hAnsi="Arial" w:cs="Arial"/>
                <w:color w:val="auto"/>
                <w:szCs w:val="21"/>
                <w:highlight w:val="none"/>
              </w:rPr>
              <w:t>技术措施</w:t>
            </w:r>
            <w:r>
              <w:rPr>
                <w:rFonts w:hint="eastAsia" w:ascii="Arial" w:hAnsi="Arial" w:cs="Arial"/>
                <w:color w:val="auto"/>
                <w:szCs w:val="21"/>
                <w:highlight w:val="none"/>
              </w:rPr>
              <w:t>较差</w:t>
            </w:r>
          </w:p>
        </w:tc>
        <w:tc>
          <w:tcPr>
            <w:tcW w:w="1110" w:type="dxa"/>
            <w:tcBorders>
              <w:right w:val="single" w:color="auto" w:sz="4" w:space="0"/>
            </w:tcBorders>
            <w:vAlign w:val="center"/>
          </w:tcPr>
          <w:p w14:paraId="332051D6">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5</w:t>
            </w:r>
          </w:p>
        </w:tc>
        <w:tc>
          <w:tcPr>
            <w:tcW w:w="1139" w:type="dxa"/>
            <w:vMerge w:val="continue"/>
            <w:tcBorders>
              <w:left w:val="single" w:color="auto" w:sz="4" w:space="0"/>
            </w:tcBorders>
            <w:vAlign w:val="center"/>
          </w:tcPr>
          <w:p w14:paraId="79F05834">
            <w:pPr>
              <w:spacing w:line="240" w:lineRule="atLeast"/>
              <w:rPr>
                <w:rFonts w:ascii="Arial" w:hAnsi="Arial" w:cs="Arial"/>
                <w:color w:val="auto"/>
                <w:szCs w:val="21"/>
                <w:highlight w:val="none"/>
              </w:rPr>
            </w:pPr>
          </w:p>
        </w:tc>
      </w:tr>
      <w:tr w14:paraId="444DC5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5DBB097B">
            <w:pPr>
              <w:jc w:val="center"/>
              <w:rPr>
                <w:rFonts w:ascii="Arial" w:hAnsi="Arial" w:cs="Arial"/>
                <w:color w:val="auto"/>
                <w:szCs w:val="21"/>
                <w:highlight w:val="none"/>
              </w:rPr>
            </w:pPr>
            <w:r>
              <w:rPr>
                <w:rFonts w:hint="eastAsia" w:ascii="Arial" w:hAnsi="Arial" w:cs="Arial"/>
                <w:color w:val="auto"/>
                <w:szCs w:val="21"/>
                <w:highlight w:val="none"/>
              </w:rPr>
              <w:t>2</w:t>
            </w:r>
          </w:p>
        </w:tc>
        <w:tc>
          <w:tcPr>
            <w:tcW w:w="1593" w:type="dxa"/>
            <w:vMerge w:val="restart"/>
            <w:vAlign w:val="center"/>
          </w:tcPr>
          <w:p w14:paraId="6B67AD5D">
            <w:pPr>
              <w:rPr>
                <w:rFonts w:ascii="Arial" w:hAnsi="Arial" w:cs="Arial"/>
                <w:bCs/>
                <w:color w:val="auto"/>
                <w:szCs w:val="21"/>
                <w:highlight w:val="none"/>
              </w:rPr>
            </w:pPr>
            <w:r>
              <w:rPr>
                <w:rFonts w:ascii="Arial" w:hAnsi="Arial" w:cs="Arial"/>
                <w:color w:val="auto"/>
                <w:szCs w:val="21"/>
                <w:highlight w:val="none"/>
              </w:rPr>
              <w:t>质量保证</w:t>
            </w:r>
            <w:r>
              <w:rPr>
                <w:rFonts w:hint="eastAsia" w:ascii="Arial" w:hAnsi="Arial" w:cs="Arial"/>
                <w:color w:val="auto"/>
                <w:szCs w:val="21"/>
                <w:highlight w:val="none"/>
              </w:rPr>
              <w:t>及</w:t>
            </w:r>
            <w:r>
              <w:rPr>
                <w:rFonts w:ascii="Arial" w:hAnsi="Arial" w:cs="Arial"/>
                <w:color w:val="auto"/>
                <w:szCs w:val="21"/>
                <w:highlight w:val="none"/>
              </w:rPr>
              <w:t>措施</w:t>
            </w:r>
          </w:p>
        </w:tc>
        <w:tc>
          <w:tcPr>
            <w:tcW w:w="871" w:type="dxa"/>
            <w:vMerge w:val="restart"/>
            <w:vAlign w:val="center"/>
          </w:tcPr>
          <w:p w14:paraId="0372C864">
            <w:pPr>
              <w:jc w:val="center"/>
              <w:rPr>
                <w:rFonts w:ascii="Arial" w:hAnsi="Arial" w:cs="Arial"/>
                <w:color w:val="auto"/>
                <w:szCs w:val="21"/>
                <w:highlight w:val="none"/>
              </w:rPr>
            </w:pPr>
            <w:r>
              <w:rPr>
                <w:rFonts w:hint="eastAsia" w:ascii="Arial" w:hAnsi="Arial" w:cs="Arial"/>
                <w:color w:val="auto"/>
                <w:szCs w:val="21"/>
                <w:highlight w:val="none"/>
              </w:rPr>
              <w:t>14</w:t>
            </w:r>
          </w:p>
        </w:tc>
        <w:tc>
          <w:tcPr>
            <w:tcW w:w="4068" w:type="dxa"/>
            <w:vAlign w:val="center"/>
          </w:tcPr>
          <w:p w14:paraId="657E64B1">
            <w:pPr>
              <w:spacing w:line="240" w:lineRule="atLeast"/>
              <w:rPr>
                <w:rFonts w:ascii="Arial" w:hAnsi="Arial" w:cs="Arial"/>
                <w:color w:val="auto"/>
                <w:szCs w:val="21"/>
                <w:highlight w:val="none"/>
              </w:rPr>
            </w:pPr>
            <w:r>
              <w:rPr>
                <w:rFonts w:ascii="Arial" w:hAnsi="Arial" w:cs="Arial"/>
                <w:color w:val="auto"/>
                <w:szCs w:val="21"/>
                <w:highlight w:val="none"/>
              </w:rPr>
              <w:t>措施</w:t>
            </w:r>
            <w:r>
              <w:rPr>
                <w:rFonts w:hint="eastAsia" w:ascii="Arial" w:hAnsi="Arial" w:cs="Arial"/>
                <w:color w:val="auto"/>
                <w:szCs w:val="21"/>
                <w:highlight w:val="none"/>
              </w:rPr>
              <w:t>合理，严谨周密、切实可行</w:t>
            </w:r>
          </w:p>
        </w:tc>
        <w:tc>
          <w:tcPr>
            <w:tcW w:w="1110" w:type="dxa"/>
            <w:tcBorders>
              <w:right w:val="single" w:color="auto" w:sz="4" w:space="0"/>
            </w:tcBorders>
            <w:vAlign w:val="center"/>
          </w:tcPr>
          <w:p w14:paraId="3CE9B544">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14</w:t>
            </w:r>
          </w:p>
        </w:tc>
        <w:tc>
          <w:tcPr>
            <w:tcW w:w="1139" w:type="dxa"/>
            <w:vMerge w:val="restart"/>
            <w:tcBorders>
              <w:left w:val="single" w:color="auto" w:sz="4" w:space="0"/>
            </w:tcBorders>
            <w:vAlign w:val="center"/>
          </w:tcPr>
          <w:p w14:paraId="6CDBB8CF">
            <w:pPr>
              <w:spacing w:line="240" w:lineRule="atLeast"/>
              <w:rPr>
                <w:rFonts w:ascii="Arial" w:hAnsi="Arial" w:cs="Arial"/>
                <w:color w:val="auto"/>
                <w:szCs w:val="21"/>
                <w:highlight w:val="none"/>
              </w:rPr>
            </w:pPr>
          </w:p>
        </w:tc>
      </w:tr>
      <w:tr w14:paraId="32E233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69E9357">
            <w:pPr>
              <w:jc w:val="center"/>
              <w:rPr>
                <w:rFonts w:ascii="Arial" w:hAnsi="Arial" w:cs="Arial"/>
                <w:color w:val="auto"/>
                <w:szCs w:val="21"/>
                <w:highlight w:val="none"/>
              </w:rPr>
            </w:pPr>
          </w:p>
        </w:tc>
        <w:tc>
          <w:tcPr>
            <w:tcW w:w="1593" w:type="dxa"/>
            <w:vMerge w:val="continue"/>
            <w:vAlign w:val="center"/>
          </w:tcPr>
          <w:p w14:paraId="3C877AA0">
            <w:pPr>
              <w:rPr>
                <w:rFonts w:ascii="Arial" w:hAnsi="Arial" w:cs="Arial"/>
                <w:bCs/>
                <w:color w:val="auto"/>
                <w:szCs w:val="21"/>
                <w:highlight w:val="none"/>
              </w:rPr>
            </w:pPr>
          </w:p>
        </w:tc>
        <w:tc>
          <w:tcPr>
            <w:tcW w:w="871" w:type="dxa"/>
            <w:vMerge w:val="continue"/>
            <w:vAlign w:val="center"/>
          </w:tcPr>
          <w:p w14:paraId="34781615">
            <w:pPr>
              <w:jc w:val="center"/>
              <w:rPr>
                <w:rFonts w:ascii="Arial" w:hAnsi="Arial" w:cs="Arial"/>
                <w:color w:val="auto"/>
                <w:szCs w:val="21"/>
                <w:highlight w:val="none"/>
              </w:rPr>
            </w:pPr>
          </w:p>
        </w:tc>
        <w:tc>
          <w:tcPr>
            <w:tcW w:w="4068" w:type="dxa"/>
            <w:vAlign w:val="center"/>
          </w:tcPr>
          <w:p w14:paraId="7DF3E1D1">
            <w:pPr>
              <w:spacing w:line="240" w:lineRule="atLeast"/>
              <w:rPr>
                <w:rFonts w:ascii="Arial" w:hAnsi="Arial" w:cs="Arial"/>
                <w:color w:val="auto"/>
                <w:szCs w:val="21"/>
                <w:highlight w:val="none"/>
              </w:rPr>
            </w:pPr>
            <w:r>
              <w:rPr>
                <w:rFonts w:ascii="Arial" w:hAnsi="Arial" w:cs="Arial"/>
                <w:color w:val="auto"/>
                <w:szCs w:val="21"/>
                <w:highlight w:val="none"/>
              </w:rPr>
              <w:t>措施</w:t>
            </w:r>
            <w:r>
              <w:rPr>
                <w:rFonts w:hint="eastAsia" w:ascii="Arial" w:hAnsi="Arial" w:cs="Arial"/>
                <w:color w:val="auto"/>
                <w:szCs w:val="21"/>
                <w:highlight w:val="none"/>
              </w:rPr>
              <w:t>较合理，较严谨周密、切实可行</w:t>
            </w:r>
          </w:p>
        </w:tc>
        <w:tc>
          <w:tcPr>
            <w:tcW w:w="1110" w:type="dxa"/>
            <w:tcBorders>
              <w:right w:val="single" w:color="auto" w:sz="4" w:space="0"/>
            </w:tcBorders>
            <w:vAlign w:val="center"/>
          </w:tcPr>
          <w:p w14:paraId="102B05FD">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10</w:t>
            </w:r>
          </w:p>
        </w:tc>
        <w:tc>
          <w:tcPr>
            <w:tcW w:w="1139" w:type="dxa"/>
            <w:vMerge w:val="continue"/>
            <w:tcBorders>
              <w:left w:val="single" w:color="auto" w:sz="4" w:space="0"/>
            </w:tcBorders>
            <w:vAlign w:val="center"/>
          </w:tcPr>
          <w:p w14:paraId="5D918683">
            <w:pPr>
              <w:spacing w:line="240" w:lineRule="atLeast"/>
              <w:rPr>
                <w:rFonts w:ascii="Arial" w:hAnsi="Arial" w:cs="Arial"/>
                <w:color w:val="auto"/>
                <w:szCs w:val="21"/>
                <w:highlight w:val="none"/>
              </w:rPr>
            </w:pPr>
          </w:p>
        </w:tc>
      </w:tr>
      <w:tr w14:paraId="7DE8C39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AF18066">
            <w:pPr>
              <w:jc w:val="center"/>
              <w:rPr>
                <w:rFonts w:ascii="Arial" w:hAnsi="Arial" w:cs="Arial"/>
                <w:color w:val="auto"/>
                <w:szCs w:val="21"/>
                <w:highlight w:val="none"/>
              </w:rPr>
            </w:pPr>
          </w:p>
        </w:tc>
        <w:tc>
          <w:tcPr>
            <w:tcW w:w="1593" w:type="dxa"/>
            <w:vMerge w:val="continue"/>
            <w:vAlign w:val="center"/>
          </w:tcPr>
          <w:p w14:paraId="0DD79CD4">
            <w:pPr>
              <w:rPr>
                <w:rFonts w:ascii="Arial" w:hAnsi="Arial" w:cs="Arial"/>
                <w:bCs/>
                <w:color w:val="auto"/>
                <w:szCs w:val="21"/>
                <w:highlight w:val="none"/>
              </w:rPr>
            </w:pPr>
          </w:p>
        </w:tc>
        <w:tc>
          <w:tcPr>
            <w:tcW w:w="871" w:type="dxa"/>
            <w:vMerge w:val="continue"/>
            <w:vAlign w:val="center"/>
          </w:tcPr>
          <w:p w14:paraId="23A82757">
            <w:pPr>
              <w:jc w:val="center"/>
              <w:rPr>
                <w:rFonts w:ascii="Arial" w:hAnsi="Arial" w:cs="Arial"/>
                <w:color w:val="auto"/>
                <w:szCs w:val="21"/>
                <w:highlight w:val="none"/>
              </w:rPr>
            </w:pPr>
          </w:p>
        </w:tc>
        <w:tc>
          <w:tcPr>
            <w:tcW w:w="4068" w:type="dxa"/>
            <w:vAlign w:val="center"/>
          </w:tcPr>
          <w:p w14:paraId="04FA0289">
            <w:pPr>
              <w:spacing w:line="240" w:lineRule="atLeast"/>
              <w:rPr>
                <w:rFonts w:ascii="Arial" w:hAnsi="Arial" w:cs="Arial"/>
                <w:color w:val="auto"/>
                <w:szCs w:val="21"/>
                <w:highlight w:val="none"/>
              </w:rPr>
            </w:pPr>
            <w:r>
              <w:rPr>
                <w:rFonts w:ascii="Arial" w:hAnsi="Arial" w:cs="Arial"/>
                <w:color w:val="auto"/>
                <w:szCs w:val="21"/>
                <w:highlight w:val="none"/>
              </w:rPr>
              <w:t>措施</w:t>
            </w:r>
            <w:r>
              <w:rPr>
                <w:rFonts w:hint="eastAsia" w:ascii="Arial" w:hAnsi="Arial" w:cs="Arial"/>
                <w:color w:val="auto"/>
                <w:szCs w:val="21"/>
                <w:highlight w:val="none"/>
              </w:rPr>
              <w:t>一般，</w:t>
            </w:r>
            <w:r>
              <w:rPr>
                <w:rFonts w:ascii="Arial" w:hAnsi="Arial" w:cs="Arial"/>
                <w:color w:val="auto"/>
                <w:szCs w:val="21"/>
                <w:highlight w:val="none"/>
              </w:rPr>
              <w:t>计划</w:t>
            </w:r>
            <w:r>
              <w:rPr>
                <w:rFonts w:hint="eastAsia" w:ascii="Arial" w:hAnsi="Arial" w:cs="Arial"/>
                <w:color w:val="auto"/>
                <w:szCs w:val="21"/>
                <w:highlight w:val="none"/>
              </w:rPr>
              <w:t>可行</w:t>
            </w:r>
          </w:p>
        </w:tc>
        <w:tc>
          <w:tcPr>
            <w:tcW w:w="1110" w:type="dxa"/>
            <w:tcBorders>
              <w:right w:val="single" w:color="auto" w:sz="4" w:space="0"/>
            </w:tcBorders>
            <w:vAlign w:val="center"/>
          </w:tcPr>
          <w:p w14:paraId="063FF1A7">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6</w:t>
            </w:r>
          </w:p>
        </w:tc>
        <w:tc>
          <w:tcPr>
            <w:tcW w:w="1139" w:type="dxa"/>
            <w:vMerge w:val="continue"/>
            <w:tcBorders>
              <w:left w:val="single" w:color="auto" w:sz="4" w:space="0"/>
            </w:tcBorders>
            <w:vAlign w:val="center"/>
          </w:tcPr>
          <w:p w14:paraId="5E2649C4">
            <w:pPr>
              <w:spacing w:line="240" w:lineRule="atLeast"/>
              <w:rPr>
                <w:rFonts w:ascii="Arial" w:hAnsi="Arial" w:cs="Arial"/>
                <w:color w:val="auto"/>
                <w:szCs w:val="21"/>
                <w:highlight w:val="none"/>
              </w:rPr>
            </w:pPr>
          </w:p>
        </w:tc>
      </w:tr>
      <w:tr w14:paraId="7BB525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5A43419">
            <w:pPr>
              <w:jc w:val="center"/>
              <w:rPr>
                <w:rFonts w:ascii="Arial" w:hAnsi="Arial" w:cs="Arial"/>
                <w:color w:val="auto"/>
                <w:szCs w:val="21"/>
                <w:highlight w:val="none"/>
              </w:rPr>
            </w:pPr>
          </w:p>
        </w:tc>
        <w:tc>
          <w:tcPr>
            <w:tcW w:w="1593" w:type="dxa"/>
            <w:vMerge w:val="continue"/>
            <w:vAlign w:val="center"/>
          </w:tcPr>
          <w:p w14:paraId="676F7E6B">
            <w:pPr>
              <w:rPr>
                <w:rFonts w:ascii="Arial" w:hAnsi="Arial" w:cs="Arial"/>
                <w:color w:val="auto"/>
                <w:szCs w:val="21"/>
                <w:highlight w:val="none"/>
              </w:rPr>
            </w:pPr>
          </w:p>
        </w:tc>
        <w:tc>
          <w:tcPr>
            <w:tcW w:w="871" w:type="dxa"/>
            <w:vMerge w:val="continue"/>
            <w:vAlign w:val="center"/>
          </w:tcPr>
          <w:p w14:paraId="3B51B8D2">
            <w:pPr>
              <w:jc w:val="center"/>
              <w:rPr>
                <w:rFonts w:ascii="Arial" w:hAnsi="Arial" w:cs="Arial"/>
                <w:color w:val="auto"/>
                <w:szCs w:val="21"/>
                <w:highlight w:val="none"/>
              </w:rPr>
            </w:pPr>
          </w:p>
        </w:tc>
        <w:tc>
          <w:tcPr>
            <w:tcW w:w="4068" w:type="dxa"/>
            <w:vAlign w:val="center"/>
          </w:tcPr>
          <w:p w14:paraId="492C23FC">
            <w:pPr>
              <w:spacing w:line="240" w:lineRule="atLeast"/>
              <w:rPr>
                <w:rFonts w:ascii="Arial" w:hAnsi="Arial" w:cs="Arial"/>
                <w:color w:val="auto"/>
                <w:szCs w:val="21"/>
                <w:highlight w:val="none"/>
              </w:rPr>
            </w:pPr>
            <w:r>
              <w:rPr>
                <w:rFonts w:ascii="Arial" w:hAnsi="Arial" w:cs="Arial"/>
                <w:color w:val="auto"/>
                <w:szCs w:val="21"/>
                <w:highlight w:val="none"/>
              </w:rPr>
              <w:t>措施</w:t>
            </w:r>
            <w:r>
              <w:rPr>
                <w:rFonts w:hint="eastAsia" w:ascii="Arial" w:hAnsi="Arial" w:cs="Arial"/>
                <w:color w:val="auto"/>
                <w:szCs w:val="21"/>
                <w:highlight w:val="none"/>
              </w:rPr>
              <w:t>及</w:t>
            </w:r>
            <w:r>
              <w:rPr>
                <w:rFonts w:ascii="Arial" w:hAnsi="Arial" w:cs="Arial"/>
                <w:color w:val="auto"/>
                <w:szCs w:val="21"/>
                <w:highlight w:val="none"/>
              </w:rPr>
              <w:t>计划</w:t>
            </w:r>
            <w:r>
              <w:rPr>
                <w:rFonts w:hint="eastAsia" w:ascii="Arial" w:hAnsi="Arial" w:cs="Arial"/>
                <w:color w:val="auto"/>
                <w:szCs w:val="21"/>
                <w:highlight w:val="none"/>
              </w:rPr>
              <w:t>较差</w:t>
            </w:r>
          </w:p>
        </w:tc>
        <w:tc>
          <w:tcPr>
            <w:tcW w:w="1110" w:type="dxa"/>
            <w:tcBorders>
              <w:right w:val="single" w:color="auto" w:sz="4" w:space="0"/>
            </w:tcBorders>
            <w:vAlign w:val="center"/>
          </w:tcPr>
          <w:p w14:paraId="3D6D5044">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2</w:t>
            </w:r>
          </w:p>
        </w:tc>
        <w:tc>
          <w:tcPr>
            <w:tcW w:w="1139" w:type="dxa"/>
            <w:vMerge w:val="continue"/>
            <w:tcBorders>
              <w:left w:val="single" w:color="auto" w:sz="4" w:space="0"/>
            </w:tcBorders>
            <w:vAlign w:val="center"/>
          </w:tcPr>
          <w:p w14:paraId="25AD12C0">
            <w:pPr>
              <w:spacing w:line="240" w:lineRule="atLeast"/>
              <w:rPr>
                <w:rFonts w:ascii="Arial" w:hAnsi="Arial" w:cs="Arial"/>
                <w:color w:val="auto"/>
                <w:szCs w:val="21"/>
                <w:highlight w:val="none"/>
              </w:rPr>
            </w:pPr>
          </w:p>
        </w:tc>
      </w:tr>
      <w:tr w14:paraId="26EA7D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6F70FE61">
            <w:pPr>
              <w:jc w:val="center"/>
              <w:rPr>
                <w:rFonts w:ascii="Arial" w:hAnsi="Arial" w:cs="Arial"/>
                <w:color w:val="auto"/>
                <w:szCs w:val="21"/>
                <w:highlight w:val="none"/>
              </w:rPr>
            </w:pPr>
            <w:r>
              <w:rPr>
                <w:rFonts w:hint="eastAsia" w:ascii="Arial" w:hAnsi="Arial" w:cs="Arial"/>
                <w:color w:val="auto"/>
                <w:szCs w:val="21"/>
                <w:highlight w:val="none"/>
              </w:rPr>
              <w:t>3</w:t>
            </w:r>
          </w:p>
        </w:tc>
        <w:tc>
          <w:tcPr>
            <w:tcW w:w="1593" w:type="dxa"/>
            <w:vMerge w:val="restart"/>
            <w:vAlign w:val="center"/>
          </w:tcPr>
          <w:p w14:paraId="5CDBC34D">
            <w:pPr>
              <w:widowControl/>
              <w:rPr>
                <w:rFonts w:ascii="Arial" w:hAnsi="Arial" w:cs="Arial"/>
                <w:bCs/>
                <w:color w:val="auto"/>
                <w:szCs w:val="21"/>
                <w:highlight w:val="none"/>
              </w:rPr>
            </w:pPr>
            <w:r>
              <w:rPr>
                <w:rFonts w:ascii="Arial" w:hAnsi="Arial" w:cs="Arial"/>
                <w:color w:val="auto"/>
                <w:szCs w:val="21"/>
                <w:highlight w:val="none"/>
              </w:rPr>
              <w:t>进度计划及保障措施</w:t>
            </w:r>
            <w:r>
              <w:rPr>
                <w:rFonts w:hint="eastAsia" w:ascii="Arial" w:hAnsi="Arial" w:cs="Arial"/>
                <w:color w:val="auto"/>
                <w:szCs w:val="21"/>
                <w:highlight w:val="none"/>
              </w:rPr>
              <w:t>；劳动力计划及保证措施</w:t>
            </w:r>
          </w:p>
        </w:tc>
        <w:tc>
          <w:tcPr>
            <w:tcW w:w="871" w:type="dxa"/>
            <w:vMerge w:val="restart"/>
            <w:vAlign w:val="center"/>
          </w:tcPr>
          <w:p w14:paraId="75E048BF">
            <w:pPr>
              <w:jc w:val="center"/>
              <w:rPr>
                <w:rFonts w:ascii="Arial" w:hAnsi="Arial" w:cs="Arial"/>
                <w:color w:val="auto"/>
                <w:szCs w:val="21"/>
                <w:highlight w:val="none"/>
              </w:rPr>
            </w:pPr>
            <w:r>
              <w:rPr>
                <w:rFonts w:hint="eastAsia" w:ascii="Arial" w:hAnsi="Arial" w:cs="Arial"/>
                <w:color w:val="auto"/>
                <w:szCs w:val="21"/>
                <w:highlight w:val="none"/>
              </w:rPr>
              <w:t>14</w:t>
            </w:r>
          </w:p>
        </w:tc>
        <w:tc>
          <w:tcPr>
            <w:tcW w:w="4068" w:type="dxa"/>
            <w:vAlign w:val="center"/>
          </w:tcPr>
          <w:p w14:paraId="3853B72E">
            <w:pPr>
              <w:spacing w:line="240" w:lineRule="atLeast"/>
              <w:rPr>
                <w:rFonts w:ascii="Arial" w:hAnsi="Arial" w:cs="Arial"/>
                <w:color w:val="auto"/>
                <w:szCs w:val="21"/>
                <w:highlight w:val="none"/>
              </w:rPr>
            </w:pPr>
            <w:r>
              <w:rPr>
                <w:rFonts w:ascii="Arial" w:hAnsi="Arial" w:cs="Arial"/>
                <w:color w:val="auto"/>
                <w:szCs w:val="21"/>
                <w:highlight w:val="none"/>
              </w:rPr>
              <w:t>计划及保障措施</w:t>
            </w:r>
            <w:r>
              <w:rPr>
                <w:rFonts w:hint="eastAsia" w:ascii="Arial" w:hAnsi="Arial" w:cs="Arial"/>
                <w:color w:val="auto"/>
                <w:szCs w:val="21"/>
                <w:highlight w:val="none"/>
              </w:rPr>
              <w:t>合理</w:t>
            </w:r>
          </w:p>
        </w:tc>
        <w:tc>
          <w:tcPr>
            <w:tcW w:w="1110" w:type="dxa"/>
            <w:tcBorders>
              <w:right w:val="single" w:color="auto" w:sz="4" w:space="0"/>
            </w:tcBorders>
            <w:vAlign w:val="center"/>
          </w:tcPr>
          <w:p w14:paraId="7EA739D9">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14</w:t>
            </w:r>
          </w:p>
        </w:tc>
        <w:tc>
          <w:tcPr>
            <w:tcW w:w="1139" w:type="dxa"/>
            <w:vMerge w:val="restart"/>
            <w:tcBorders>
              <w:left w:val="single" w:color="auto" w:sz="4" w:space="0"/>
            </w:tcBorders>
            <w:vAlign w:val="center"/>
          </w:tcPr>
          <w:p w14:paraId="70632760">
            <w:pPr>
              <w:spacing w:line="240" w:lineRule="atLeast"/>
              <w:rPr>
                <w:rFonts w:ascii="Arial" w:hAnsi="Arial" w:cs="Arial"/>
                <w:color w:val="auto"/>
                <w:szCs w:val="21"/>
                <w:highlight w:val="none"/>
              </w:rPr>
            </w:pPr>
          </w:p>
        </w:tc>
      </w:tr>
      <w:tr w14:paraId="69F62C8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CD583FC">
            <w:pPr>
              <w:jc w:val="center"/>
              <w:rPr>
                <w:rFonts w:ascii="Arial" w:hAnsi="Arial" w:cs="Arial"/>
                <w:color w:val="auto"/>
                <w:szCs w:val="21"/>
                <w:highlight w:val="none"/>
              </w:rPr>
            </w:pPr>
          </w:p>
        </w:tc>
        <w:tc>
          <w:tcPr>
            <w:tcW w:w="1593" w:type="dxa"/>
            <w:vMerge w:val="continue"/>
            <w:vAlign w:val="center"/>
          </w:tcPr>
          <w:p w14:paraId="763516F0">
            <w:pPr>
              <w:widowControl/>
              <w:rPr>
                <w:rFonts w:ascii="Arial" w:hAnsi="Arial" w:cs="Arial"/>
                <w:color w:val="auto"/>
                <w:szCs w:val="21"/>
                <w:highlight w:val="none"/>
              </w:rPr>
            </w:pPr>
          </w:p>
        </w:tc>
        <w:tc>
          <w:tcPr>
            <w:tcW w:w="871" w:type="dxa"/>
            <w:vMerge w:val="continue"/>
            <w:vAlign w:val="center"/>
          </w:tcPr>
          <w:p w14:paraId="6DBDDE76">
            <w:pPr>
              <w:jc w:val="center"/>
              <w:rPr>
                <w:rFonts w:ascii="Arial" w:hAnsi="Arial" w:cs="Arial"/>
                <w:color w:val="auto"/>
                <w:szCs w:val="21"/>
                <w:highlight w:val="none"/>
              </w:rPr>
            </w:pPr>
          </w:p>
        </w:tc>
        <w:tc>
          <w:tcPr>
            <w:tcW w:w="4068" w:type="dxa"/>
            <w:vAlign w:val="center"/>
          </w:tcPr>
          <w:p w14:paraId="280C36A7">
            <w:pPr>
              <w:spacing w:line="240" w:lineRule="atLeast"/>
              <w:rPr>
                <w:rFonts w:ascii="Arial" w:hAnsi="Arial" w:cs="Arial"/>
                <w:color w:val="auto"/>
                <w:szCs w:val="21"/>
                <w:highlight w:val="none"/>
              </w:rPr>
            </w:pPr>
            <w:r>
              <w:rPr>
                <w:rFonts w:ascii="Arial" w:hAnsi="Arial" w:cs="Arial"/>
                <w:color w:val="auto"/>
                <w:szCs w:val="21"/>
                <w:highlight w:val="none"/>
              </w:rPr>
              <w:t>计划及保障措施</w:t>
            </w:r>
            <w:r>
              <w:rPr>
                <w:rFonts w:hint="eastAsia" w:ascii="Arial" w:hAnsi="Arial" w:cs="Arial"/>
                <w:color w:val="auto"/>
                <w:szCs w:val="21"/>
                <w:highlight w:val="none"/>
              </w:rPr>
              <w:t>较合理</w:t>
            </w:r>
          </w:p>
        </w:tc>
        <w:tc>
          <w:tcPr>
            <w:tcW w:w="1110" w:type="dxa"/>
            <w:tcBorders>
              <w:right w:val="single" w:color="auto" w:sz="4" w:space="0"/>
            </w:tcBorders>
            <w:vAlign w:val="center"/>
          </w:tcPr>
          <w:p w14:paraId="779959CA">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10</w:t>
            </w:r>
          </w:p>
        </w:tc>
        <w:tc>
          <w:tcPr>
            <w:tcW w:w="1139" w:type="dxa"/>
            <w:vMerge w:val="continue"/>
            <w:tcBorders>
              <w:left w:val="single" w:color="auto" w:sz="4" w:space="0"/>
            </w:tcBorders>
            <w:vAlign w:val="center"/>
          </w:tcPr>
          <w:p w14:paraId="51169244">
            <w:pPr>
              <w:spacing w:line="240" w:lineRule="atLeast"/>
              <w:rPr>
                <w:rFonts w:ascii="Arial" w:hAnsi="Arial" w:cs="Arial"/>
                <w:color w:val="auto"/>
                <w:szCs w:val="21"/>
                <w:highlight w:val="none"/>
              </w:rPr>
            </w:pPr>
          </w:p>
        </w:tc>
      </w:tr>
      <w:tr w14:paraId="578EE94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416C0C9">
            <w:pPr>
              <w:jc w:val="center"/>
              <w:rPr>
                <w:rFonts w:ascii="Arial" w:hAnsi="Arial" w:cs="Arial"/>
                <w:color w:val="auto"/>
                <w:szCs w:val="21"/>
                <w:highlight w:val="none"/>
              </w:rPr>
            </w:pPr>
          </w:p>
        </w:tc>
        <w:tc>
          <w:tcPr>
            <w:tcW w:w="1593" w:type="dxa"/>
            <w:vMerge w:val="continue"/>
            <w:vAlign w:val="center"/>
          </w:tcPr>
          <w:p w14:paraId="17EEAA07">
            <w:pPr>
              <w:widowControl/>
              <w:rPr>
                <w:rFonts w:ascii="Arial" w:hAnsi="Arial" w:cs="Arial"/>
                <w:color w:val="auto"/>
                <w:szCs w:val="21"/>
                <w:highlight w:val="none"/>
              </w:rPr>
            </w:pPr>
          </w:p>
        </w:tc>
        <w:tc>
          <w:tcPr>
            <w:tcW w:w="871" w:type="dxa"/>
            <w:vMerge w:val="continue"/>
            <w:vAlign w:val="center"/>
          </w:tcPr>
          <w:p w14:paraId="39FD7B33">
            <w:pPr>
              <w:jc w:val="center"/>
              <w:rPr>
                <w:rFonts w:ascii="Arial" w:hAnsi="Arial" w:cs="Arial"/>
                <w:color w:val="auto"/>
                <w:szCs w:val="21"/>
                <w:highlight w:val="none"/>
              </w:rPr>
            </w:pPr>
          </w:p>
        </w:tc>
        <w:tc>
          <w:tcPr>
            <w:tcW w:w="4068" w:type="dxa"/>
            <w:vAlign w:val="center"/>
          </w:tcPr>
          <w:p w14:paraId="4C6C3742">
            <w:pPr>
              <w:spacing w:line="240" w:lineRule="atLeast"/>
              <w:rPr>
                <w:rFonts w:ascii="Arial" w:hAnsi="Arial" w:cs="Arial"/>
                <w:color w:val="auto"/>
                <w:szCs w:val="21"/>
                <w:highlight w:val="none"/>
              </w:rPr>
            </w:pPr>
            <w:r>
              <w:rPr>
                <w:rFonts w:ascii="Arial" w:hAnsi="Arial" w:cs="Arial"/>
                <w:color w:val="auto"/>
                <w:szCs w:val="21"/>
                <w:highlight w:val="none"/>
              </w:rPr>
              <w:t>计划及保障措施</w:t>
            </w:r>
            <w:r>
              <w:rPr>
                <w:rFonts w:hint="eastAsia" w:ascii="Arial" w:hAnsi="Arial" w:cs="Arial"/>
                <w:color w:val="auto"/>
                <w:szCs w:val="21"/>
                <w:highlight w:val="none"/>
              </w:rPr>
              <w:t>一般</w:t>
            </w:r>
          </w:p>
        </w:tc>
        <w:tc>
          <w:tcPr>
            <w:tcW w:w="1110" w:type="dxa"/>
            <w:tcBorders>
              <w:right w:val="single" w:color="auto" w:sz="4" w:space="0"/>
            </w:tcBorders>
            <w:vAlign w:val="center"/>
          </w:tcPr>
          <w:p w14:paraId="6E90AFBF">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6</w:t>
            </w:r>
          </w:p>
        </w:tc>
        <w:tc>
          <w:tcPr>
            <w:tcW w:w="1139" w:type="dxa"/>
            <w:vMerge w:val="continue"/>
            <w:tcBorders>
              <w:left w:val="single" w:color="auto" w:sz="4" w:space="0"/>
            </w:tcBorders>
            <w:vAlign w:val="center"/>
          </w:tcPr>
          <w:p w14:paraId="3FB32B3F">
            <w:pPr>
              <w:spacing w:line="240" w:lineRule="atLeast"/>
              <w:rPr>
                <w:rFonts w:ascii="Arial" w:hAnsi="Arial" w:cs="Arial"/>
                <w:color w:val="auto"/>
                <w:szCs w:val="21"/>
                <w:highlight w:val="none"/>
              </w:rPr>
            </w:pPr>
          </w:p>
        </w:tc>
      </w:tr>
      <w:tr w14:paraId="75B4FB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0981705">
            <w:pPr>
              <w:widowControl/>
              <w:rPr>
                <w:rFonts w:ascii="Arial" w:hAnsi="Arial" w:cs="Arial"/>
                <w:color w:val="auto"/>
                <w:szCs w:val="21"/>
                <w:highlight w:val="none"/>
              </w:rPr>
            </w:pPr>
          </w:p>
        </w:tc>
        <w:tc>
          <w:tcPr>
            <w:tcW w:w="1593" w:type="dxa"/>
            <w:vMerge w:val="continue"/>
            <w:vAlign w:val="center"/>
          </w:tcPr>
          <w:p w14:paraId="05B7E693">
            <w:pPr>
              <w:widowControl/>
              <w:rPr>
                <w:rFonts w:ascii="Arial" w:hAnsi="Arial" w:cs="Arial"/>
                <w:color w:val="auto"/>
                <w:szCs w:val="21"/>
                <w:highlight w:val="none"/>
              </w:rPr>
            </w:pPr>
          </w:p>
        </w:tc>
        <w:tc>
          <w:tcPr>
            <w:tcW w:w="871" w:type="dxa"/>
            <w:vMerge w:val="continue"/>
            <w:vAlign w:val="center"/>
          </w:tcPr>
          <w:p w14:paraId="7B153B03">
            <w:pPr>
              <w:jc w:val="center"/>
              <w:rPr>
                <w:rFonts w:ascii="Arial" w:hAnsi="Arial" w:cs="Arial"/>
                <w:color w:val="auto"/>
                <w:szCs w:val="21"/>
                <w:highlight w:val="none"/>
              </w:rPr>
            </w:pPr>
          </w:p>
        </w:tc>
        <w:tc>
          <w:tcPr>
            <w:tcW w:w="4068" w:type="dxa"/>
            <w:vAlign w:val="center"/>
          </w:tcPr>
          <w:p w14:paraId="7885E955">
            <w:pPr>
              <w:spacing w:line="240" w:lineRule="atLeast"/>
              <w:rPr>
                <w:rFonts w:ascii="Arial" w:hAnsi="Arial" w:cs="Arial"/>
                <w:color w:val="auto"/>
                <w:szCs w:val="21"/>
                <w:highlight w:val="none"/>
              </w:rPr>
            </w:pPr>
            <w:r>
              <w:rPr>
                <w:rFonts w:ascii="Arial" w:hAnsi="Arial" w:cs="Arial"/>
                <w:color w:val="auto"/>
                <w:szCs w:val="21"/>
                <w:highlight w:val="none"/>
              </w:rPr>
              <w:t>计划及保障措施</w:t>
            </w:r>
            <w:r>
              <w:rPr>
                <w:rFonts w:hint="eastAsia" w:ascii="Arial" w:hAnsi="Arial" w:cs="Arial"/>
                <w:color w:val="auto"/>
                <w:szCs w:val="21"/>
                <w:highlight w:val="none"/>
              </w:rPr>
              <w:t>较差</w:t>
            </w:r>
          </w:p>
        </w:tc>
        <w:tc>
          <w:tcPr>
            <w:tcW w:w="1110" w:type="dxa"/>
            <w:tcBorders>
              <w:right w:val="single" w:color="auto" w:sz="4" w:space="0"/>
            </w:tcBorders>
            <w:vAlign w:val="center"/>
          </w:tcPr>
          <w:p w14:paraId="44555CD6">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2</w:t>
            </w:r>
          </w:p>
        </w:tc>
        <w:tc>
          <w:tcPr>
            <w:tcW w:w="1139" w:type="dxa"/>
            <w:vMerge w:val="continue"/>
            <w:tcBorders>
              <w:left w:val="single" w:color="auto" w:sz="4" w:space="0"/>
            </w:tcBorders>
            <w:vAlign w:val="center"/>
          </w:tcPr>
          <w:p w14:paraId="19D75A6E">
            <w:pPr>
              <w:spacing w:line="240" w:lineRule="atLeast"/>
              <w:rPr>
                <w:rFonts w:ascii="Arial" w:hAnsi="Arial" w:cs="Arial"/>
                <w:color w:val="auto"/>
                <w:szCs w:val="21"/>
                <w:highlight w:val="none"/>
              </w:rPr>
            </w:pPr>
          </w:p>
        </w:tc>
      </w:tr>
      <w:tr w14:paraId="445BF05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B3009B5">
            <w:pPr>
              <w:jc w:val="center"/>
              <w:rPr>
                <w:rFonts w:ascii="Arial" w:hAnsi="Arial" w:cs="Arial"/>
                <w:color w:val="auto"/>
                <w:szCs w:val="21"/>
                <w:highlight w:val="none"/>
              </w:rPr>
            </w:pPr>
            <w:r>
              <w:rPr>
                <w:rFonts w:ascii="Arial" w:hAnsi="Arial" w:cs="Arial"/>
                <w:color w:val="auto"/>
                <w:szCs w:val="21"/>
                <w:highlight w:val="none"/>
              </w:rPr>
              <w:t>4</w:t>
            </w:r>
          </w:p>
        </w:tc>
        <w:tc>
          <w:tcPr>
            <w:tcW w:w="1593" w:type="dxa"/>
            <w:vMerge w:val="restart"/>
            <w:vAlign w:val="center"/>
          </w:tcPr>
          <w:p w14:paraId="3CF1414A">
            <w:pPr>
              <w:widowControl/>
              <w:rPr>
                <w:rFonts w:ascii="Arial" w:hAnsi="Arial" w:cs="Arial"/>
                <w:bCs/>
                <w:color w:val="auto"/>
                <w:szCs w:val="21"/>
                <w:highlight w:val="none"/>
              </w:rPr>
            </w:pPr>
            <w:r>
              <w:rPr>
                <w:rFonts w:hint="eastAsia" w:ascii="Arial" w:hAnsi="Arial" w:cs="Arial"/>
                <w:bCs/>
                <w:color w:val="auto"/>
                <w:szCs w:val="21"/>
                <w:highlight w:val="none"/>
              </w:rPr>
              <w:t>机械设备配置及保障</w:t>
            </w:r>
          </w:p>
        </w:tc>
        <w:tc>
          <w:tcPr>
            <w:tcW w:w="871" w:type="dxa"/>
            <w:vMerge w:val="restart"/>
            <w:vAlign w:val="center"/>
          </w:tcPr>
          <w:p w14:paraId="0E629A3D">
            <w:pPr>
              <w:jc w:val="center"/>
              <w:rPr>
                <w:rFonts w:ascii="Arial" w:hAnsi="Arial" w:cs="Arial"/>
                <w:color w:val="auto"/>
                <w:szCs w:val="21"/>
                <w:highlight w:val="none"/>
              </w:rPr>
            </w:pPr>
            <w:r>
              <w:rPr>
                <w:rFonts w:hint="eastAsia" w:ascii="Arial" w:hAnsi="Arial" w:cs="Arial"/>
                <w:color w:val="auto"/>
                <w:szCs w:val="21"/>
                <w:highlight w:val="none"/>
              </w:rPr>
              <w:t>6</w:t>
            </w:r>
          </w:p>
        </w:tc>
        <w:tc>
          <w:tcPr>
            <w:tcW w:w="4068" w:type="dxa"/>
            <w:vAlign w:val="center"/>
          </w:tcPr>
          <w:p w14:paraId="77C3CE47">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合理，保障可靠</w:t>
            </w:r>
          </w:p>
        </w:tc>
        <w:tc>
          <w:tcPr>
            <w:tcW w:w="1110" w:type="dxa"/>
            <w:tcBorders>
              <w:right w:val="single" w:color="auto" w:sz="4" w:space="0"/>
            </w:tcBorders>
            <w:vAlign w:val="center"/>
          </w:tcPr>
          <w:p w14:paraId="2DCD7BDF">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6</w:t>
            </w:r>
          </w:p>
        </w:tc>
        <w:tc>
          <w:tcPr>
            <w:tcW w:w="1139" w:type="dxa"/>
            <w:vMerge w:val="restart"/>
            <w:tcBorders>
              <w:left w:val="single" w:color="auto" w:sz="4" w:space="0"/>
            </w:tcBorders>
            <w:vAlign w:val="center"/>
          </w:tcPr>
          <w:p w14:paraId="3F15DA13">
            <w:pPr>
              <w:spacing w:line="240" w:lineRule="atLeast"/>
              <w:rPr>
                <w:rFonts w:ascii="Arial" w:hAnsi="Arial" w:cs="Arial"/>
                <w:color w:val="auto"/>
                <w:szCs w:val="21"/>
                <w:highlight w:val="none"/>
              </w:rPr>
            </w:pPr>
          </w:p>
        </w:tc>
      </w:tr>
      <w:tr w14:paraId="13DA96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620AAA7">
            <w:pPr>
              <w:jc w:val="center"/>
              <w:rPr>
                <w:rFonts w:ascii="Arial" w:hAnsi="Arial" w:cs="Arial"/>
                <w:color w:val="auto"/>
                <w:szCs w:val="21"/>
                <w:highlight w:val="none"/>
              </w:rPr>
            </w:pPr>
          </w:p>
        </w:tc>
        <w:tc>
          <w:tcPr>
            <w:tcW w:w="1593" w:type="dxa"/>
            <w:vMerge w:val="continue"/>
            <w:vAlign w:val="center"/>
          </w:tcPr>
          <w:p w14:paraId="7E3F891A">
            <w:pPr>
              <w:rPr>
                <w:rFonts w:ascii="Arial" w:hAnsi="Arial" w:cs="Arial"/>
                <w:bCs/>
                <w:color w:val="auto"/>
                <w:szCs w:val="21"/>
                <w:highlight w:val="none"/>
              </w:rPr>
            </w:pPr>
          </w:p>
        </w:tc>
        <w:tc>
          <w:tcPr>
            <w:tcW w:w="871" w:type="dxa"/>
            <w:vMerge w:val="continue"/>
            <w:vAlign w:val="center"/>
          </w:tcPr>
          <w:p w14:paraId="667BB2BD">
            <w:pPr>
              <w:jc w:val="center"/>
              <w:rPr>
                <w:rFonts w:ascii="Arial" w:hAnsi="Arial" w:cs="Arial"/>
                <w:color w:val="auto"/>
                <w:szCs w:val="21"/>
                <w:highlight w:val="none"/>
              </w:rPr>
            </w:pPr>
          </w:p>
        </w:tc>
        <w:tc>
          <w:tcPr>
            <w:tcW w:w="4068" w:type="dxa"/>
            <w:vAlign w:val="center"/>
          </w:tcPr>
          <w:p w14:paraId="3284E616">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较合理，保障较可靠</w:t>
            </w:r>
          </w:p>
        </w:tc>
        <w:tc>
          <w:tcPr>
            <w:tcW w:w="1110" w:type="dxa"/>
            <w:tcBorders>
              <w:right w:val="single" w:color="auto" w:sz="4" w:space="0"/>
            </w:tcBorders>
            <w:vAlign w:val="center"/>
          </w:tcPr>
          <w:p w14:paraId="2F7BA346">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4</w:t>
            </w:r>
          </w:p>
        </w:tc>
        <w:tc>
          <w:tcPr>
            <w:tcW w:w="1139" w:type="dxa"/>
            <w:vMerge w:val="continue"/>
            <w:tcBorders>
              <w:left w:val="single" w:color="auto" w:sz="4" w:space="0"/>
            </w:tcBorders>
            <w:vAlign w:val="center"/>
          </w:tcPr>
          <w:p w14:paraId="353380A2">
            <w:pPr>
              <w:spacing w:line="240" w:lineRule="atLeast"/>
              <w:rPr>
                <w:rFonts w:ascii="Arial" w:hAnsi="Arial" w:cs="Arial"/>
                <w:color w:val="auto"/>
                <w:szCs w:val="21"/>
                <w:highlight w:val="none"/>
              </w:rPr>
            </w:pPr>
          </w:p>
        </w:tc>
      </w:tr>
      <w:tr w14:paraId="6273169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43C3E9F3">
            <w:pPr>
              <w:jc w:val="center"/>
              <w:rPr>
                <w:rFonts w:ascii="Arial" w:hAnsi="Arial" w:cs="Arial"/>
                <w:color w:val="auto"/>
                <w:szCs w:val="21"/>
                <w:highlight w:val="none"/>
              </w:rPr>
            </w:pPr>
          </w:p>
        </w:tc>
        <w:tc>
          <w:tcPr>
            <w:tcW w:w="1593" w:type="dxa"/>
            <w:vMerge w:val="continue"/>
            <w:vAlign w:val="center"/>
          </w:tcPr>
          <w:p w14:paraId="4DF2E60B">
            <w:pPr>
              <w:rPr>
                <w:rFonts w:ascii="Arial" w:hAnsi="Arial" w:cs="Arial"/>
                <w:bCs/>
                <w:color w:val="auto"/>
                <w:szCs w:val="21"/>
                <w:highlight w:val="none"/>
              </w:rPr>
            </w:pPr>
          </w:p>
        </w:tc>
        <w:tc>
          <w:tcPr>
            <w:tcW w:w="871" w:type="dxa"/>
            <w:vMerge w:val="continue"/>
            <w:vAlign w:val="center"/>
          </w:tcPr>
          <w:p w14:paraId="7A701ADF">
            <w:pPr>
              <w:jc w:val="center"/>
              <w:rPr>
                <w:rFonts w:ascii="Arial" w:hAnsi="Arial" w:cs="Arial"/>
                <w:color w:val="auto"/>
                <w:szCs w:val="21"/>
                <w:highlight w:val="none"/>
              </w:rPr>
            </w:pPr>
          </w:p>
        </w:tc>
        <w:tc>
          <w:tcPr>
            <w:tcW w:w="4068" w:type="dxa"/>
            <w:vAlign w:val="center"/>
          </w:tcPr>
          <w:p w14:paraId="39C3C5E9">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一般</w:t>
            </w:r>
          </w:p>
        </w:tc>
        <w:tc>
          <w:tcPr>
            <w:tcW w:w="1110" w:type="dxa"/>
            <w:tcBorders>
              <w:right w:val="single" w:color="auto" w:sz="4" w:space="0"/>
            </w:tcBorders>
            <w:vAlign w:val="center"/>
          </w:tcPr>
          <w:p w14:paraId="268C60E0">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2</w:t>
            </w:r>
          </w:p>
        </w:tc>
        <w:tc>
          <w:tcPr>
            <w:tcW w:w="1139" w:type="dxa"/>
            <w:vMerge w:val="continue"/>
            <w:tcBorders>
              <w:left w:val="single" w:color="auto" w:sz="4" w:space="0"/>
            </w:tcBorders>
            <w:vAlign w:val="center"/>
          </w:tcPr>
          <w:p w14:paraId="726D340F">
            <w:pPr>
              <w:spacing w:line="240" w:lineRule="atLeast"/>
              <w:rPr>
                <w:rFonts w:ascii="Arial" w:hAnsi="Arial" w:cs="Arial"/>
                <w:color w:val="auto"/>
                <w:szCs w:val="21"/>
                <w:highlight w:val="none"/>
              </w:rPr>
            </w:pPr>
          </w:p>
        </w:tc>
      </w:tr>
      <w:tr w14:paraId="7E4FDAA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43765EA">
            <w:pPr>
              <w:jc w:val="center"/>
              <w:rPr>
                <w:rFonts w:ascii="Arial" w:hAnsi="Arial" w:cs="Arial"/>
                <w:color w:val="auto"/>
                <w:szCs w:val="21"/>
                <w:highlight w:val="none"/>
              </w:rPr>
            </w:pPr>
          </w:p>
        </w:tc>
        <w:tc>
          <w:tcPr>
            <w:tcW w:w="1593" w:type="dxa"/>
            <w:vMerge w:val="continue"/>
            <w:vAlign w:val="center"/>
          </w:tcPr>
          <w:p w14:paraId="0C4DBCE5">
            <w:pPr>
              <w:rPr>
                <w:rFonts w:ascii="Arial" w:hAnsi="Arial" w:cs="Arial"/>
                <w:color w:val="auto"/>
                <w:szCs w:val="21"/>
                <w:highlight w:val="none"/>
              </w:rPr>
            </w:pPr>
          </w:p>
        </w:tc>
        <w:tc>
          <w:tcPr>
            <w:tcW w:w="871" w:type="dxa"/>
            <w:vMerge w:val="continue"/>
            <w:vAlign w:val="center"/>
          </w:tcPr>
          <w:p w14:paraId="1D544C79">
            <w:pPr>
              <w:jc w:val="center"/>
              <w:rPr>
                <w:rFonts w:ascii="Arial" w:hAnsi="Arial" w:cs="Arial"/>
                <w:color w:val="auto"/>
                <w:szCs w:val="21"/>
                <w:highlight w:val="none"/>
              </w:rPr>
            </w:pPr>
          </w:p>
        </w:tc>
        <w:tc>
          <w:tcPr>
            <w:tcW w:w="4068" w:type="dxa"/>
            <w:vAlign w:val="center"/>
          </w:tcPr>
          <w:p w14:paraId="46068909">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较差</w:t>
            </w:r>
          </w:p>
        </w:tc>
        <w:tc>
          <w:tcPr>
            <w:tcW w:w="1110" w:type="dxa"/>
            <w:tcBorders>
              <w:right w:val="single" w:color="auto" w:sz="4" w:space="0"/>
            </w:tcBorders>
            <w:vAlign w:val="center"/>
          </w:tcPr>
          <w:p w14:paraId="03C3F843">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0</w:t>
            </w:r>
          </w:p>
        </w:tc>
        <w:tc>
          <w:tcPr>
            <w:tcW w:w="1139" w:type="dxa"/>
            <w:vMerge w:val="continue"/>
            <w:tcBorders>
              <w:left w:val="single" w:color="auto" w:sz="4" w:space="0"/>
            </w:tcBorders>
            <w:vAlign w:val="center"/>
          </w:tcPr>
          <w:p w14:paraId="1017DB97">
            <w:pPr>
              <w:spacing w:line="240" w:lineRule="atLeast"/>
              <w:rPr>
                <w:rFonts w:ascii="Arial" w:hAnsi="Arial" w:cs="Arial"/>
                <w:color w:val="auto"/>
                <w:szCs w:val="21"/>
                <w:highlight w:val="none"/>
              </w:rPr>
            </w:pPr>
          </w:p>
        </w:tc>
      </w:tr>
      <w:tr w14:paraId="32D7391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5883948D">
            <w:pPr>
              <w:jc w:val="center"/>
              <w:rPr>
                <w:rFonts w:ascii="Arial" w:hAnsi="Arial" w:cs="Arial"/>
                <w:color w:val="auto"/>
                <w:szCs w:val="21"/>
                <w:highlight w:val="none"/>
              </w:rPr>
            </w:pPr>
            <w:r>
              <w:rPr>
                <w:rFonts w:hint="eastAsia" w:ascii="Arial" w:hAnsi="Arial" w:cs="Arial"/>
                <w:color w:val="auto"/>
                <w:szCs w:val="21"/>
                <w:highlight w:val="none"/>
              </w:rPr>
              <w:t>5</w:t>
            </w:r>
          </w:p>
        </w:tc>
        <w:tc>
          <w:tcPr>
            <w:tcW w:w="1593" w:type="dxa"/>
            <w:vMerge w:val="restart"/>
            <w:vAlign w:val="center"/>
          </w:tcPr>
          <w:p w14:paraId="4AE6D072">
            <w:pPr>
              <w:rPr>
                <w:rFonts w:ascii="Arial" w:hAnsi="Arial" w:cs="Arial"/>
                <w:color w:val="auto"/>
                <w:szCs w:val="21"/>
                <w:highlight w:val="none"/>
              </w:rPr>
            </w:pPr>
            <w:r>
              <w:rPr>
                <w:rFonts w:hint="eastAsia" w:ascii="Arial" w:hAnsi="Arial" w:cs="Arial"/>
                <w:color w:val="auto"/>
                <w:szCs w:val="21"/>
                <w:highlight w:val="none"/>
              </w:rPr>
              <w:t>对方案或设计优化的合理化建议</w:t>
            </w:r>
          </w:p>
        </w:tc>
        <w:tc>
          <w:tcPr>
            <w:tcW w:w="871" w:type="dxa"/>
            <w:vMerge w:val="restart"/>
            <w:vAlign w:val="center"/>
          </w:tcPr>
          <w:p w14:paraId="13D77C7C">
            <w:pPr>
              <w:jc w:val="center"/>
              <w:rPr>
                <w:rFonts w:ascii="Arial" w:hAnsi="Arial" w:cs="Arial"/>
                <w:color w:val="auto"/>
                <w:szCs w:val="21"/>
                <w:highlight w:val="none"/>
              </w:rPr>
            </w:pPr>
            <w:r>
              <w:rPr>
                <w:rFonts w:hint="eastAsia" w:ascii="Arial" w:hAnsi="Arial" w:cs="Arial"/>
                <w:color w:val="auto"/>
                <w:szCs w:val="21"/>
                <w:highlight w:val="none"/>
              </w:rPr>
              <w:t>4</w:t>
            </w:r>
          </w:p>
        </w:tc>
        <w:tc>
          <w:tcPr>
            <w:tcW w:w="4068" w:type="dxa"/>
            <w:vAlign w:val="center"/>
          </w:tcPr>
          <w:p w14:paraId="4CCF5712">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合理</w:t>
            </w:r>
          </w:p>
        </w:tc>
        <w:tc>
          <w:tcPr>
            <w:tcW w:w="1110" w:type="dxa"/>
            <w:tcBorders>
              <w:right w:val="single" w:color="auto" w:sz="4" w:space="0"/>
            </w:tcBorders>
            <w:vAlign w:val="center"/>
          </w:tcPr>
          <w:p w14:paraId="494C25F4">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4</w:t>
            </w:r>
          </w:p>
        </w:tc>
        <w:tc>
          <w:tcPr>
            <w:tcW w:w="1139" w:type="dxa"/>
            <w:vMerge w:val="restart"/>
            <w:tcBorders>
              <w:left w:val="single" w:color="auto" w:sz="4" w:space="0"/>
            </w:tcBorders>
            <w:vAlign w:val="center"/>
          </w:tcPr>
          <w:p w14:paraId="0958E85F">
            <w:pPr>
              <w:spacing w:line="240" w:lineRule="atLeast"/>
              <w:rPr>
                <w:rFonts w:ascii="Arial" w:hAnsi="Arial" w:cs="Arial"/>
                <w:color w:val="auto"/>
                <w:szCs w:val="21"/>
                <w:highlight w:val="none"/>
              </w:rPr>
            </w:pPr>
          </w:p>
        </w:tc>
      </w:tr>
      <w:tr w14:paraId="5949FA0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5B6D4A5">
            <w:pPr>
              <w:jc w:val="center"/>
              <w:rPr>
                <w:rFonts w:ascii="Arial" w:hAnsi="Arial" w:cs="Arial"/>
                <w:color w:val="auto"/>
                <w:szCs w:val="21"/>
                <w:highlight w:val="none"/>
              </w:rPr>
            </w:pPr>
          </w:p>
        </w:tc>
        <w:tc>
          <w:tcPr>
            <w:tcW w:w="1593" w:type="dxa"/>
            <w:vMerge w:val="continue"/>
            <w:vAlign w:val="center"/>
          </w:tcPr>
          <w:p w14:paraId="52087FE1">
            <w:pPr>
              <w:rPr>
                <w:rFonts w:ascii="Arial" w:hAnsi="Arial" w:cs="Arial"/>
                <w:color w:val="auto"/>
                <w:szCs w:val="21"/>
                <w:highlight w:val="none"/>
              </w:rPr>
            </w:pPr>
          </w:p>
        </w:tc>
        <w:tc>
          <w:tcPr>
            <w:tcW w:w="871" w:type="dxa"/>
            <w:vMerge w:val="continue"/>
            <w:vAlign w:val="center"/>
          </w:tcPr>
          <w:p w14:paraId="2B1EAE96">
            <w:pPr>
              <w:jc w:val="center"/>
              <w:rPr>
                <w:rFonts w:ascii="Arial" w:hAnsi="Arial" w:cs="Arial"/>
                <w:color w:val="auto"/>
                <w:szCs w:val="21"/>
                <w:highlight w:val="none"/>
              </w:rPr>
            </w:pPr>
          </w:p>
        </w:tc>
        <w:tc>
          <w:tcPr>
            <w:tcW w:w="4068" w:type="dxa"/>
            <w:vAlign w:val="center"/>
          </w:tcPr>
          <w:p w14:paraId="531C6DC8">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较差</w:t>
            </w:r>
          </w:p>
        </w:tc>
        <w:tc>
          <w:tcPr>
            <w:tcW w:w="1110" w:type="dxa"/>
            <w:tcBorders>
              <w:right w:val="single" w:color="auto" w:sz="4" w:space="0"/>
            </w:tcBorders>
            <w:vAlign w:val="center"/>
          </w:tcPr>
          <w:p w14:paraId="04AC81D4">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0</w:t>
            </w:r>
          </w:p>
        </w:tc>
        <w:tc>
          <w:tcPr>
            <w:tcW w:w="1139" w:type="dxa"/>
            <w:vMerge w:val="continue"/>
            <w:tcBorders>
              <w:left w:val="single" w:color="auto" w:sz="4" w:space="0"/>
            </w:tcBorders>
            <w:vAlign w:val="center"/>
          </w:tcPr>
          <w:p w14:paraId="68FD5244">
            <w:pPr>
              <w:spacing w:line="240" w:lineRule="atLeast"/>
              <w:rPr>
                <w:rFonts w:ascii="Arial" w:hAnsi="Arial" w:cs="Arial"/>
                <w:color w:val="auto"/>
                <w:szCs w:val="21"/>
                <w:highlight w:val="none"/>
              </w:rPr>
            </w:pPr>
          </w:p>
        </w:tc>
      </w:tr>
      <w:tr w14:paraId="18B33F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0608E982">
            <w:pPr>
              <w:jc w:val="center"/>
              <w:rPr>
                <w:rFonts w:ascii="Arial" w:hAnsi="Arial" w:cs="Arial"/>
                <w:color w:val="auto"/>
                <w:szCs w:val="21"/>
                <w:highlight w:val="none"/>
              </w:rPr>
            </w:pPr>
            <w:r>
              <w:rPr>
                <w:rFonts w:hint="eastAsia" w:ascii="Arial" w:hAnsi="Arial" w:cs="Arial"/>
                <w:color w:val="auto"/>
                <w:szCs w:val="21"/>
                <w:highlight w:val="none"/>
              </w:rPr>
              <w:t>6</w:t>
            </w:r>
          </w:p>
        </w:tc>
        <w:tc>
          <w:tcPr>
            <w:tcW w:w="1593" w:type="dxa"/>
            <w:vMerge w:val="restart"/>
            <w:vAlign w:val="center"/>
          </w:tcPr>
          <w:p w14:paraId="1EF2DE58">
            <w:pPr>
              <w:rPr>
                <w:rFonts w:ascii="Arial" w:hAnsi="Arial" w:cs="Arial"/>
                <w:color w:val="auto"/>
                <w:szCs w:val="21"/>
                <w:highlight w:val="none"/>
              </w:rPr>
            </w:pPr>
            <w:r>
              <w:rPr>
                <w:rFonts w:hint="eastAsia" w:ascii="Arial" w:hAnsi="Arial" w:cs="Arial"/>
                <w:color w:val="auto"/>
                <w:szCs w:val="21"/>
                <w:highlight w:val="none"/>
              </w:rPr>
              <w:t>安全管理及措施；现场文明施工和环保方案</w:t>
            </w:r>
          </w:p>
        </w:tc>
        <w:tc>
          <w:tcPr>
            <w:tcW w:w="871" w:type="dxa"/>
            <w:vMerge w:val="restart"/>
            <w:vAlign w:val="center"/>
          </w:tcPr>
          <w:p w14:paraId="66489FB2">
            <w:pPr>
              <w:jc w:val="center"/>
              <w:rPr>
                <w:rFonts w:ascii="Arial" w:hAnsi="Arial" w:cs="Arial"/>
                <w:color w:val="auto"/>
                <w:szCs w:val="21"/>
                <w:highlight w:val="none"/>
              </w:rPr>
            </w:pPr>
            <w:r>
              <w:rPr>
                <w:rFonts w:hint="eastAsia" w:ascii="Arial" w:hAnsi="Arial" w:cs="Arial"/>
                <w:color w:val="auto"/>
                <w:szCs w:val="21"/>
                <w:highlight w:val="none"/>
              </w:rPr>
              <w:t>18</w:t>
            </w:r>
          </w:p>
        </w:tc>
        <w:tc>
          <w:tcPr>
            <w:tcW w:w="4068" w:type="dxa"/>
            <w:vAlign w:val="center"/>
          </w:tcPr>
          <w:p w14:paraId="0B2365AE">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合理</w:t>
            </w:r>
          </w:p>
        </w:tc>
        <w:tc>
          <w:tcPr>
            <w:tcW w:w="1110" w:type="dxa"/>
            <w:tcBorders>
              <w:right w:val="single" w:color="auto" w:sz="4" w:space="0"/>
            </w:tcBorders>
            <w:vAlign w:val="center"/>
          </w:tcPr>
          <w:p w14:paraId="68007AE8">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18</w:t>
            </w:r>
          </w:p>
        </w:tc>
        <w:tc>
          <w:tcPr>
            <w:tcW w:w="1139" w:type="dxa"/>
            <w:vMerge w:val="restart"/>
            <w:tcBorders>
              <w:left w:val="single" w:color="auto" w:sz="4" w:space="0"/>
            </w:tcBorders>
            <w:vAlign w:val="center"/>
          </w:tcPr>
          <w:p w14:paraId="7578070C">
            <w:pPr>
              <w:spacing w:line="240" w:lineRule="atLeast"/>
              <w:rPr>
                <w:rFonts w:ascii="Arial" w:hAnsi="Arial" w:cs="Arial"/>
                <w:color w:val="auto"/>
                <w:szCs w:val="21"/>
                <w:highlight w:val="none"/>
              </w:rPr>
            </w:pPr>
          </w:p>
        </w:tc>
      </w:tr>
      <w:tr w14:paraId="5BE49E0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2F928AC2">
            <w:pPr>
              <w:jc w:val="center"/>
              <w:rPr>
                <w:rFonts w:ascii="Arial" w:hAnsi="Arial" w:cs="Arial"/>
                <w:color w:val="auto"/>
                <w:szCs w:val="21"/>
                <w:highlight w:val="none"/>
              </w:rPr>
            </w:pPr>
          </w:p>
        </w:tc>
        <w:tc>
          <w:tcPr>
            <w:tcW w:w="1593" w:type="dxa"/>
            <w:vMerge w:val="continue"/>
            <w:vAlign w:val="center"/>
          </w:tcPr>
          <w:p w14:paraId="23E20241">
            <w:pPr>
              <w:rPr>
                <w:rFonts w:ascii="Arial" w:hAnsi="Arial" w:cs="Arial"/>
                <w:bCs/>
                <w:color w:val="auto"/>
                <w:szCs w:val="21"/>
                <w:highlight w:val="none"/>
              </w:rPr>
            </w:pPr>
          </w:p>
        </w:tc>
        <w:tc>
          <w:tcPr>
            <w:tcW w:w="871" w:type="dxa"/>
            <w:vMerge w:val="continue"/>
            <w:vAlign w:val="center"/>
          </w:tcPr>
          <w:p w14:paraId="307D3FEC">
            <w:pPr>
              <w:jc w:val="center"/>
              <w:rPr>
                <w:rFonts w:ascii="Arial" w:hAnsi="Arial" w:cs="Arial"/>
                <w:color w:val="auto"/>
                <w:szCs w:val="21"/>
                <w:highlight w:val="none"/>
              </w:rPr>
            </w:pPr>
          </w:p>
        </w:tc>
        <w:tc>
          <w:tcPr>
            <w:tcW w:w="4068" w:type="dxa"/>
            <w:vAlign w:val="center"/>
          </w:tcPr>
          <w:p w14:paraId="5009FF13">
            <w:pPr>
              <w:spacing w:line="240" w:lineRule="atLeast"/>
              <w:rPr>
                <w:rFonts w:ascii="Arial" w:hAnsi="Arial" w:cs="Arial"/>
                <w:color w:val="auto"/>
                <w:szCs w:val="21"/>
                <w:highlight w:val="none"/>
              </w:rPr>
            </w:pPr>
            <w:r>
              <w:rPr>
                <w:rFonts w:hint="eastAsia" w:ascii="Arial" w:hAnsi="Arial" w:cs="Arial"/>
                <w:color w:val="auto"/>
                <w:szCs w:val="21"/>
                <w:highlight w:val="none"/>
              </w:rPr>
              <w:t>方案一般</w:t>
            </w:r>
          </w:p>
        </w:tc>
        <w:tc>
          <w:tcPr>
            <w:tcW w:w="1110" w:type="dxa"/>
            <w:tcBorders>
              <w:right w:val="single" w:color="auto" w:sz="4" w:space="0"/>
            </w:tcBorders>
            <w:vAlign w:val="center"/>
          </w:tcPr>
          <w:p w14:paraId="2A8B5A8A">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13</w:t>
            </w:r>
          </w:p>
        </w:tc>
        <w:tc>
          <w:tcPr>
            <w:tcW w:w="1139" w:type="dxa"/>
            <w:vMerge w:val="continue"/>
            <w:tcBorders>
              <w:left w:val="single" w:color="auto" w:sz="4" w:space="0"/>
            </w:tcBorders>
            <w:vAlign w:val="center"/>
          </w:tcPr>
          <w:p w14:paraId="3F1D236B">
            <w:pPr>
              <w:spacing w:line="240" w:lineRule="atLeast"/>
              <w:rPr>
                <w:rFonts w:ascii="Arial" w:hAnsi="Arial" w:cs="Arial"/>
                <w:color w:val="auto"/>
                <w:szCs w:val="21"/>
                <w:highlight w:val="none"/>
              </w:rPr>
            </w:pPr>
          </w:p>
        </w:tc>
      </w:tr>
      <w:tr w14:paraId="7B9A48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C906549">
            <w:pPr>
              <w:jc w:val="center"/>
              <w:rPr>
                <w:rFonts w:ascii="Arial" w:hAnsi="Arial" w:cs="Arial"/>
                <w:color w:val="auto"/>
                <w:szCs w:val="21"/>
                <w:highlight w:val="none"/>
              </w:rPr>
            </w:pPr>
          </w:p>
        </w:tc>
        <w:tc>
          <w:tcPr>
            <w:tcW w:w="1593" w:type="dxa"/>
            <w:vMerge w:val="continue"/>
            <w:vAlign w:val="center"/>
          </w:tcPr>
          <w:p w14:paraId="7A8A986D">
            <w:pPr>
              <w:rPr>
                <w:rFonts w:ascii="Arial" w:hAnsi="Arial" w:cs="Arial"/>
                <w:bCs/>
                <w:color w:val="auto"/>
                <w:szCs w:val="21"/>
                <w:highlight w:val="none"/>
              </w:rPr>
            </w:pPr>
          </w:p>
        </w:tc>
        <w:tc>
          <w:tcPr>
            <w:tcW w:w="871" w:type="dxa"/>
            <w:vMerge w:val="continue"/>
            <w:vAlign w:val="center"/>
          </w:tcPr>
          <w:p w14:paraId="320697FE">
            <w:pPr>
              <w:jc w:val="center"/>
              <w:rPr>
                <w:rFonts w:ascii="Arial" w:hAnsi="Arial" w:cs="Arial"/>
                <w:color w:val="auto"/>
                <w:szCs w:val="21"/>
                <w:highlight w:val="none"/>
              </w:rPr>
            </w:pPr>
          </w:p>
        </w:tc>
        <w:tc>
          <w:tcPr>
            <w:tcW w:w="4068" w:type="dxa"/>
            <w:vAlign w:val="center"/>
          </w:tcPr>
          <w:p w14:paraId="4201B1A2">
            <w:pPr>
              <w:spacing w:line="240" w:lineRule="atLeast"/>
              <w:rPr>
                <w:rFonts w:ascii="Arial" w:hAnsi="Arial" w:cs="Arial"/>
                <w:color w:val="auto"/>
                <w:szCs w:val="21"/>
                <w:highlight w:val="none"/>
              </w:rPr>
            </w:pPr>
            <w:r>
              <w:rPr>
                <w:rFonts w:hint="eastAsia" w:ascii="Arial" w:hAnsi="Arial" w:cs="Arial"/>
                <w:color w:val="auto"/>
                <w:szCs w:val="21"/>
                <w:highlight w:val="none"/>
              </w:rPr>
              <w:t>方案较差</w:t>
            </w:r>
          </w:p>
        </w:tc>
        <w:tc>
          <w:tcPr>
            <w:tcW w:w="1110" w:type="dxa"/>
            <w:tcBorders>
              <w:right w:val="single" w:color="auto" w:sz="4" w:space="0"/>
            </w:tcBorders>
            <w:vAlign w:val="center"/>
          </w:tcPr>
          <w:p w14:paraId="56085CD5">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8</w:t>
            </w:r>
          </w:p>
        </w:tc>
        <w:tc>
          <w:tcPr>
            <w:tcW w:w="1139" w:type="dxa"/>
            <w:vMerge w:val="continue"/>
            <w:tcBorders>
              <w:left w:val="single" w:color="auto" w:sz="4" w:space="0"/>
            </w:tcBorders>
            <w:vAlign w:val="center"/>
          </w:tcPr>
          <w:p w14:paraId="19DE2E13">
            <w:pPr>
              <w:spacing w:line="240" w:lineRule="atLeast"/>
              <w:rPr>
                <w:rFonts w:ascii="Arial" w:hAnsi="Arial" w:cs="Arial"/>
                <w:color w:val="auto"/>
                <w:szCs w:val="21"/>
                <w:highlight w:val="none"/>
              </w:rPr>
            </w:pPr>
          </w:p>
        </w:tc>
      </w:tr>
      <w:tr w14:paraId="59EF880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8DA2A6F">
            <w:pPr>
              <w:jc w:val="center"/>
              <w:rPr>
                <w:rFonts w:ascii="Arial" w:hAnsi="Arial" w:cs="Arial"/>
                <w:color w:val="auto"/>
                <w:szCs w:val="21"/>
                <w:highlight w:val="none"/>
              </w:rPr>
            </w:pPr>
          </w:p>
        </w:tc>
        <w:tc>
          <w:tcPr>
            <w:tcW w:w="1593" w:type="dxa"/>
            <w:vMerge w:val="continue"/>
            <w:vAlign w:val="center"/>
          </w:tcPr>
          <w:p w14:paraId="149AC941">
            <w:pPr>
              <w:rPr>
                <w:rFonts w:ascii="Arial" w:hAnsi="Arial" w:cs="Arial"/>
                <w:color w:val="auto"/>
                <w:szCs w:val="21"/>
                <w:highlight w:val="none"/>
              </w:rPr>
            </w:pPr>
          </w:p>
        </w:tc>
        <w:tc>
          <w:tcPr>
            <w:tcW w:w="871" w:type="dxa"/>
            <w:vMerge w:val="continue"/>
            <w:vAlign w:val="center"/>
          </w:tcPr>
          <w:p w14:paraId="11278FCB">
            <w:pPr>
              <w:jc w:val="center"/>
              <w:rPr>
                <w:rFonts w:ascii="Arial" w:hAnsi="Arial" w:cs="Arial"/>
                <w:color w:val="auto"/>
                <w:szCs w:val="21"/>
                <w:highlight w:val="none"/>
              </w:rPr>
            </w:pPr>
          </w:p>
        </w:tc>
        <w:tc>
          <w:tcPr>
            <w:tcW w:w="4068" w:type="dxa"/>
            <w:vAlign w:val="center"/>
          </w:tcPr>
          <w:p w14:paraId="35C415AB">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差</w:t>
            </w:r>
          </w:p>
        </w:tc>
        <w:tc>
          <w:tcPr>
            <w:tcW w:w="1110" w:type="dxa"/>
            <w:tcBorders>
              <w:right w:val="single" w:color="auto" w:sz="4" w:space="0"/>
            </w:tcBorders>
            <w:vAlign w:val="center"/>
          </w:tcPr>
          <w:p w14:paraId="3E80206E">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3</w:t>
            </w:r>
          </w:p>
        </w:tc>
        <w:tc>
          <w:tcPr>
            <w:tcW w:w="1139" w:type="dxa"/>
            <w:vMerge w:val="continue"/>
            <w:tcBorders>
              <w:left w:val="single" w:color="auto" w:sz="4" w:space="0"/>
            </w:tcBorders>
            <w:vAlign w:val="center"/>
          </w:tcPr>
          <w:p w14:paraId="5468F799">
            <w:pPr>
              <w:spacing w:line="240" w:lineRule="atLeast"/>
              <w:rPr>
                <w:rFonts w:ascii="Arial" w:hAnsi="Arial" w:cs="Arial"/>
                <w:color w:val="auto"/>
                <w:szCs w:val="21"/>
                <w:highlight w:val="none"/>
              </w:rPr>
            </w:pPr>
          </w:p>
        </w:tc>
      </w:tr>
      <w:tr w14:paraId="26BEED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34" w:hRule="atLeast"/>
          <w:jc w:val="center"/>
        </w:trPr>
        <w:tc>
          <w:tcPr>
            <w:tcW w:w="772" w:type="dxa"/>
            <w:vMerge w:val="restart"/>
            <w:vAlign w:val="center"/>
          </w:tcPr>
          <w:p w14:paraId="5542D135">
            <w:pPr>
              <w:jc w:val="center"/>
              <w:rPr>
                <w:rFonts w:ascii="Arial" w:hAnsi="Arial" w:cs="Arial"/>
                <w:color w:val="auto"/>
                <w:szCs w:val="21"/>
                <w:highlight w:val="none"/>
              </w:rPr>
            </w:pPr>
            <w:r>
              <w:rPr>
                <w:rFonts w:hint="eastAsia" w:ascii="Arial" w:hAnsi="Arial" w:cs="Arial"/>
                <w:color w:val="auto"/>
                <w:szCs w:val="21"/>
                <w:highlight w:val="none"/>
              </w:rPr>
              <w:t>7</w:t>
            </w:r>
          </w:p>
        </w:tc>
        <w:tc>
          <w:tcPr>
            <w:tcW w:w="1593" w:type="dxa"/>
            <w:vMerge w:val="restart"/>
            <w:vAlign w:val="center"/>
          </w:tcPr>
          <w:p w14:paraId="7F60B578">
            <w:pPr>
              <w:rPr>
                <w:rFonts w:ascii="Arial" w:hAnsi="Arial" w:cs="Arial"/>
                <w:color w:val="auto"/>
                <w:szCs w:val="21"/>
                <w:highlight w:val="none"/>
              </w:rPr>
            </w:pPr>
            <w:r>
              <w:rPr>
                <w:rFonts w:hint="eastAsia" w:ascii="Arial" w:hAnsi="Arial" w:cs="Arial"/>
                <w:color w:val="auto"/>
                <w:szCs w:val="21"/>
                <w:highlight w:val="none"/>
              </w:rPr>
              <w:t>公司对本工程的重视承诺、管理和支持</w:t>
            </w:r>
          </w:p>
        </w:tc>
        <w:tc>
          <w:tcPr>
            <w:tcW w:w="871" w:type="dxa"/>
            <w:vMerge w:val="restart"/>
            <w:vAlign w:val="center"/>
          </w:tcPr>
          <w:p w14:paraId="3C1EA6EB">
            <w:pPr>
              <w:jc w:val="center"/>
              <w:rPr>
                <w:rFonts w:ascii="Arial" w:hAnsi="Arial" w:cs="Arial"/>
                <w:color w:val="auto"/>
                <w:szCs w:val="21"/>
                <w:highlight w:val="none"/>
              </w:rPr>
            </w:pPr>
            <w:r>
              <w:rPr>
                <w:rFonts w:hint="eastAsia" w:ascii="Arial" w:hAnsi="Arial" w:cs="Arial"/>
                <w:color w:val="auto"/>
                <w:szCs w:val="21"/>
                <w:highlight w:val="none"/>
              </w:rPr>
              <w:t>2</w:t>
            </w:r>
          </w:p>
        </w:tc>
        <w:tc>
          <w:tcPr>
            <w:tcW w:w="4068" w:type="dxa"/>
            <w:vAlign w:val="center"/>
          </w:tcPr>
          <w:p w14:paraId="7EF6559E">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合理</w:t>
            </w:r>
          </w:p>
        </w:tc>
        <w:tc>
          <w:tcPr>
            <w:tcW w:w="1110" w:type="dxa"/>
            <w:tcBorders>
              <w:right w:val="single" w:color="auto" w:sz="4" w:space="0"/>
            </w:tcBorders>
            <w:vAlign w:val="center"/>
          </w:tcPr>
          <w:p w14:paraId="4B3F7CD8">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2</w:t>
            </w:r>
          </w:p>
        </w:tc>
        <w:tc>
          <w:tcPr>
            <w:tcW w:w="1139" w:type="dxa"/>
            <w:vMerge w:val="restart"/>
            <w:tcBorders>
              <w:left w:val="single" w:color="auto" w:sz="4" w:space="0"/>
            </w:tcBorders>
            <w:vAlign w:val="center"/>
          </w:tcPr>
          <w:p w14:paraId="5DA53A6A">
            <w:pPr>
              <w:spacing w:line="240" w:lineRule="atLeast"/>
              <w:rPr>
                <w:rFonts w:ascii="Arial" w:hAnsi="Arial" w:cs="Arial"/>
                <w:color w:val="auto"/>
                <w:szCs w:val="21"/>
                <w:highlight w:val="none"/>
              </w:rPr>
            </w:pPr>
          </w:p>
        </w:tc>
      </w:tr>
      <w:tr w14:paraId="052DE4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05A7E856">
            <w:pPr>
              <w:jc w:val="center"/>
              <w:rPr>
                <w:rFonts w:ascii="Arial" w:hAnsi="Arial" w:cs="Arial"/>
                <w:color w:val="auto"/>
                <w:szCs w:val="21"/>
                <w:highlight w:val="none"/>
              </w:rPr>
            </w:pPr>
          </w:p>
        </w:tc>
        <w:tc>
          <w:tcPr>
            <w:tcW w:w="1593" w:type="dxa"/>
            <w:vMerge w:val="continue"/>
            <w:vAlign w:val="center"/>
          </w:tcPr>
          <w:p w14:paraId="1588EE61">
            <w:pPr>
              <w:rPr>
                <w:rFonts w:ascii="Arial" w:hAnsi="Arial" w:cs="Arial"/>
                <w:color w:val="auto"/>
                <w:szCs w:val="21"/>
                <w:highlight w:val="none"/>
              </w:rPr>
            </w:pPr>
          </w:p>
        </w:tc>
        <w:tc>
          <w:tcPr>
            <w:tcW w:w="871" w:type="dxa"/>
            <w:vMerge w:val="continue"/>
            <w:vAlign w:val="center"/>
          </w:tcPr>
          <w:p w14:paraId="412DCF7D">
            <w:pPr>
              <w:jc w:val="center"/>
              <w:rPr>
                <w:rFonts w:ascii="Arial" w:hAnsi="Arial" w:cs="Arial"/>
                <w:color w:val="auto"/>
                <w:szCs w:val="21"/>
                <w:highlight w:val="none"/>
              </w:rPr>
            </w:pPr>
          </w:p>
        </w:tc>
        <w:tc>
          <w:tcPr>
            <w:tcW w:w="4068" w:type="dxa"/>
            <w:vAlign w:val="center"/>
          </w:tcPr>
          <w:p w14:paraId="157DB67E">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较差</w:t>
            </w:r>
          </w:p>
        </w:tc>
        <w:tc>
          <w:tcPr>
            <w:tcW w:w="1110" w:type="dxa"/>
            <w:tcBorders>
              <w:right w:val="single" w:color="auto" w:sz="4" w:space="0"/>
            </w:tcBorders>
            <w:vAlign w:val="center"/>
          </w:tcPr>
          <w:p w14:paraId="12CECF93">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0</w:t>
            </w:r>
          </w:p>
        </w:tc>
        <w:tc>
          <w:tcPr>
            <w:tcW w:w="1139" w:type="dxa"/>
            <w:vMerge w:val="continue"/>
            <w:tcBorders>
              <w:left w:val="single" w:color="auto" w:sz="4" w:space="0"/>
            </w:tcBorders>
            <w:vAlign w:val="center"/>
          </w:tcPr>
          <w:p w14:paraId="22FDFF0A">
            <w:pPr>
              <w:spacing w:line="240" w:lineRule="atLeast"/>
              <w:rPr>
                <w:rFonts w:ascii="Arial" w:hAnsi="Arial" w:cs="Arial"/>
                <w:color w:val="auto"/>
                <w:szCs w:val="21"/>
                <w:highlight w:val="none"/>
              </w:rPr>
            </w:pPr>
          </w:p>
        </w:tc>
      </w:tr>
      <w:tr w14:paraId="6DC5C6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4CAF287F">
            <w:pPr>
              <w:jc w:val="center"/>
              <w:rPr>
                <w:rFonts w:ascii="Arial" w:hAnsi="Arial" w:cs="Arial"/>
                <w:color w:val="auto"/>
                <w:szCs w:val="21"/>
                <w:highlight w:val="none"/>
              </w:rPr>
            </w:pPr>
            <w:r>
              <w:rPr>
                <w:rFonts w:hint="eastAsia" w:ascii="Arial" w:hAnsi="Arial" w:cs="Arial"/>
                <w:color w:val="auto"/>
                <w:szCs w:val="21"/>
                <w:highlight w:val="none"/>
              </w:rPr>
              <w:t>8</w:t>
            </w:r>
          </w:p>
        </w:tc>
        <w:tc>
          <w:tcPr>
            <w:tcW w:w="1593" w:type="dxa"/>
            <w:vMerge w:val="restart"/>
            <w:vAlign w:val="center"/>
          </w:tcPr>
          <w:p w14:paraId="76B1676D">
            <w:pPr>
              <w:rPr>
                <w:rFonts w:ascii="Arial" w:hAnsi="Arial" w:cs="Arial"/>
                <w:color w:val="auto"/>
                <w:szCs w:val="21"/>
                <w:highlight w:val="none"/>
              </w:rPr>
            </w:pPr>
            <w:r>
              <w:rPr>
                <w:rFonts w:ascii="Arial" w:hAnsi="Arial" w:cs="Arial"/>
                <w:color w:val="auto"/>
                <w:szCs w:val="21"/>
                <w:highlight w:val="none"/>
              </w:rPr>
              <w:t>冬季和雨季施工方案</w:t>
            </w:r>
          </w:p>
        </w:tc>
        <w:tc>
          <w:tcPr>
            <w:tcW w:w="871" w:type="dxa"/>
            <w:vMerge w:val="restart"/>
            <w:vAlign w:val="center"/>
          </w:tcPr>
          <w:p w14:paraId="0ED9B1E4">
            <w:pPr>
              <w:jc w:val="center"/>
              <w:rPr>
                <w:rFonts w:ascii="Arial" w:hAnsi="Arial" w:cs="Arial"/>
                <w:color w:val="auto"/>
                <w:szCs w:val="21"/>
                <w:highlight w:val="none"/>
              </w:rPr>
            </w:pPr>
            <w:r>
              <w:rPr>
                <w:rFonts w:hint="eastAsia" w:ascii="Arial" w:hAnsi="Arial" w:cs="Arial"/>
                <w:color w:val="auto"/>
                <w:szCs w:val="21"/>
                <w:highlight w:val="none"/>
              </w:rPr>
              <w:t>5</w:t>
            </w:r>
          </w:p>
        </w:tc>
        <w:tc>
          <w:tcPr>
            <w:tcW w:w="4068" w:type="dxa"/>
            <w:vAlign w:val="center"/>
          </w:tcPr>
          <w:p w14:paraId="508A43E1">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合理</w:t>
            </w:r>
          </w:p>
        </w:tc>
        <w:tc>
          <w:tcPr>
            <w:tcW w:w="1110" w:type="dxa"/>
            <w:tcBorders>
              <w:right w:val="single" w:color="auto" w:sz="4" w:space="0"/>
            </w:tcBorders>
            <w:vAlign w:val="center"/>
          </w:tcPr>
          <w:p w14:paraId="635AF696">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5</w:t>
            </w:r>
          </w:p>
        </w:tc>
        <w:tc>
          <w:tcPr>
            <w:tcW w:w="1139" w:type="dxa"/>
            <w:vMerge w:val="restart"/>
            <w:tcBorders>
              <w:left w:val="single" w:color="auto" w:sz="4" w:space="0"/>
            </w:tcBorders>
            <w:vAlign w:val="center"/>
          </w:tcPr>
          <w:p w14:paraId="33B2CF41">
            <w:pPr>
              <w:spacing w:line="240" w:lineRule="atLeast"/>
              <w:rPr>
                <w:rFonts w:ascii="Arial" w:hAnsi="Arial" w:cs="Arial"/>
                <w:color w:val="auto"/>
                <w:szCs w:val="21"/>
                <w:highlight w:val="none"/>
              </w:rPr>
            </w:pPr>
          </w:p>
        </w:tc>
      </w:tr>
      <w:tr w14:paraId="06EA64C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5761FC68">
            <w:pPr>
              <w:jc w:val="center"/>
              <w:rPr>
                <w:rFonts w:ascii="Arial" w:hAnsi="Arial" w:cs="Arial"/>
                <w:color w:val="auto"/>
                <w:szCs w:val="21"/>
                <w:highlight w:val="none"/>
              </w:rPr>
            </w:pPr>
          </w:p>
        </w:tc>
        <w:tc>
          <w:tcPr>
            <w:tcW w:w="1593" w:type="dxa"/>
            <w:vMerge w:val="continue"/>
            <w:vAlign w:val="center"/>
          </w:tcPr>
          <w:p w14:paraId="651D0D9A">
            <w:pPr>
              <w:rPr>
                <w:rFonts w:ascii="Arial" w:hAnsi="Arial" w:cs="Arial"/>
                <w:color w:val="auto"/>
                <w:szCs w:val="21"/>
                <w:highlight w:val="none"/>
              </w:rPr>
            </w:pPr>
          </w:p>
        </w:tc>
        <w:tc>
          <w:tcPr>
            <w:tcW w:w="871" w:type="dxa"/>
            <w:vMerge w:val="continue"/>
            <w:vAlign w:val="center"/>
          </w:tcPr>
          <w:p w14:paraId="269FB566">
            <w:pPr>
              <w:jc w:val="center"/>
              <w:rPr>
                <w:rFonts w:ascii="Arial" w:hAnsi="Arial" w:cs="Arial"/>
                <w:color w:val="auto"/>
                <w:szCs w:val="21"/>
                <w:highlight w:val="none"/>
              </w:rPr>
            </w:pPr>
          </w:p>
        </w:tc>
        <w:tc>
          <w:tcPr>
            <w:tcW w:w="4068" w:type="dxa"/>
            <w:vAlign w:val="center"/>
          </w:tcPr>
          <w:p w14:paraId="57FEC579">
            <w:pPr>
              <w:spacing w:line="240" w:lineRule="atLeast"/>
              <w:rPr>
                <w:rFonts w:ascii="Arial" w:hAnsi="Arial" w:cs="Arial"/>
                <w:color w:val="auto"/>
                <w:szCs w:val="21"/>
                <w:highlight w:val="none"/>
              </w:rPr>
            </w:pPr>
            <w:r>
              <w:rPr>
                <w:rFonts w:ascii="Arial" w:hAnsi="Arial" w:cs="Arial"/>
                <w:color w:val="auto"/>
                <w:szCs w:val="21"/>
                <w:highlight w:val="none"/>
              </w:rPr>
              <w:t>方案</w:t>
            </w:r>
            <w:r>
              <w:rPr>
                <w:rFonts w:hint="eastAsia" w:ascii="Arial" w:hAnsi="Arial" w:cs="Arial"/>
                <w:color w:val="auto"/>
                <w:szCs w:val="21"/>
                <w:highlight w:val="none"/>
              </w:rPr>
              <w:t>较差</w:t>
            </w:r>
          </w:p>
        </w:tc>
        <w:tc>
          <w:tcPr>
            <w:tcW w:w="1110" w:type="dxa"/>
            <w:tcBorders>
              <w:right w:val="single" w:color="auto" w:sz="4" w:space="0"/>
            </w:tcBorders>
            <w:vAlign w:val="center"/>
          </w:tcPr>
          <w:p w14:paraId="63EA8E5E">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2</w:t>
            </w:r>
          </w:p>
        </w:tc>
        <w:tc>
          <w:tcPr>
            <w:tcW w:w="1139" w:type="dxa"/>
            <w:vMerge w:val="continue"/>
            <w:tcBorders>
              <w:left w:val="single" w:color="auto" w:sz="4" w:space="0"/>
            </w:tcBorders>
            <w:vAlign w:val="center"/>
          </w:tcPr>
          <w:p w14:paraId="38649D11">
            <w:pPr>
              <w:spacing w:line="240" w:lineRule="atLeast"/>
              <w:rPr>
                <w:rFonts w:ascii="Arial" w:hAnsi="Arial" w:cs="Arial"/>
                <w:color w:val="auto"/>
                <w:szCs w:val="21"/>
                <w:highlight w:val="none"/>
              </w:rPr>
            </w:pPr>
          </w:p>
        </w:tc>
      </w:tr>
      <w:tr w14:paraId="3E09FA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6927EFD7">
            <w:pPr>
              <w:jc w:val="center"/>
              <w:rPr>
                <w:rFonts w:ascii="Arial" w:hAnsi="Arial" w:cs="Arial"/>
                <w:color w:val="auto"/>
                <w:szCs w:val="21"/>
                <w:highlight w:val="none"/>
              </w:rPr>
            </w:pPr>
            <w:r>
              <w:rPr>
                <w:rFonts w:hint="eastAsia" w:ascii="Arial" w:hAnsi="Arial" w:cs="Arial"/>
                <w:color w:val="auto"/>
                <w:szCs w:val="21"/>
                <w:highlight w:val="none"/>
              </w:rPr>
              <w:t>9</w:t>
            </w:r>
          </w:p>
        </w:tc>
        <w:tc>
          <w:tcPr>
            <w:tcW w:w="1593" w:type="dxa"/>
            <w:vMerge w:val="restart"/>
            <w:vAlign w:val="center"/>
          </w:tcPr>
          <w:p w14:paraId="3C28FFFF">
            <w:pPr>
              <w:rPr>
                <w:rFonts w:ascii="Arial" w:hAnsi="Arial" w:cs="Arial"/>
                <w:color w:val="auto"/>
                <w:szCs w:val="21"/>
                <w:highlight w:val="none"/>
              </w:rPr>
            </w:pPr>
            <w:r>
              <w:rPr>
                <w:rFonts w:ascii="Arial" w:hAnsi="Arial" w:cs="Arial"/>
                <w:color w:val="auto"/>
                <w:szCs w:val="21"/>
                <w:highlight w:val="none"/>
              </w:rPr>
              <w:t>施工现场总平面布置</w:t>
            </w:r>
          </w:p>
        </w:tc>
        <w:tc>
          <w:tcPr>
            <w:tcW w:w="871" w:type="dxa"/>
            <w:vMerge w:val="restart"/>
            <w:vAlign w:val="center"/>
          </w:tcPr>
          <w:p w14:paraId="0BF19AE7">
            <w:pPr>
              <w:jc w:val="center"/>
              <w:rPr>
                <w:rFonts w:ascii="Arial" w:hAnsi="Arial" w:cs="Arial"/>
                <w:color w:val="auto"/>
                <w:szCs w:val="21"/>
                <w:highlight w:val="none"/>
              </w:rPr>
            </w:pPr>
            <w:r>
              <w:rPr>
                <w:rFonts w:hint="eastAsia" w:ascii="Arial" w:hAnsi="Arial" w:cs="Arial"/>
                <w:color w:val="auto"/>
                <w:szCs w:val="21"/>
                <w:highlight w:val="none"/>
              </w:rPr>
              <w:t>2</w:t>
            </w:r>
          </w:p>
        </w:tc>
        <w:tc>
          <w:tcPr>
            <w:tcW w:w="4068" w:type="dxa"/>
            <w:vAlign w:val="center"/>
          </w:tcPr>
          <w:p w14:paraId="4ED04B69">
            <w:pPr>
              <w:spacing w:line="240" w:lineRule="atLeast"/>
              <w:rPr>
                <w:rFonts w:ascii="Arial" w:hAnsi="Arial" w:cs="Arial"/>
                <w:color w:val="auto"/>
                <w:szCs w:val="21"/>
                <w:highlight w:val="none"/>
              </w:rPr>
            </w:pPr>
            <w:r>
              <w:rPr>
                <w:rFonts w:ascii="Arial" w:hAnsi="Arial" w:cs="Arial"/>
                <w:color w:val="auto"/>
                <w:szCs w:val="21"/>
                <w:highlight w:val="none"/>
              </w:rPr>
              <w:t>布置</w:t>
            </w:r>
            <w:r>
              <w:rPr>
                <w:rFonts w:hint="eastAsia" w:ascii="Arial" w:hAnsi="Arial" w:cs="Arial"/>
                <w:color w:val="auto"/>
                <w:szCs w:val="21"/>
                <w:highlight w:val="none"/>
              </w:rPr>
              <w:t>合理</w:t>
            </w:r>
          </w:p>
        </w:tc>
        <w:tc>
          <w:tcPr>
            <w:tcW w:w="1110" w:type="dxa"/>
            <w:tcBorders>
              <w:right w:val="single" w:color="auto" w:sz="4" w:space="0"/>
            </w:tcBorders>
            <w:vAlign w:val="center"/>
          </w:tcPr>
          <w:p w14:paraId="27E9DD87">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2</w:t>
            </w:r>
          </w:p>
        </w:tc>
        <w:tc>
          <w:tcPr>
            <w:tcW w:w="1139" w:type="dxa"/>
            <w:vMerge w:val="restart"/>
            <w:tcBorders>
              <w:left w:val="single" w:color="auto" w:sz="4" w:space="0"/>
            </w:tcBorders>
            <w:vAlign w:val="center"/>
          </w:tcPr>
          <w:p w14:paraId="51E44A7A">
            <w:pPr>
              <w:spacing w:line="240" w:lineRule="atLeast"/>
              <w:rPr>
                <w:rFonts w:ascii="Arial" w:hAnsi="Arial" w:cs="Arial"/>
                <w:color w:val="auto"/>
                <w:szCs w:val="21"/>
                <w:highlight w:val="none"/>
              </w:rPr>
            </w:pPr>
          </w:p>
        </w:tc>
      </w:tr>
      <w:tr w14:paraId="797601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FD2FBA4">
            <w:pPr>
              <w:jc w:val="center"/>
              <w:rPr>
                <w:rFonts w:ascii="Arial" w:hAnsi="Arial" w:cs="Arial"/>
                <w:color w:val="auto"/>
                <w:szCs w:val="21"/>
                <w:highlight w:val="none"/>
              </w:rPr>
            </w:pPr>
          </w:p>
        </w:tc>
        <w:tc>
          <w:tcPr>
            <w:tcW w:w="1593" w:type="dxa"/>
            <w:vMerge w:val="continue"/>
            <w:vAlign w:val="center"/>
          </w:tcPr>
          <w:p w14:paraId="7C0C7C7F">
            <w:pPr>
              <w:rPr>
                <w:rFonts w:ascii="Arial" w:hAnsi="Arial" w:cs="Arial"/>
                <w:color w:val="auto"/>
                <w:szCs w:val="21"/>
                <w:highlight w:val="none"/>
              </w:rPr>
            </w:pPr>
          </w:p>
        </w:tc>
        <w:tc>
          <w:tcPr>
            <w:tcW w:w="871" w:type="dxa"/>
            <w:vMerge w:val="continue"/>
            <w:vAlign w:val="center"/>
          </w:tcPr>
          <w:p w14:paraId="0610FDA4">
            <w:pPr>
              <w:jc w:val="center"/>
              <w:rPr>
                <w:rFonts w:ascii="Arial" w:hAnsi="Arial" w:cs="Arial"/>
                <w:color w:val="auto"/>
                <w:szCs w:val="21"/>
                <w:highlight w:val="none"/>
              </w:rPr>
            </w:pPr>
          </w:p>
        </w:tc>
        <w:tc>
          <w:tcPr>
            <w:tcW w:w="4068" w:type="dxa"/>
            <w:vAlign w:val="center"/>
          </w:tcPr>
          <w:p w14:paraId="54DF2676">
            <w:pPr>
              <w:spacing w:line="240" w:lineRule="atLeast"/>
              <w:rPr>
                <w:rFonts w:ascii="Arial" w:hAnsi="Arial" w:cs="Arial"/>
                <w:color w:val="auto"/>
                <w:szCs w:val="21"/>
                <w:highlight w:val="none"/>
              </w:rPr>
            </w:pPr>
            <w:r>
              <w:rPr>
                <w:rFonts w:ascii="Arial" w:hAnsi="Arial" w:cs="Arial"/>
                <w:color w:val="auto"/>
                <w:szCs w:val="21"/>
                <w:highlight w:val="none"/>
              </w:rPr>
              <w:t>布置</w:t>
            </w:r>
            <w:r>
              <w:rPr>
                <w:rFonts w:hint="eastAsia" w:ascii="Arial" w:hAnsi="Arial" w:cs="Arial"/>
                <w:color w:val="auto"/>
                <w:szCs w:val="21"/>
                <w:highlight w:val="none"/>
              </w:rPr>
              <w:t>较差</w:t>
            </w:r>
          </w:p>
        </w:tc>
        <w:tc>
          <w:tcPr>
            <w:tcW w:w="1110" w:type="dxa"/>
            <w:tcBorders>
              <w:right w:val="single" w:color="auto" w:sz="4" w:space="0"/>
            </w:tcBorders>
            <w:vAlign w:val="center"/>
          </w:tcPr>
          <w:p w14:paraId="0FD36B51">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0</w:t>
            </w:r>
          </w:p>
        </w:tc>
        <w:tc>
          <w:tcPr>
            <w:tcW w:w="1139" w:type="dxa"/>
            <w:vMerge w:val="continue"/>
            <w:tcBorders>
              <w:left w:val="single" w:color="auto" w:sz="4" w:space="0"/>
            </w:tcBorders>
            <w:vAlign w:val="center"/>
          </w:tcPr>
          <w:p w14:paraId="3CC8ABDD">
            <w:pPr>
              <w:spacing w:line="240" w:lineRule="atLeast"/>
              <w:rPr>
                <w:rFonts w:ascii="Arial" w:hAnsi="Arial" w:cs="Arial"/>
                <w:color w:val="auto"/>
                <w:szCs w:val="21"/>
                <w:highlight w:val="none"/>
              </w:rPr>
            </w:pPr>
          </w:p>
        </w:tc>
      </w:tr>
      <w:tr w14:paraId="3FD50C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F347CE5">
            <w:pPr>
              <w:jc w:val="center"/>
              <w:rPr>
                <w:rFonts w:ascii="Arial" w:hAnsi="Arial" w:cs="Arial"/>
                <w:color w:val="auto"/>
                <w:szCs w:val="21"/>
                <w:highlight w:val="none"/>
              </w:rPr>
            </w:pPr>
            <w:r>
              <w:rPr>
                <w:rFonts w:hint="eastAsia" w:ascii="Arial" w:hAnsi="Arial" w:cs="Arial"/>
                <w:color w:val="auto"/>
                <w:szCs w:val="21"/>
                <w:highlight w:val="none"/>
              </w:rPr>
              <w:t>10</w:t>
            </w:r>
          </w:p>
        </w:tc>
        <w:tc>
          <w:tcPr>
            <w:tcW w:w="1593" w:type="dxa"/>
            <w:vMerge w:val="restart"/>
            <w:vAlign w:val="center"/>
          </w:tcPr>
          <w:p w14:paraId="5BA84604">
            <w:pPr>
              <w:rPr>
                <w:rFonts w:ascii="Arial" w:hAnsi="Arial" w:cs="Arial"/>
                <w:color w:val="auto"/>
                <w:szCs w:val="21"/>
                <w:highlight w:val="none"/>
              </w:rPr>
            </w:pPr>
            <w:r>
              <w:rPr>
                <w:rFonts w:ascii="Arial" w:hAnsi="Arial" w:cs="Arial"/>
                <w:bCs/>
                <w:color w:val="auto"/>
                <w:szCs w:val="21"/>
                <w:highlight w:val="none"/>
              </w:rPr>
              <w:t>成品保护</w:t>
            </w:r>
            <w:r>
              <w:rPr>
                <w:rFonts w:hint="eastAsia" w:ascii="Arial" w:hAnsi="Arial" w:cs="Arial"/>
                <w:bCs/>
                <w:color w:val="auto"/>
                <w:szCs w:val="21"/>
                <w:highlight w:val="none"/>
              </w:rPr>
              <w:t>措施</w:t>
            </w:r>
            <w:r>
              <w:rPr>
                <w:rFonts w:ascii="Arial" w:hAnsi="Arial" w:cs="Arial"/>
                <w:bCs/>
                <w:color w:val="auto"/>
                <w:szCs w:val="21"/>
                <w:highlight w:val="none"/>
              </w:rPr>
              <w:t>和工程保修工作的管理措施和承诺</w:t>
            </w:r>
          </w:p>
        </w:tc>
        <w:tc>
          <w:tcPr>
            <w:tcW w:w="871" w:type="dxa"/>
            <w:vMerge w:val="restart"/>
            <w:vAlign w:val="center"/>
          </w:tcPr>
          <w:p w14:paraId="6192E5B6">
            <w:pPr>
              <w:jc w:val="center"/>
              <w:rPr>
                <w:rFonts w:ascii="Arial" w:hAnsi="Arial" w:cs="Arial"/>
                <w:color w:val="auto"/>
                <w:szCs w:val="21"/>
                <w:highlight w:val="none"/>
              </w:rPr>
            </w:pPr>
            <w:r>
              <w:rPr>
                <w:rFonts w:hint="eastAsia" w:ascii="Arial" w:hAnsi="Arial" w:cs="Arial"/>
                <w:color w:val="auto"/>
                <w:szCs w:val="21"/>
                <w:highlight w:val="none"/>
              </w:rPr>
              <w:t>10</w:t>
            </w:r>
          </w:p>
        </w:tc>
        <w:tc>
          <w:tcPr>
            <w:tcW w:w="4068" w:type="dxa"/>
            <w:vAlign w:val="center"/>
          </w:tcPr>
          <w:p w14:paraId="5B836449">
            <w:pPr>
              <w:spacing w:line="240" w:lineRule="atLeast"/>
              <w:rPr>
                <w:rFonts w:ascii="Arial" w:hAnsi="Arial" w:cs="Arial"/>
                <w:color w:val="auto"/>
                <w:szCs w:val="21"/>
                <w:highlight w:val="none"/>
              </w:rPr>
            </w:pPr>
            <w:r>
              <w:rPr>
                <w:rFonts w:ascii="Arial" w:hAnsi="Arial" w:cs="Arial"/>
                <w:bCs/>
                <w:color w:val="auto"/>
                <w:szCs w:val="21"/>
                <w:highlight w:val="none"/>
              </w:rPr>
              <w:t>措施</w:t>
            </w:r>
            <w:r>
              <w:rPr>
                <w:rFonts w:hint="eastAsia" w:ascii="Arial" w:hAnsi="Arial" w:cs="Arial"/>
                <w:color w:val="auto"/>
                <w:szCs w:val="21"/>
                <w:highlight w:val="none"/>
              </w:rPr>
              <w:t>合理</w:t>
            </w:r>
            <w:r>
              <w:rPr>
                <w:rFonts w:hint="eastAsia" w:ascii="Arial" w:hAnsi="Arial" w:cs="Arial"/>
                <w:bCs/>
                <w:color w:val="auto"/>
                <w:szCs w:val="21"/>
                <w:highlight w:val="none"/>
              </w:rPr>
              <w:t>、</w:t>
            </w:r>
            <w:r>
              <w:rPr>
                <w:rFonts w:ascii="Arial" w:hAnsi="Arial" w:cs="Arial"/>
                <w:bCs/>
                <w:color w:val="auto"/>
                <w:szCs w:val="21"/>
                <w:highlight w:val="none"/>
              </w:rPr>
              <w:t>承诺</w:t>
            </w:r>
            <w:r>
              <w:rPr>
                <w:rFonts w:hint="eastAsia" w:ascii="Arial" w:hAnsi="Arial" w:cs="Arial"/>
                <w:bCs/>
                <w:color w:val="auto"/>
                <w:szCs w:val="21"/>
                <w:highlight w:val="none"/>
              </w:rPr>
              <w:t>到位</w:t>
            </w:r>
          </w:p>
        </w:tc>
        <w:tc>
          <w:tcPr>
            <w:tcW w:w="1110" w:type="dxa"/>
            <w:tcBorders>
              <w:right w:val="single" w:color="auto" w:sz="4" w:space="0"/>
            </w:tcBorders>
            <w:vAlign w:val="center"/>
          </w:tcPr>
          <w:p w14:paraId="5AAB374F">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10</w:t>
            </w:r>
          </w:p>
        </w:tc>
        <w:tc>
          <w:tcPr>
            <w:tcW w:w="1139" w:type="dxa"/>
            <w:vMerge w:val="restart"/>
            <w:tcBorders>
              <w:left w:val="single" w:color="auto" w:sz="4" w:space="0"/>
            </w:tcBorders>
            <w:vAlign w:val="center"/>
          </w:tcPr>
          <w:p w14:paraId="7575B606">
            <w:pPr>
              <w:spacing w:line="240" w:lineRule="atLeast"/>
              <w:rPr>
                <w:rFonts w:ascii="Arial" w:hAnsi="Arial" w:cs="Arial"/>
                <w:color w:val="auto"/>
                <w:szCs w:val="21"/>
                <w:highlight w:val="none"/>
              </w:rPr>
            </w:pPr>
          </w:p>
        </w:tc>
      </w:tr>
      <w:tr w14:paraId="4722D8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6B550711">
            <w:pPr>
              <w:jc w:val="center"/>
              <w:rPr>
                <w:rFonts w:ascii="Arial" w:hAnsi="Arial" w:cs="Arial"/>
                <w:color w:val="auto"/>
                <w:szCs w:val="21"/>
                <w:highlight w:val="none"/>
              </w:rPr>
            </w:pPr>
          </w:p>
        </w:tc>
        <w:tc>
          <w:tcPr>
            <w:tcW w:w="1593" w:type="dxa"/>
            <w:vMerge w:val="continue"/>
            <w:vAlign w:val="center"/>
          </w:tcPr>
          <w:p w14:paraId="37FD016D">
            <w:pPr>
              <w:rPr>
                <w:rFonts w:ascii="Arial" w:hAnsi="Arial" w:cs="Arial"/>
                <w:bCs/>
                <w:color w:val="auto"/>
                <w:szCs w:val="21"/>
                <w:highlight w:val="none"/>
              </w:rPr>
            </w:pPr>
          </w:p>
        </w:tc>
        <w:tc>
          <w:tcPr>
            <w:tcW w:w="871" w:type="dxa"/>
            <w:vMerge w:val="continue"/>
            <w:vAlign w:val="center"/>
          </w:tcPr>
          <w:p w14:paraId="002C7BF5">
            <w:pPr>
              <w:jc w:val="center"/>
              <w:rPr>
                <w:rFonts w:ascii="Arial" w:hAnsi="Arial" w:cs="Arial"/>
                <w:color w:val="auto"/>
                <w:szCs w:val="21"/>
                <w:highlight w:val="none"/>
              </w:rPr>
            </w:pPr>
          </w:p>
        </w:tc>
        <w:tc>
          <w:tcPr>
            <w:tcW w:w="4068" w:type="dxa"/>
            <w:vAlign w:val="center"/>
          </w:tcPr>
          <w:p w14:paraId="459C12D0">
            <w:pPr>
              <w:spacing w:line="240" w:lineRule="atLeast"/>
              <w:rPr>
                <w:rFonts w:ascii="Arial" w:hAnsi="Arial" w:cs="Arial"/>
                <w:color w:val="auto"/>
                <w:szCs w:val="21"/>
                <w:highlight w:val="none"/>
              </w:rPr>
            </w:pPr>
            <w:r>
              <w:rPr>
                <w:rFonts w:ascii="Arial" w:hAnsi="Arial" w:cs="Arial"/>
                <w:bCs/>
                <w:color w:val="auto"/>
                <w:szCs w:val="21"/>
                <w:highlight w:val="none"/>
              </w:rPr>
              <w:t>措施</w:t>
            </w:r>
            <w:r>
              <w:rPr>
                <w:rFonts w:hint="eastAsia" w:ascii="Arial" w:hAnsi="Arial" w:cs="Arial"/>
                <w:color w:val="auto"/>
                <w:szCs w:val="21"/>
                <w:highlight w:val="none"/>
              </w:rPr>
              <w:t>合理</w:t>
            </w:r>
            <w:r>
              <w:rPr>
                <w:rFonts w:hint="eastAsia" w:ascii="Arial" w:hAnsi="Arial" w:cs="Arial"/>
                <w:bCs/>
                <w:color w:val="auto"/>
                <w:szCs w:val="21"/>
                <w:highlight w:val="none"/>
              </w:rPr>
              <w:t>、</w:t>
            </w:r>
            <w:r>
              <w:rPr>
                <w:rFonts w:ascii="Arial" w:hAnsi="Arial" w:cs="Arial"/>
                <w:bCs/>
                <w:color w:val="auto"/>
                <w:szCs w:val="21"/>
                <w:highlight w:val="none"/>
              </w:rPr>
              <w:t>承诺</w:t>
            </w:r>
            <w:r>
              <w:rPr>
                <w:rFonts w:hint="eastAsia" w:ascii="Arial" w:hAnsi="Arial" w:cs="Arial"/>
                <w:bCs/>
                <w:color w:val="auto"/>
                <w:szCs w:val="21"/>
                <w:highlight w:val="none"/>
              </w:rPr>
              <w:t>比较到位</w:t>
            </w:r>
          </w:p>
        </w:tc>
        <w:tc>
          <w:tcPr>
            <w:tcW w:w="1110" w:type="dxa"/>
            <w:tcBorders>
              <w:right w:val="single" w:color="auto" w:sz="4" w:space="0"/>
            </w:tcBorders>
            <w:vAlign w:val="center"/>
          </w:tcPr>
          <w:p w14:paraId="0F8A80DF">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5</w:t>
            </w:r>
          </w:p>
        </w:tc>
        <w:tc>
          <w:tcPr>
            <w:tcW w:w="1139" w:type="dxa"/>
            <w:vMerge w:val="continue"/>
            <w:tcBorders>
              <w:left w:val="single" w:color="auto" w:sz="4" w:space="0"/>
            </w:tcBorders>
            <w:vAlign w:val="center"/>
          </w:tcPr>
          <w:p w14:paraId="4F7E9B91">
            <w:pPr>
              <w:spacing w:line="240" w:lineRule="atLeast"/>
              <w:rPr>
                <w:rFonts w:ascii="Arial" w:hAnsi="Arial" w:cs="Arial"/>
                <w:color w:val="auto"/>
                <w:szCs w:val="21"/>
                <w:highlight w:val="none"/>
              </w:rPr>
            </w:pPr>
          </w:p>
        </w:tc>
      </w:tr>
      <w:tr w14:paraId="48B3E6E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1ECA2449">
            <w:pPr>
              <w:jc w:val="center"/>
              <w:rPr>
                <w:rFonts w:ascii="Arial" w:hAnsi="Arial" w:cs="Arial"/>
                <w:color w:val="auto"/>
                <w:szCs w:val="21"/>
                <w:highlight w:val="none"/>
              </w:rPr>
            </w:pPr>
          </w:p>
        </w:tc>
        <w:tc>
          <w:tcPr>
            <w:tcW w:w="1593" w:type="dxa"/>
            <w:vMerge w:val="continue"/>
            <w:vAlign w:val="center"/>
          </w:tcPr>
          <w:p w14:paraId="4BDEC422">
            <w:pPr>
              <w:rPr>
                <w:rFonts w:ascii="Arial" w:hAnsi="Arial" w:cs="Arial"/>
                <w:color w:val="auto"/>
                <w:szCs w:val="21"/>
                <w:highlight w:val="none"/>
              </w:rPr>
            </w:pPr>
          </w:p>
        </w:tc>
        <w:tc>
          <w:tcPr>
            <w:tcW w:w="871" w:type="dxa"/>
            <w:vMerge w:val="continue"/>
            <w:vAlign w:val="center"/>
          </w:tcPr>
          <w:p w14:paraId="3C172E5C">
            <w:pPr>
              <w:jc w:val="center"/>
              <w:rPr>
                <w:rFonts w:ascii="Arial" w:hAnsi="Arial" w:cs="Arial"/>
                <w:color w:val="auto"/>
                <w:szCs w:val="21"/>
                <w:highlight w:val="none"/>
              </w:rPr>
            </w:pPr>
          </w:p>
        </w:tc>
        <w:tc>
          <w:tcPr>
            <w:tcW w:w="4068" w:type="dxa"/>
            <w:vAlign w:val="center"/>
          </w:tcPr>
          <w:p w14:paraId="605A4960">
            <w:pPr>
              <w:spacing w:line="240" w:lineRule="atLeast"/>
              <w:rPr>
                <w:rFonts w:ascii="Arial" w:hAnsi="Arial" w:cs="Arial"/>
                <w:color w:val="auto"/>
                <w:szCs w:val="21"/>
                <w:highlight w:val="none"/>
              </w:rPr>
            </w:pPr>
            <w:r>
              <w:rPr>
                <w:rFonts w:ascii="Arial" w:hAnsi="Arial" w:cs="Arial"/>
                <w:bCs/>
                <w:color w:val="auto"/>
                <w:szCs w:val="21"/>
                <w:highlight w:val="none"/>
              </w:rPr>
              <w:t>措施</w:t>
            </w:r>
            <w:r>
              <w:rPr>
                <w:rFonts w:hint="eastAsia" w:ascii="Arial" w:hAnsi="Arial" w:cs="Arial"/>
                <w:color w:val="auto"/>
                <w:szCs w:val="21"/>
                <w:highlight w:val="none"/>
              </w:rPr>
              <w:t>较差</w:t>
            </w:r>
            <w:r>
              <w:rPr>
                <w:rFonts w:hint="eastAsia" w:ascii="Arial" w:hAnsi="Arial" w:cs="Arial"/>
                <w:bCs/>
                <w:color w:val="auto"/>
                <w:szCs w:val="21"/>
                <w:highlight w:val="none"/>
              </w:rPr>
              <w:t>、</w:t>
            </w:r>
            <w:r>
              <w:rPr>
                <w:rFonts w:ascii="Arial" w:hAnsi="Arial" w:cs="Arial"/>
                <w:bCs/>
                <w:color w:val="auto"/>
                <w:szCs w:val="21"/>
                <w:highlight w:val="none"/>
              </w:rPr>
              <w:t>承诺</w:t>
            </w:r>
            <w:r>
              <w:rPr>
                <w:rFonts w:hint="eastAsia" w:ascii="Arial" w:hAnsi="Arial" w:cs="Arial"/>
                <w:bCs/>
                <w:color w:val="auto"/>
                <w:szCs w:val="21"/>
                <w:highlight w:val="none"/>
              </w:rPr>
              <w:t>不到位</w:t>
            </w:r>
          </w:p>
        </w:tc>
        <w:tc>
          <w:tcPr>
            <w:tcW w:w="1110" w:type="dxa"/>
            <w:tcBorders>
              <w:right w:val="single" w:color="auto" w:sz="4" w:space="0"/>
            </w:tcBorders>
            <w:vAlign w:val="center"/>
          </w:tcPr>
          <w:p w14:paraId="02BDCC6F">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0</w:t>
            </w:r>
          </w:p>
        </w:tc>
        <w:tc>
          <w:tcPr>
            <w:tcW w:w="1139" w:type="dxa"/>
            <w:vMerge w:val="continue"/>
            <w:tcBorders>
              <w:left w:val="single" w:color="auto" w:sz="4" w:space="0"/>
            </w:tcBorders>
            <w:vAlign w:val="center"/>
          </w:tcPr>
          <w:p w14:paraId="465868A9">
            <w:pPr>
              <w:spacing w:line="240" w:lineRule="atLeast"/>
              <w:rPr>
                <w:rFonts w:ascii="Arial" w:hAnsi="Arial" w:cs="Arial"/>
                <w:color w:val="auto"/>
                <w:szCs w:val="21"/>
                <w:highlight w:val="none"/>
              </w:rPr>
            </w:pPr>
          </w:p>
        </w:tc>
      </w:tr>
      <w:tr w14:paraId="2C913A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restart"/>
            <w:vAlign w:val="center"/>
          </w:tcPr>
          <w:p w14:paraId="38AEE02C">
            <w:pPr>
              <w:jc w:val="center"/>
              <w:rPr>
                <w:rFonts w:ascii="Arial" w:hAnsi="Arial" w:cs="Arial"/>
                <w:color w:val="auto"/>
                <w:szCs w:val="21"/>
                <w:highlight w:val="none"/>
              </w:rPr>
            </w:pPr>
            <w:r>
              <w:rPr>
                <w:rFonts w:hint="eastAsia" w:ascii="Arial" w:hAnsi="Arial" w:cs="Arial"/>
                <w:color w:val="auto"/>
                <w:szCs w:val="21"/>
                <w:highlight w:val="none"/>
              </w:rPr>
              <w:t>11</w:t>
            </w:r>
          </w:p>
        </w:tc>
        <w:tc>
          <w:tcPr>
            <w:tcW w:w="1593" w:type="dxa"/>
            <w:vMerge w:val="restart"/>
            <w:vAlign w:val="center"/>
          </w:tcPr>
          <w:p w14:paraId="27DADC2A">
            <w:pPr>
              <w:rPr>
                <w:rFonts w:ascii="Arial" w:hAnsi="Arial" w:cs="Arial"/>
                <w:color w:val="auto"/>
                <w:szCs w:val="21"/>
                <w:highlight w:val="none"/>
              </w:rPr>
            </w:pPr>
            <w:r>
              <w:rPr>
                <w:rFonts w:ascii="Arial" w:hAnsi="Arial" w:cs="Arial"/>
                <w:color w:val="auto"/>
                <w:szCs w:val="21"/>
                <w:highlight w:val="none"/>
              </w:rPr>
              <w:t>紧急情况的处理措施、预案以及抵抗风险的措施</w:t>
            </w:r>
          </w:p>
        </w:tc>
        <w:tc>
          <w:tcPr>
            <w:tcW w:w="871" w:type="dxa"/>
            <w:vMerge w:val="restart"/>
            <w:vAlign w:val="center"/>
          </w:tcPr>
          <w:p w14:paraId="123D0B7B">
            <w:pPr>
              <w:jc w:val="center"/>
              <w:rPr>
                <w:rFonts w:ascii="Arial" w:hAnsi="Arial" w:cs="Arial"/>
                <w:color w:val="auto"/>
                <w:szCs w:val="21"/>
                <w:highlight w:val="none"/>
              </w:rPr>
            </w:pPr>
            <w:r>
              <w:rPr>
                <w:rFonts w:hint="eastAsia" w:ascii="Arial" w:hAnsi="Arial" w:cs="Arial"/>
                <w:color w:val="auto"/>
                <w:szCs w:val="21"/>
                <w:highlight w:val="none"/>
              </w:rPr>
              <w:t>5</w:t>
            </w:r>
          </w:p>
        </w:tc>
        <w:tc>
          <w:tcPr>
            <w:tcW w:w="4068" w:type="dxa"/>
            <w:vAlign w:val="center"/>
          </w:tcPr>
          <w:p w14:paraId="4AEE2774">
            <w:pPr>
              <w:spacing w:line="240" w:lineRule="atLeast"/>
              <w:rPr>
                <w:rFonts w:ascii="Arial" w:hAnsi="Arial" w:cs="Arial"/>
                <w:color w:val="auto"/>
                <w:szCs w:val="21"/>
                <w:highlight w:val="none"/>
              </w:rPr>
            </w:pPr>
            <w:r>
              <w:rPr>
                <w:rFonts w:ascii="Arial" w:hAnsi="Arial" w:cs="Arial"/>
                <w:bCs/>
                <w:color w:val="auto"/>
                <w:szCs w:val="21"/>
                <w:highlight w:val="none"/>
              </w:rPr>
              <w:t>措施</w:t>
            </w:r>
            <w:r>
              <w:rPr>
                <w:rFonts w:hint="eastAsia" w:ascii="Arial" w:hAnsi="Arial" w:cs="Arial"/>
                <w:bCs/>
                <w:color w:val="auto"/>
                <w:szCs w:val="21"/>
                <w:highlight w:val="none"/>
              </w:rPr>
              <w:t>及</w:t>
            </w:r>
            <w:r>
              <w:rPr>
                <w:rFonts w:ascii="Arial" w:hAnsi="Arial" w:cs="Arial"/>
                <w:color w:val="auto"/>
                <w:szCs w:val="21"/>
                <w:highlight w:val="none"/>
              </w:rPr>
              <w:t>方案</w:t>
            </w:r>
            <w:r>
              <w:rPr>
                <w:rFonts w:hint="eastAsia" w:ascii="Arial" w:hAnsi="Arial" w:cs="Arial"/>
                <w:color w:val="auto"/>
                <w:szCs w:val="21"/>
                <w:highlight w:val="none"/>
              </w:rPr>
              <w:t>合理</w:t>
            </w:r>
          </w:p>
        </w:tc>
        <w:tc>
          <w:tcPr>
            <w:tcW w:w="1110" w:type="dxa"/>
            <w:tcBorders>
              <w:right w:val="single" w:color="auto" w:sz="4" w:space="0"/>
            </w:tcBorders>
            <w:vAlign w:val="center"/>
          </w:tcPr>
          <w:p w14:paraId="2D6C68B4">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5</w:t>
            </w:r>
          </w:p>
        </w:tc>
        <w:tc>
          <w:tcPr>
            <w:tcW w:w="1139" w:type="dxa"/>
            <w:vMerge w:val="restart"/>
            <w:tcBorders>
              <w:left w:val="single" w:color="auto" w:sz="4" w:space="0"/>
            </w:tcBorders>
            <w:vAlign w:val="center"/>
          </w:tcPr>
          <w:p w14:paraId="32F999E2">
            <w:pPr>
              <w:spacing w:line="240" w:lineRule="atLeast"/>
              <w:rPr>
                <w:rFonts w:ascii="Arial" w:hAnsi="Arial" w:cs="Arial"/>
                <w:color w:val="auto"/>
                <w:szCs w:val="21"/>
                <w:highlight w:val="none"/>
              </w:rPr>
            </w:pPr>
          </w:p>
        </w:tc>
      </w:tr>
      <w:tr w14:paraId="7DFA04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5A7B8B2A">
            <w:pPr>
              <w:jc w:val="center"/>
              <w:rPr>
                <w:rFonts w:ascii="Arial" w:hAnsi="Arial" w:cs="Arial"/>
                <w:color w:val="auto"/>
                <w:szCs w:val="21"/>
                <w:highlight w:val="none"/>
              </w:rPr>
            </w:pPr>
          </w:p>
        </w:tc>
        <w:tc>
          <w:tcPr>
            <w:tcW w:w="1593" w:type="dxa"/>
            <w:vMerge w:val="continue"/>
            <w:vAlign w:val="center"/>
          </w:tcPr>
          <w:p w14:paraId="5096B81A">
            <w:pPr>
              <w:rPr>
                <w:rFonts w:ascii="Arial" w:hAnsi="Arial" w:cs="Arial"/>
                <w:bCs/>
                <w:color w:val="auto"/>
                <w:szCs w:val="21"/>
                <w:highlight w:val="none"/>
              </w:rPr>
            </w:pPr>
          </w:p>
        </w:tc>
        <w:tc>
          <w:tcPr>
            <w:tcW w:w="871" w:type="dxa"/>
            <w:vMerge w:val="continue"/>
            <w:vAlign w:val="center"/>
          </w:tcPr>
          <w:p w14:paraId="4121A239">
            <w:pPr>
              <w:jc w:val="center"/>
              <w:rPr>
                <w:rFonts w:ascii="Arial" w:hAnsi="Arial" w:cs="Arial"/>
                <w:color w:val="auto"/>
                <w:szCs w:val="21"/>
                <w:highlight w:val="none"/>
              </w:rPr>
            </w:pPr>
          </w:p>
        </w:tc>
        <w:tc>
          <w:tcPr>
            <w:tcW w:w="4068" w:type="dxa"/>
            <w:vAlign w:val="center"/>
          </w:tcPr>
          <w:p w14:paraId="42594A4F">
            <w:pPr>
              <w:spacing w:line="240" w:lineRule="atLeast"/>
              <w:rPr>
                <w:rFonts w:ascii="Arial" w:hAnsi="Arial" w:cs="Arial"/>
                <w:color w:val="auto"/>
                <w:szCs w:val="21"/>
                <w:highlight w:val="none"/>
              </w:rPr>
            </w:pPr>
            <w:r>
              <w:rPr>
                <w:rFonts w:ascii="Arial" w:hAnsi="Arial" w:cs="Arial"/>
                <w:bCs/>
                <w:color w:val="auto"/>
                <w:szCs w:val="21"/>
                <w:highlight w:val="none"/>
              </w:rPr>
              <w:t>措施</w:t>
            </w:r>
            <w:r>
              <w:rPr>
                <w:rFonts w:hint="eastAsia" w:ascii="Arial" w:hAnsi="Arial" w:cs="Arial"/>
                <w:bCs/>
                <w:color w:val="auto"/>
                <w:szCs w:val="21"/>
                <w:highlight w:val="none"/>
              </w:rPr>
              <w:t>及</w:t>
            </w:r>
            <w:r>
              <w:rPr>
                <w:rFonts w:ascii="Arial" w:hAnsi="Arial" w:cs="Arial"/>
                <w:color w:val="auto"/>
                <w:szCs w:val="21"/>
                <w:highlight w:val="none"/>
              </w:rPr>
              <w:t>方案</w:t>
            </w:r>
            <w:r>
              <w:rPr>
                <w:rFonts w:hint="eastAsia" w:ascii="Arial" w:hAnsi="Arial" w:cs="Arial"/>
                <w:color w:val="auto"/>
                <w:szCs w:val="21"/>
                <w:highlight w:val="none"/>
              </w:rPr>
              <w:t>较合理</w:t>
            </w:r>
          </w:p>
        </w:tc>
        <w:tc>
          <w:tcPr>
            <w:tcW w:w="1110" w:type="dxa"/>
            <w:tcBorders>
              <w:right w:val="single" w:color="auto" w:sz="4" w:space="0"/>
            </w:tcBorders>
            <w:vAlign w:val="center"/>
          </w:tcPr>
          <w:p w14:paraId="76849E39">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2</w:t>
            </w:r>
          </w:p>
        </w:tc>
        <w:tc>
          <w:tcPr>
            <w:tcW w:w="1139" w:type="dxa"/>
            <w:vMerge w:val="continue"/>
            <w:tcBorders>
              <w:left w:val="single" w:color="auto" w:sz="4" w:space="0"/>
            </w:tcBorders>
            <w:vAlign w:val="center"/>
          </w:tcPr>
          <w:p w14:paraId="58B6F5A1">
            <w:pPr>
              <w:spacing w:line="240" w:lineRule="atLeast"/>
              <w:rPr>
                <w:rFonts w:ascii="Arial" w:hAnsi="Arial" w:cs="Arial"/>
                <w:color w:val="auto"/>
                <w:szCs w:val="21"/>
                <w:highlight w:val="none"/>
              </w:rPr>
            </w:pPr>
          </w:p>
        </w:tc>
      </w:tr>
      <w:tr w14:paraId="38CA03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772" w:type="dxa"/>
            <w:vMerge w:val="continue"/>
            <w:vAlign w:val="center"/>
          </w:tcPr>
          <w:p w14:paraId="7B8487AA">
            <w:pPr>
              <w:jc w:val="center"/>
              <w:rPr>
                <w:rFonts w:ascii="Arial" w:hAnsi="Arial" w:cs="Arial"/>
                <w:color w:val="auto"/>
                <w:szCs w:val="21"/>
                <w:highlight w:val="none"/>
              </w:rPr>
            </w:pPr>
          </w:p>
        </w:tc>
        <w:tc>
          <w:tcPr>
            <w:tcW w:w="1593" w:type="dxa"/>
            <w:vMerge w:val="continue"/>
            <w:vAlign w:val="center"/>
          </w:tcPr>
          <w:p w14:paraId="265588DC">
            <w:pPr>
              <w:rPr>
                <w:rFonts w:ascii="Arial" w:hAnsi="Arial" w:cs="Arial"/>
                <w:color w:val="auto"/>
                <w:szCs w:val="21"/>
                <w:highlight w:val="none"/>
              </w:rPr>
            </w:pPr>
          </w:p>
        </w:tc>
        <w:tc>
          <w:tcPr>
            <w:tcW w:w="871" w:type="dxa"/>
            <w:vMerge w:val="continue"/>
            <w:vAlign w:val="center"/>
          </w:tcPr>
          <w:p w14:paraId="3A701C64">
            <w:pPr>
              <w:jc w:val="center"/>
              <w:rPr>
                <w:rFonts w:ascii="Arial" w:hAnsi="Arial" w:cs="Arial"/>
                <w:color w:val="auto"/>
                <w:szCs w:val="21"/>
                <w:highlight w:val="none"/>
              </w:rPr>
            </w:pPr>
          </w:p>
        </w:tc>
        <w:tc>
          <w:tcPr>
            <w:tcW w:w="4068" w:type="dxa"/>
            <w:vAlign w:val="center"/>
          </w:tcPr>
          <w:p w14:paraId="79FDF234">
            <w:pPr>
              <w:spacing w:line="240" w:lineRule="atLeast"/>
              <w:rPr>
                <w:rFonts w:ascii="Arial" w:hAnsi="Arial" w:cs="Arial"/>
                <w:color w:val="auto"/>
                <w:szCs w:val="21"/>
                <w:highlight w:val="none"/>
              </w:rPr>
            </w:pPr>
            <w:r>
              <w:rPr>
                <w:rFonts w:ascii="Arial" w:hAnsi="Arial" w:cs="Arial"/>
                <w:bCs/>
                <w:color w:val="auto"/>
                <w:szCs w:val="21"/>
                <w:highlight w:val="none"/>
              </w:rPr>
              <w:t>措施</w:t>
            </w:r>
            <w:r>
              <w:rPr>
                <w:rFonts w:hint="eastAsia" w:ascii="Arial" w:hAnsi="Arial" w:cs="Arial"/>
                <w:bCs/>
                <w:color w:val="auto"/>
                <w:szCs w:val="21"/>
                <w:highlight w:val="none"/>
              </w:rPr>
              <w:t>及</w:t>
            </w:r>
            <w:r>
              <w:rPr>
                <w:rFonts w:ascii="Arial" w:hAnsi="Arial" w:cs="Arial"/>
                <w:color w:val="auto"/>
                <w:szCs w:val="21"/>
                <w:highlight w:val="none"/>
              </w:rPr>
              <w:t>方案</w:t>
            </w:r>
            <w:r>
              <w:rPr>
                <w:rFonts w:hint="eastAsia" w:ascii="Arial" w:hAnsi="Arial" w:cs="Arial"/>
                <w:color w:val="auto"/>
                <w:szCs w:val="21"/>
                <w:highlight w:val="none"/>
              </w:rPr>
              <w:t>较差</w:t>
            </w:r>
          </w:p>
        </w:tc>
        <w:tc>
          <w:tcPr>
            <w:tcW w:w="1110" w:type="dxa"/>
            <w:tcBorders>
              <w:right w:val="single" w:color="auto" w:sz="4" w:space="0"/>
            </w:tcBorders>
            <w:vAlign w:val="center"/>
          </w:tcPr>
          <w:p w14:paraId="1E41B8D7">
            <w:pPr>
              <w:spacing w:line="240" w:lineRule="atLeast"/>
              <w:jc w:val="center"/>
              <w:rPr>
                <w:rFonts w:ascii="Arial" w:hAnsi="Arial" w:cs="Arial"/>
                <w:color w:val="auto"/>
                <w:szCs w:val="21"/>
                <w:highlight w:val="none"/>
              </w:rPr>
            </w:pPr>
            <w:r>
              <w:rPr>
                <w:rFonts w:hint="eastAsia" w:ascii="Arial" w:hAnsi="Arial" w:cs="Arial"/>
                <w:color w:val="auto"/>
                <w:szCs w:val="21"/>
                <w:highlight w:val="none"/>
              </w:rPr>
              <w:t>1</w:t>
            </w:r>
          </w:p>
        </w:tc>
        <w:tc>
          <w:tcPr>
            <w:tcW w:w="1139" w:type="dxa"/>
            <w:vMerge w:val="continue"/>
            <w:tcBorders>
              <w:left w:val="single" w:color="auto" w:sz="4" w:space="0"/>
            </w:tcBorders>
            <w:vAlign w:val="center"/>
          </w:tcPr>
          <w:p w14:paraId="5A5CE4FF">
            <w:pPr>
              <w:spacing w:line="240" w:lineRule="atLeast"/>
              <w:rPr>
                <w:rFonts w:ascii="Arial" w:hAnsi="Arial" w:cs="Arial"/>
                <w:color w:val="auto"/>
                <w:szCs w:val="21"/>
                <w:highlight w:val="none"/>
              </w:rPr>
            </w:pPr>
          </w:p>
        </w:tc>
      </w:tr>
      <w:tr w14:paraId="7A1824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21" w:hRule="atLeast"/>
          <w:jc w:val="center"/>
        </w:trPr>
        <w:tc>
          <w:tcPr>
            <w:tcW w:w="7304" w:type="dxa"/>
            <w:gridSpan w:val="4"/>
            <w:vAlign w:val="center"/>
          </w:tcPr>
          <w:p w14:paraId="38E69919">
            <w:pPr>
              <w:jc w:val="center"/>
              <w:rPr>
                <w:rFonts w:ascii="Arial" w:hAnsi="Arial" w:cs="宋体"/>
                <w:color w:val="auto"/>
                <w:szCs w:val="21"/>
                <w:highlight w:val="none"/>
              </w:rPr>
            </w:pPr>
            <w:r>
              <w:rPr>
                <w:rFonts w:hint="eastAsia" w:ascii="Arial" w:hAnsi="Arial" w:cs="Arial"/>
                <w:color w:val="auto"/>
                <w:szCs w:val="21"/>
                <w:highlight w:val="none"/>
              </w:rPr>
              <w:t>合 计（100）</w:t>
            </w:r>
          </w:p>
        </w:tc>
        <w:tc>
          <w:tcPr>
            <w:tcW w:w="2249" w:type="dxa"/>
            <w:gridSpan w:val="2"/>
            <w:vAlign w:val="center"/>
          </w:tcPr>
          <w:p w14:paraId="018C2FF3">
            <w:pPr>
              <w:jc w:val="center"/>
              <w:rPr>
                <w:rFonts w:ascii="Arial" w:hAnsi="Arial" w:cs="Arial"/>
                <w:bCs/>
                <w:color w:val="auto"/>
                <w:szCs w:val="21"/>
                <w:highlight w:val="none"/>
              </w:rPr>
            </w:pPr>
          </w:p>
        </w:tc>
      </w:tr>
    </w:tbl>
    <w:p w14:paraId="0B4D0239">
      <w:pPr>
        <w:snapToGrid w:val="0"/>
        <w:rPr>
          <w:color w:val="auto"/>
          <w:sz w:val="24"/>
          <w:highlight w:val="none"/>
        </w:rPr>
      </w:pPr>
      <w:r>
        <w:rPr>
          <w:color w:val="auto"/>
          <w:highlight w:val="none"/>
        </w:rPr>
        <w:br w:type="page"/>
      </w:r>
      <w:r>
        <w:rPr>
          <w:rFonts w:hAnsi="宋体"/>
          <w:color w:val="auto"/>
          <w:sz w:val="24"/>
          <w:highlight w:val="none"/>
        </w:rPr>
        <w:t>附表</w:t>
      </w:r>
      <w:r>
        <w:rPr>
          <w:rFonts w:hint="eastAsia" w:hAnsi="宋体"/>
          <w:color w:val="auto"/>
          <w:sz w:val="24"/>
          <w:highlight w:val="none"/>
        </w:rPr>
        <w:t>3</w:t>
      </w:r>
    </w:p>
    <w:p w14:paraId="245B023A">
      <w:pPr>
        <w:pStyle w:val="8"/>
        <w:spacing w:line="360" w:lineRule="auto"/>
        <w:ind w:firstLine="482"/>
        <w:jc w:val="center"/>
        <w:rPr>
          <w:rFonts w:hint="eastAsia" w:hAnsi="宋体"/>
          <w:b/>
          <w:color w:val="auto"/>
          <w:sz w:val="24"/>
          <w:highlight w:val="none"/>
        </w:rPr>
      </w:pPr>
      <w:r>
        <w:rPr>
          <w:rFonts w:hAnsi="宋体"/>
          <w:b/>
          <w:color w:val="auto"/>
          <w:sz w:val="24"/>
          <w:highlight w:val="none"/>
        </w:rPr>
        <w:t>经济</w:t>
      </w:r>
      <w:r>
        <w:rPr>
          <w:rFonts w:hint="eastAsia" w:hAnsi="宋体"/>
          <w:b/>
          <w:color w:val="auto"/>
          <w:sz w:val="24"/>
          <w:highlight w:val="none"/>
        </w:rPr>
        <w:t>报价</w:t>
      </w:r>
      <w:r>
        <w:rPr>
          <w:rFonts w:hAnsi="宋体"/>
          <w:b/>
          <w:color w:val="auto"/>
          <w:sz w:val="24"/>
          <w:highlight w:val="none"/>
        </w:rPr>
        <w:t>评分表</w:t>
      </w:r>
    </w:p>
    <w:p w14:paraId="5271236A">
      <w:pPr>
        <w:spacing w:line="360" w:lineRule="auto"/>
        <w:rPr>
          <w:color w:val="auto"/>
          <w:szCs w:val="21"/>
          <w:highlight w:val="none"/>
        </w:rPr>
      </w:pPr>
      <w:r>
        <w:rPr>
          <w:rFonts w:hint="eastAsia"/>
          <w:color w:val="auto"/>
          <w:highlight w:val="none"/>
        </w:rPr>
        <w:t>响应单位名称：</w:t>
      </w:r>
    </w:p>
    <w:tbl>
      <w:tblPr>
        <w:tblStyle w:val="31"/>
        <w:tblW w:w="9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365"/>
        <w:gridCol w:w="2730"/>
        <w:gridCol w:w="1260"/>
        <w:gridCol w:w="2205"/>
      </w:tblGrid>
      <w:tr w14:paraId="50B1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Align w:val="center"/>
          </w:tcPr>
          <w:p w14:paraId="59688A20">
            <w:pPr>
              <w:spacing w:line="360" w:lineRule="auto"/>
              <w:jc w:val="center"/>
              <w:rPr>
                <w:rFonts w:ascii="Arial" w:hAnsi="Arial" w:cs="Arial"/>
                <w:bCs/>
                <w:color w:val="auto"/>
                <w:szCs w:val="21"/>
                <w:highlight w:val="none"/>
              </w:rPr>
            </w:pPr>
            <w:r>
              <w:rPr>
                <w:rFonts w:hint="eastAsia" w:ascii="Arial" w:hAnsi="Arial" w:cs="Arial"/>
                <w:bCs/>
                <w:color w:val="auto"/>
                <w:szCs w:val="21"/>
                <w:highlight w:val="none"/>
              </w:rPr>
              <w:t>项目</w:t>
            </w:r>
          </w:p>
        </w:tc>
        <w:tc>
          <w:tcPr>
            <w:tcW w:w="1365" w:type="dxa"/>
            <w:vAlign w:val="center"/>
          </w:tcPr>
          <w:p w14:paraId="1A87C7B1">
            <w:pPr>
              <w:spacing w:line="360" w:lineRule="auto"/>
              <w:jc w:val="center"/>
              <w:rPr>
                <w:rFonts w:ascii="Arial" w:hAnsi="Arial" w:cs="Arial"/>
                <w:bCs/>
                <w:color w:val="auto"/>
                <w:szCs w:val="21"/>
                <w:highlight w:val="none"/>
              </w:rPr>
            </w:pPr>
            <w:r>
              <w:rPr>
                <w:rFonts w:hint="eastAsia" w:ascii="Arial" w:hAnsi="Arial" w:cs="Arial"/>
                <w:bCs/>
                <w:color w:val="auto"/>
                <w:szCs w:val="21"/>
                <w:highlight w:val="none"/>
              </w:rPr>
              <w:t>满分</w:t>
            </w:r>
          </w:p>
        </w:tc>
        <w:tc>
          <w:tcPr>
            <w:tcW w:w="2730" w:type="dxa"/>
            <w:vAlign w:val="center"/>
          </w:tcPr>
          <w:p w14:paraId="66049183">
            <w:pPr>
              <w:spacing w:line="360" w:lineRule="auto"/>
              <w:jc w:val="center"/>
              <w:rPr>
                <w:rFonts w:ascii="Arial" w:hAnsi="Arial" w:cs="Arial"/>
                <w:bCs/>
                <w:color w:val="auto"/>
                <w:szCs w:val="21"/>
                <w:highlight w:val="none"/>
              </w:rPr>
            </w:pPr>
            <w:r>
              <w:rPr>
                <w:rFonts w:ascii="Arial" w:hAnsi="Arial" w:cs="Arial"/>
                <w:bCs/>
                <w:color w:val="auto"/>
                <w:szCs w:val="21"/>
                <w:highlight w:val="none"/>
              </w:rPr>
              <w:t>β</w:t>
            </w:r>
            <w:r>
              <w:rPr>
                <w:rFonts w:hint="eastAsia" w:ascii="Arial" w:hAnsi="Arial" w:cs="Arial"/>
                <w:bCs/>
                <w:color w:val="auto"/>
                <w:szCs w:val="21"/>
                <w:highlight w:val="none"/>
              </w:rPr>
              <w:t>值分布</w:t>
            </w:r>
          </w:p>
        </w:tc>
        <w:tc>
          <w:tcPr>
            <w:tcW w:w="1260" w:type="dxa"/>
            <w:vAlign w:val="center"/>
          </w:tcPr>
          <w:p w14:paraId="584F41FA">
            <w:pPr>
              <w:spacing w:line="360" w:lineRule="auto"/>
              <w:jc w:val="center"/>
              <w:rPr>
                <w:rFonts w:ascii="Arial" w:hAnsi="Arial" w:cs="Arial"/>
                <w:bCs/>
                <w:color w:val="auto"/>
                <w:szCs w:val="21"/>
                <w:highlight w:val="none"/>
              </w:rPr>
            </w:pPr>
            <w:r>
              <w:rPr>
                <w:rFonts w:hint="eastAsia" w:ascii="Arial" w:hAnsi="Arial" w:cs="Arial"/>
                <w:bCs/>
                <w:color w:val="auto"/>
                <w:szCs w:val="21"/>
                <w:highlight w:val="none"/>
              </w:rPr>
              <w:t>分值</w:t>
            </w:r>
          </w:p>
        </w:tc>
        <w:tc>
          <w:tcPr>
            <w:tcW w:w="2205" w:type="dxa"/>
            <w:vAlign w:val="center"/>
          </w:tcPr>
          <w:p w14:paraId="73A30988">
            <w:pPr>
              <w:spacing w:line="360" w:lineRule="auto"/>
              <w:jc w:val="center"/>
              <w:rPr>
                <w:rFonts w:ascii="Arial" w:hAnsi="Arial" w:cs="Arial"/>
                <w:bCs/>
                <w:color w:val="auto"/>
                <w:szCs w:val="21"/>
                <w:highlight w:val="none"/>
              </w:rPr>
            </w:pPr>
            <w:r>
              <w:rPr>
                <w:rFonts w:hint="eastAsia" w:ascii="Arial" w:hAnsi="Arial" w:cs="Arial"/>
                <w:bCs/>
                <w:color w:val="auto"/>
                <w:szCs w:val="21"/>
                <w:highlight w:val="none"/>
              </w:rPr>
              <w:t>备注</w:t>
            </w:r>
          </w:p>
        </w:tc>
      </w:tr>
      <w:tr w14:paraId="1501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restart"/>
            <w:vAlign w:val="center"/>
          </w:tcPr>
          <w:p w14:paraId="469FCB0B">
            <w:pPr>
              <w:jc w:val="center"/>
              <w:rPr>
                <w:rFonts w:ascii="Arial" w:hAnsi="Arial" w:cs="Arial"/>
                <w:bCs/>
                <w:color w:val="auto"/>
                <w:szCs w:val="21"/>
                <w:highlight w:val="none"/>
              </w:rPr>
            </w:pPr>
            <w:r>
              <w:rPr>
                <w:rFonts w:hint="eastAsia" w:ascii="Arial" w:hAnsi="Arial" w:cs="Arial"/>
                <w:bCs/>
                <w:color w:val="auto"/>
                <w:szCs w:val="21"/>
                <w:highlight w:val="none"/>
              </w:rPr>
              <w:t>评审价</w:t>
            </w:r>
          </w:p>
        </w:tc>
        <w:tc>
          <w:tcPr>
            <w:tcW w:w="1365" w:type="dxa"/>
            <w:vMerge w:val="restart"/>
            <w:vAlign w:val="center"/>
          </w:tcPr>
          <w:p w14:paraId="7B3D3311">
            <w:pPr>
              <w:jc w:val="center"/>
              <w:rPr>
                <w:rFonts w:ascii="Arial" w:hAnsi="Arial" w:cs="Arial"/>
                <w:bCs/>
                <w:color w:val="auto"/>
                <w:szCs w:val="21"/>
                <w:highlight w:val="none"/>
              </w:rPr>
            </w:pPr>
            <w:r>
              <w:rPr>
                <w:rFonts w:hint="eastAsia" w:ascii="Arial" w:hAnsi="Arial" w:cs="Arial"/>
                <w:bCs/>
                <w:color w:val="auto"/>
                <w:szCs w:val="21"/>
                <w:highlight w:val="none"/>
              </w:rPr>
              <w:t>100</w:t>
            </w:r>
          </w:p>
        </w:tc>
        <w:tc>
          <w:tcPr>
            <w:tcW w:w="2730" w:type="dxa"/>
            <w:vAlign w:val="center"/>
          </w:tcPr>
          <w:p w14:paraId="75DD1DB7">
            <w:pPr>
              <w:rPr>
                <w:rFonts w:ascii="Arial" w:hAnsi="Arial" w:cs="Arial"/>
                <w:bCs/>
                <w:color w:val="auto"/>
                <w:szCs w:val="21"/>
                <w:highlight w:val="none"/>
              </w:rPr>
            </w:pPr>
            <w:r>
              <w:rPr>
                <w:rFonts w:hint="eastAsia" w:ascii="Arial" w:hAnsi="Arial" w:cs="Arial"/>
                <w:bCs/>
                <w:color w:val="auto"/>
                <w:szCs w:val="21"/>
                <w:highlight w:val="none"/>
              </w:rPr>
              <w:t>0</w:t>
            </w:r>
            <w:r>
              <w:rPr>
                <w:rFonts w:ascii="Arial" w:hAnsi="Arial" w:cs="Arial"/>
                <w:bCs/>
                <w:color w:val="auto"/>
                <w:szCs w:val="21"/>
                <w:highlight w:val="none"/>
              </w:rPr>
              <w:t>%</w:t>
            </w:r>
          </w:p>
        </w:tc>
        <w:tc>
          <w:tcPr>
            <w:tcW w:w="1260" w:type="dxa"/>
            <w:vAlign w:val="center"/>
          </w:tcPr>
          <w:p w14:paraId="3EC9F023">
            <w:pPr>
              <w:jc w:val="center"/>
              <w:rPr>
                <w:rFonts w:ascii="Arial" w:hAnsi="Arial" w:cs="Arial"/>
                <w:bCs/>
                <w:color w:val="auto"/>
                <w:szCs w:val="21"/>
                <w:highlight w:val="none"/>
              </w:rPr>
            </w:pPr>
            <w:r>
              <w:rPr>
                <w:rFonts w:hint="eastAsia" w:ascii="Arial" w:hAnsi="Arial" w:cs="Arial"/>
                <w:bCs/>
                <w:color w:val="auto"/>
                <w:szCs w:val="21"/>
                <w:highlight w:val="none"/>
              </w:rPr>
              <w:t>100</w:t>
            </w:r>
          </w:p>
        </w:tc>
        <w:tc>
          <w:tcPr>
            <w:tcW w:w="2205" w:type="dxa"/>
            <w:vMerge w:val="restart"/>
            <w:vAlign w:val="center"/>
          </w:tcPr>
          <w:p w14:paraId="640E55E4">
            <w:pPr>
              <w:rPr>
                <w:rFonts w:ascii="Arial" w:hAnsi="Arial" w:cs="Arial"/>
                <w:bCs/>
                <w:color w:val="auto"/>
                <w:szCs w:val="21"/>
                <w:highlight w:val="none"/>
              </w:rPr>
            </w:pPr>
            <w:r>
              <w:rPr>
                <w:rFonts w:hint="eastAsia" w:ascii="Arial" w:hAnsi="Arial" w:cs="Arial"/>
                <w:bCs/>
                <w:color w:val="auto"/>
                <w:szCs w:val="21"/>
                <w:highlight w:val="none"/>
              </w:rPr>
              <w:t>等于基准价的报价得分为100，</w:t>
            </w:r>
            <w:r>
              <w:rPr>
                <w:rFonts w:hint="eastAsia" w:hAnsi="宋体"/>
                <w:color w:val="auto"/>
                <w:szCs w:val="21"/>
                <w:highlight w:val="none"/>
              </w:rPr>
              <w:t>每高于基准价最优值区间</w:t>
            </w:r>
            <w:r>
              <w:rPr>
                <w:color w:val="auto"/>
                <w:szCs w:val="21"/>
                <w:highlight w:val="none"/>
              </w:rPr>
              <w:t>1%</w:t>
            </w:r>
            <w:r>
              <w:rPr>
                <w:rFonts w:hint="eastAsia"/>
                <w:color w:val="auto"/>
                <w:szCs w:val="21"/>
                <w:highlight w:val="none"/>
              </w:rPr>
              <w:t>扣5分，以此类推等比扣减，扣完为止。</w:t>
            </w:r>
          </w:p>
        </w:tc>
      </w:tr>
      <w:tr w14:paraId="2D662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0583FAE8">
            <w:pPr>
              <w:rPr>
                <w:rFonts w:ascii="Arial" w:hAnsi="Arial" w:cs="Arial"/>
                <w:bCs/>
                <w:color w:val="auto"/>
                <w:szCs w:val="21"/>
                <w:highlight w:val="none"/>
              </w:rPr>
            </w:pPr>
          </w:p>
        </w:tc>
        <w:tc>
          <w:tcPr>
            <w:tcW w:w="1365" w:type="dxa"/>
            <w:vMerge w:val="continue"/>
          </w:tcPr>
          <w:p w14:paraId="333D5A78">
            <w:pPr>
              <w:rPr>
                <w:rFonts w:ascii="Arial" w:hAnsi="Arial" w:cs="Arial"/>
                <w:bCs/>
                <w:color w:val="auto"/>
                <w:szCs w:val="21"/>
                <w:highlight w:val="none"/>
              </w:rPr>
            </w:pPr>
          </w:p>
        </w:tc>
        <w:tc>
          <w:tcPr>
            <w:tcW w:w="2730" w:type="dxa"/>
            <w:vAlign w:val="center"/>
          </w:tcPr>
          <w:p w14:paraId="53C46C4F">
            <w:pPr>
              <w:rPr>
                <w:rFonts w:ascii="Arial" w:hAnsi="Arial" w:cs="Arial"/>
                <w:bCs/>
                <w:color w:val="auto"/>
                <w:szCs w:val="21"/>
                <w:highlight w:val="none"/>
              </w:rPr>
            </w:pPr>
            <w:r>
              <w:rPr>
                <w:rFonts w:hint="eastAsia" w:ascii="Arial" w:hAnsi="Arial" w:cs="Arial"/>
                <w:bCs/>
                <w:color w:val="auto"/>
                <w:szCs w:val="21"/>
                <w:highlight w:val="none"/>
              </w:rPr>
              <w:t>1</w:t>
            </w:r>
            <w:r>
              <w:rPr>
                <w:rFonts w:ascii="Arial" w:hAnsi="Arial" w:cs="Arial"/>
                <w:bCs/>
                <w:color w:val="auto"/>
                <w:szCs w:val="21"/>
                <w:highlight w:val="none"/>
              </w:rPr>
              <w:t>%</w:t>
            </w:r>
          </w:p>
        </w:tc>
        <w:tc>
          <w:tcPr>
            <w:tcW w:w="1260" w:type="dxa"/>
            <w:vAlign w:val="center"/>
          </w:tcPr>
          <w:p w14:paraId="317BEDD0">
            <w:pPr>
              <w:jc w:val="center"/>
              <w:rPr>
                <w:rFonts w:ascii="Arial" w:hAnsi="Arial" w:cs="Arial"/>
                <w:bCs/>
                <w:color w:val="auto"/>
                <w:szCs w:val="21"/>
                <w:highlight w:val="none"/>
              </w:rPr>
            </w:pPr>
            <w:r>
              <w:rPr>
                <w:rFonts w:hint="eastAsia" w:ascii="Arial" w:hAnsi="Arial" w:cs="Arial"/>
                <w:bCs/>
                <w:color w:val="auto"/>
                <w:szCs w:val="21"/>
                <w:highlight w:val="none"/>
              </w:rPr>
              <w:t>95</w:t>
            </w:r>
          </w:p>
        </w:tc>
        <w:tc>
          <w:tcPr>
            <w:tcW w:w="2205" w:type="dxa"/>
            <w:vMerge w:val="continue"/>
            <w:vAlign w:val="center"/>
          </w:tcPr>
          <w:p w14:paraId="7A5F199A">
            <w:pPr>
              <w:jc w:val="center"/>
              <w:rPr>
                <w:rFonts w:ascii="Arial" w:hAnsi="Arial" w:cs="Arial"/>
                <w:bCs/>
                <w:color w:val="auto"/>
                <w:szCs w:val="21"/>
                <w:highlight w:val="none"/>
              </w:rPr>
            </w:pPr>
          </w:p>
        </w:tc>
      </w:tr>
      <w:tr w14:paraId="3D80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4433FDE4">
            <w:pPr>
              <w:rPr>
                <w:rFonts w:ascii="Arial" w:hAnsi="Arial" w:cs="Arial"/>
                <w:bCs/>
                <w:color w:val="auto"/>
                <w:szCs w:val="21"/>
                <w:highlight w:val="none"/>
              </w:rPr>
            </w:pPr>
          </w:p>
        </w:tc>
        <w:tc>
          <w:tcPr>
            <w:tcW w:w="1365" w:type="dxa"/>
            <w:vMerge w:val="continue"/>
          </w:tcPr>
          <w:p w14:paraId="199FFE61">
            <w:pPr>
              <w:rPr>
                <w:rFonts w:ascii="Arial" w:hAnsi="Arial" w:cs="Arial"/>
                <w:bCs/>
                <w:color w:val="auto"/>
                <w:szCs w:val="21"/>
                <w:highlight w:val="none"/>
              </w:rPr>
            </w:pPr>
          </w:p>
        </w:tc>
        <w:tc>
          <w:tcPr>
            <w:tcW w:w="2730" w:type="dxa"/>
            <w:vAlign w:val="center"/>
          </w:tcPr>
          <w:p w14:paraId="29EE8DF4">
            <w:pPr>
              <w:rPr>
                <w:rFonts w:ascii="Arial" w:hAnsi="Arial" w:cs="Arial"/>
                <w:bCs/>
                <w:color w:val="auto"/>
                <w:szCs w:val="21"/>
                <w:highlight w:val="none"/>
              </w:rPr>
            </w:pPr>
            <w:r>
              <w:rPr>
                <w:rFonts w:hint="eastAsia" w:ascii="Arial" w:hAnsi="Arial" w:cs="Arial"/>
                <w:bCs/>
                <w:color w:val="auto"/>
                <w:szCs w:val="21"/>
                <w:highlight w:val="none"/>
              </w:rPr>
              <w:t>2</w:t>
            </w:r>
            <w:r>
              <w:rPr>
                <w:rFonts w:ascii="Arial" w:hAnsi="Arial" w:cs="Arial"/>
                <w:bCs/>
                <w:color w:val="auto"/>
                <w:szCs w:val="21"/>
                <w:highlight w:val="none"/>
              </w:rPr>
              <w:t>%</w:t>
            </w:r>
          </w:p>
        </w:tc>
        <w:tc>
          <w:tcPr>
            <w:tcW w:w="1260" w:type="dxa"/>
            <w:vAlign w:val="center"/>
          </w:tcPr>
          <w:p w14:paraId="3FC8A4C1">
            <w:pPr>
              <w:jc w:val="center"/>
              <w:rPr>
                <w:rFonts w:ascii="Arial" w:hAnsi="Arial" w:cs="Arial"/>
                <w:bCs/>
                <w:color w:val="auto"/>
                <w:szCs w:val="21"/>
                <w:highlight w:val="none"/>
              </w:rPr>
            </w:pPr>
            <w:r>
              <w:rPr>
                <w:rFonts w:hint="eastAsia" w:ascii="Arial" w:hAnsi="Arial" w:cs="Arial"/>
                <w:bCs/>
                <w:color w:val="auto"/>
                <w:szCs w:val="21"/>
                <w:highlight w:val="none"/>
              </w:rPr>
              <w:t>90</w:t>
            </w:r>
          </w:p>
        </w:tc>
        <w:tc>
          <w:tcPr>
            <w:tcW w:w="2205" w:type="dxa"/>
            <w:vMerge w:val="continue"/>
            <w:vAlign w:val="center"/>
          </w:tcPr>
          <w:p w14:paraId="0F655529">
            <w:pPr>
              <w:jc w:val="center"/>
              <w:rPr>
                <w:rFonts w:ascii="Arial" w:hAnsi="Arial" w:cs="Arial"/>
                <w:bCs/>
                <w:color w:val="auto"/>
                <w:szCs w:val="21"/>
                <w:highlight w:val="none"/>
              </w:rPr>
            </w:pPr>
          </w:p>
        </w:tc>
      </w:tr>
      <w:tr w14:paraId="2E179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0F42D874">
            <w:pPr>
              <w:rPr>
                <w:rFonts w:ascii="Arial" w:hAnsi="Arial" w:cs="Arial"/>
                <w:bCs/>
                <w:color w:val="auto"/>
                <w:szCs w:val="21"/>
                <w:highlight w:val="none"/>
              </w:rPr>
            </w:pPr>
          </w:p>
        </w:tc>
        <w:tc>
          <w:tcPr>
            <w:tcW w:w="1365" w:type="dxa"/>
            <w:vMerge w:val="continue"/>
          </w:tcPr>
          <w:p w14:paraId="12769064">
            <w:pPr>
              <w:rPr>
                <w:rFonts w:ascii="Arial" w:hAnsi="Arial" w:cs="Arial"/>
                <w:bCs/>
                <w:color w:val="auto"/>
                <w:szCs w:val="21"/>
                <w:highlight w:val="none"/>
              </w:rPr>
            </w:pPr>
          </w:p>
        </w:tc>
        <w:tc>
          <w:tcPr>
            <w:tcW w:w="2730" w:type="dxa"/>
            <w:vAlign w:val="center"/>
          </w:tcPr>
          <w:p w14:paraId="698E1348">
            <w:pPr>
              <w:rPr>
                <w:rFonts w:ascii="Arial" w:hAnsi="Arial" w:cs="Arial"/>
                <w:bCs/>
                <w:color w:val="auto"/>
                <w:szCs w:val="21"/>
                <w:highlight w:val="none"/>
              </w:rPr>
            </w:pPr>
            <w:r>
              <w:rPr>
                <w:rFonts w:hint="eastAsia" w:ascii="Arial" w:hAnsi="Arial" w:cs="Arial"/>
                <w:bCs/>
                <w:color w:val="auto"/>
                <w:szCs w:val="21"/>
                <w:highlight w:val="none"/>
              </w:rPr>
              <w:t>3</w:t>
            </w:r>
            <w:r>
              <w:rPr>
                <w:rFonts w:ascii="Arial" w:hAnsi="Arial" w:cs="Arial"/>
                <w:bCs/>
                <w:color w:val="auto"/>
                <w:szCs w:val="21"/>
                <w:highlight w:val="none"/>
              </w:rPr>
              <w:t>%</w:t>
            </w:r>
          </w:p>
        </w:tc>
        <w:tc>
          <w:tcPr>
            <w:tcW w:w="1260" w:type="dxa"/>
            <w:vAlign w:val="center"/>
          </w:tcPr>
          <w:p w14:paraId="0A86B1E3">
            <w:pPr>
              <w:jc w:val="center"/>
              <w:rPr>
                <w:rFonts w:ascii="Arial" w:hAnsi="Arial" w:cs="Arial"/>
                <w:bCs/>
                <w:color w:val="auto"/>
                <w:szCs w:val="21"/>
                <w:highlight w:val="none"/>
              </w:rPr>
            </w:pPr>
            <w:r>
              <w:rPr>
                <w:rFonts w:hint="eastAsia" w:ascii="Arial" w:hAnsi="Arial" w:cs="Arial"/>
                <w:bCs/>
                <w:color w:val="auto"/>
                <w:szCs w:val="21"/>
                <w:highlight w:val="none"/>
              </w:rPr>
              <w:t>85</w:t>
            </w:r>
          </w:p>
        </w:tc>
        <w:tc>
          <w:tcPr>
            <w:tcW w:w="2205" w:type="dxa"/>
            <w:vMerge w:val="continue"/>
            <w:vAlign w:val="center"/>
          </w:tcPr>
          <w:p w14:paraId="6C630730">
            <w:pPr>
              <w:jc w:val="center"/>
              <w:rPr>
                <w:rFonts w:ascii="Arial" w:hAnsi="Arial" w:cs="Arial"/>
                <w:bCs/>
                <w:color w:val="auto"/>
                <w:szCs w:val="21"/>
                <w:highlight w:val="none"/>
              </w:rPr>
            </w:pPr>
          </w:p>
        </w:tc>
      </w:tr>
      <w:tr w14:paraId="29EC3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5B48C3D1">
            <w:pPr>
              <w:rPr>
                <w:rFonts w:ascii="Arial" w:hAnsi="Arial" w:cs="Arial"/>
                <w:bCs/>
                <w:color w:val="auto"/>
                <w:szCs w:val="21"/>
                <w:highlight w:val="none"/>
              </w:rPr>
            </w:pPr>
          </w:p>
        </w:tc>
        <w:tc>
          <w:tcPr>
            <w:tcW w:w="1365" w:type="dxa"/>
            <w:vMerge w:val="continue"/>
          </w:tcPr>
          <w:p w14:paraId="118D0265">
            <w:pPr>
              <w:rPr>
                <w:rFonts w:ascii="Arial" w:hAnsi="Arial" w:cs="Arial"/>
                <w:bCs/>
                <w:color w:val="auto"/>
                <w:szCs w:val="21"/>
                <w:highlight w:val="none"/>
              </w:rPr>
            </w:pPr>
          </w:p>
        </w:tc>
        <w:tc>
          <w:tcPr>
            <w:tcW w:w="2730" w:type="dxa"/>
            <w:vAlign w:val="center"/>
          </w:tcPr>
          <w:p w14:paraId="69A18B85">
            <w:pPr>
              <w:rPr>
                <w:rFonts w:ascii="Arial" w:hAnsi="Arial" w:cs="Arial"/>
                <w:bCs/>
                <w:color w:val="auto"/>
                <w:szCs w:val="21"/>
                <w:highlight w:val="none"/>
              </w:rPr>
            </w:pPr>
            <w:r>
              <w:rPr>
                <w:rFonts w:hint="eastAsia" w:ascii="Arial" w:hAnsi="Arial" w:cs="Arial"/>
                <w:bCs/>
                <w:color w:val="auto"/>
                <w:szCs w:val="21"/>
                <w:highlight w:val="none"/>
              </w:rPr>
              <w:t>4</w:t>
            </w:r>
            <w:r>
              <w:rPr>
                <w:rFonts w:ascii="Arial" w:hAnsi="Arial" w:cs="Arial"/>
                <w:bCs/>
                <w:color w:val="auto"/>
                <w:szCs w:val="21"/>
                <w:highlight w:val="none"/>
              </w:rPr>
              <w:t>%</w:t>
            </w:r>
          </w:p>
        </w:tc>
        <w:tc>
          <w:tcPr>
            <w:tcW w:w="1260" w:type="dxa"/>
            <w:vAlign w:val="center"/>
          </w:tcPr>
          <w:p w14:paraId="75725B4F">
            <w:pPr>
              <w:jc w:val="center"/>
              <w:rPr>
                <w:rFonts w:ascii="Arial" w:hAnsi="Arial" w:cs="Arial"/>
                <w:bCs/>
                <w:color w:val="auto"/>
                <w:szCs w:val="21"/>
                <w:highlight w:val="none"/>
              </w:rPr>
            </w:pPr>
            <w:r>
              <w:rPr>
                <w:rFonts w:hint="eastAsia" w:ascii="Arial" w:hAnsi="Arial" w:cs="Arial"/>
                <w:bCs/>
                <w:color w:val="auto"/>
                <w:szCs w:val="21"/>
                <w:highlight w:val="none"/>
              </w:rPr>
              <w:t>80</w:t>
            </w:r>
          </w:p>
        </w:tc>
        <w:tc>
          <w:tcPr>
            <w:tcW w:w="2205" w:type="dxa"/>
            <w:vMerge w:val="continue"/>
            <w:vAlign w:val="center"/>
          </w:tcPr>
          <w:p w14:paraId="3F25D86A">
            <w:pPr>
              <w:jc w:val="center"/>
              <w:rPr>
                <w:rFonts w:ascii="Arial" w:hAnsi="Arial" w:cs="Arial"/>
                <w:bCs/>
                <w:color w:val="auto"/>
                <w:szCs w:val="21"/>
                <w:highlight w:val="none"/>
              </w:rPr>
            </w:pPr>
          </w:p>
        </w:tc>
      </w:tr>
      <w:tr w14:paraId="608D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662B05CB">
            <w:pPr>
              <w:rPr>
                <w:rFonts w:ascii="Arial" w:hAnsi="Arial" w:cs="Arial"/>
                <w:bCs/>
                <w:color w:val="auto"/>
                <w:szCs w:val="21"/>
                <w:highlight w:val="none"/>
              </w:rPr>
            </w:pPr>
          </w:p>
        </w:tc>
        <w:tc>
          <w:tcPr>
            <w:tcW w:w="1365" w:type="dxa"/>
            <w:vMerge w:val="continue"/>
          </w:tcPr>
          <w:p w14:paraId="1B8A3682">
            <w:pPr>
              <w:rPr>
                <w:rFonts w:ascii="Arial" w:hAnsi="Arial" w:cs="Arial"/>
                <w:bCs/>
                <w:color w:val="auto"/>
                <w:szCs w:val="21"/>
                <w:highlight w:val="none"/>
              </w:rPr>
            </w:pPr>
          </w:p>
        </w:tc>
        <w:tc>
          <w:tcPr>
            <w:tcW w:w="2730" w:type="dxa"/>
            <w:vAlign w:val="center"/>
          </w:tcPr>
          <w:p w14:paraId="2059D313">
            <w:pPr>
              <w:rPr>
                <w:rFonts w:ascii="Arial" w:hAnsi="Arial" w:cs="Arial"/>
                <w:bCs/>
                <w:color w:val="auto"/>
                <w:szCs w:val="21"/>
                <w:highlight w:val="none"/>
              </w:rPr>
            </w:pPr>
            <w:r>
              <w:rPr>
                <w:rFonts w:hint="eastAsia" w:ascii="Arial" w:hAnsi="Arial" w:cs="Arial"/>
                <w:bCs/>
                <w:color w:val="auto"/>
                <w:szCs w:val="21"/>
                <w:highlight w:val="none"/>
              </w:rPr>
              <w:t>5</w:t>
            </w:r>
            <w:r>
              <w:rPr>
                <w:rFonts w:ascii="Arial" w:hAnsi="Arial" w:cs="Arial"/>
                <w:bCs/>
                <w:color w:val="auto"/>
                <w:szCs w:val="21"/>
                <w:highlight w:val="none"/>
              </w:rPr>
              <w:t>%</w:t>
            </w:r>
          </w:p>
        </w:tc>
        <w:tc>
          <w:tcPr>
            <w:tcW w:w="1260" w:type="dxa"/>
            <w:vAlign w:val="center"/>
          </w:tcPr>
          <w:p w14:paraId="31033C12">
            <w:pPr>
              <w:jc w:val="center"/>
              <w:rPr>
                <w:rFonts w:ascii="Arial" w:hAnsi="Arial" w:cs="Arial"/>
                <w:bCs/>
                <w:color w:val="auto"/>
                <w:szCs w:val="21"/>
                <w:highlight w:val="none"/>
              </w:rPr>
            </w:pPr>
            <w:r>
              <w:rPr>
                <w:rFonts w:hint="eastAsia" w:ascii="Arial" w:hAnsi="Arial" w:cs="Arial"/>
                <w:bCs/>
                <w:color w:val="auto"/>
                <w:szCs w:val="21"/>
                <w:highlight w:val="none"/>
              </w:rPr>
              <w:t>75</w:t>
            </w:r>
          </w:p>
        </w:tc>
        <w:tc>
          <w:tcPr>
            <w:tcW w:w="2205" w:type="dxa"/>
            <w:vMerge w:val="continue"/>
            <w:vAlign w:val="center"/>
          </w:tcPr>
          <w:p w14:paraId="642452E8">
            <w:pPr>
              <w:jc w:val="center"/>
              <w:rPr>
                <w:rFonts w:ascii="Arial" w:hAnsi="Arial" w:cs="Arial"/>
                <w:bCs/>
                <w:color w:val="auto"/>
                <w:szCs w:val="21"/>
                <w:highlight w:val="none"/>
              </w:rPr>
            </w:pPr>
          </w:p>
        </w:tc>
      </w:tr>
      <w:tr w14:paraId="1A3B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Merge w:val="continue"/>
          </w:tcPr>
          <w:p w14:paraId="2EE85C04">
            <w:pPr>
              <w:rPr>
                <w:rFonts w:ascii="Arial" w:hAnsi="Arial" w:cs="Arial"/>
                <w:bCs/>
                <w:color w:val="auto"/>
                <w:szCs w:val="21"/>
                <w:highlight w:val="none"/>
              </w:rPr>
            </w:pPr>
          </w:p>
        </w:tc>
        <w:tc>
          <w:tcPr>
            <w:tcW w:w="1365" w:type="dxa"/>
            <w:vMerge w:val="continue"/>
          </w:tcPr>
          <w:p w14:paraId="231EDEB2">
            <w:pPr>
              <w:rPr>
                <w:rFonts w:ascii="Arial" w:hAnsi="Arial" w:cs="Arial"/>
                <w:bCs/>
                <w:color w:val="auto"/>
                <w:szCs w:val="21"/>
                <w:highlight w:val="none"/>
              </w:rPr>
            </w:pPr>
          </w:p>
        </w:tc>
        <w:tc>
          <w:tcPr>
            <w:tcW w:w="2730" w:type="dxa"/>
            <w:vAlign w:val="center"/>
          </w:tcPr>
          <w:p w14:paraId="725212F3">
            <w:pPr>
              <w:rPr>
                <w:rFonts w:ascii="Arial" w:hAnsi="Arial" w:cs="Arial"/>
                <w:bCs/>
                <w:color w:val="auto"/>
                <w:szCs w:val="21"/>
                <w:highlight w:val="none"/>
              </w:rPr>
            </w:pPr>
            <w:r>
              <w:rPr>
                <w:rFonts w:ascii="Arial" w:hAnsi="Arial" w:cs="Arial"/>
                <w:bCs/>
                <w:color w:val="auto"/>
                <w:szCs w:val="21"/>
                <w:highlight w:val="none"/>
              </w:rPr>
              <w:t>…</w:t>
            </w:r>
            <w:r>
              <w:rPr>
                <w:rFonts w:hint="eastAsia" w:ascii="Arial" w:hAnsi="Arial" w:cs="Arial"/>
                <w:bCs/>
                <w:color w:val="auto"/>
                <w:szCs w:val="21"/>
                <w:highlight w:val="none"/>
              </w:rPr>
              <w:t>..</w:t>
            </w:r>
          </w:p>
        </w:tc>
        <w:tc>
          <w:tcPr>
            <w:tcW w:w="1260" w:type="dxa"/>
            <w:vAlign w:val="center"/>
          </w:tcPr>
          <w:p w14:paraId="51ADEEA2">
            <w:pPr>
              <w:jc w:val="center"/>
              <w:rPr>
                <w:rFonts w:ascii="Arial" w:hAnsi="Arial" w:cs="Arial"/>
                <w:bCs/>
                <w:color w:val="auto"/>
                <w:szCs w:val="21"/>
                <w:highlight w:val="none"/>
              </w:rPr>
            </w:pPr>
            <w:r>
              <w:rPr>
                <w:rFonts w:hint="eastAsia" w:ascii="Arial" w:hAnsi="Arial" w:cs="Arial"/>
                <w:bCs/>
                <w:color w:val="auto"/>
                <w:szCs w:val="21"/>
                <w:highlight w:val="none"/>
              </w:rPr>
              <w:t>等比递减扣完为止</w:t>
            </w:r>
          </w:p>
        </w:tc>
        <w:tc>
          <w:tcPr>
            <w:tcW w:w="2205" w:type="dxa"/>
            <w:vMerge w:val="continue"/>
            <w:vAlign w:val="center"/>
          </w:tcPr>
          <w:p w14:paraId="18A8AE85">
            <w:pPr>
              <w:jc w:val="center"/>
              <w:rPr>
                <w:rFonts w:ascii="Arial" w:hAnsi="Arial" w:cs="Arial"/>
                <w:bCs/>
                <w:color w:val="auto"/>
                <w:szCs w:val="21"/>
                <w:highlight w:val="none"/>
              </w:rPr>
            </w:pPr>
          </w:p>
        </w:tc>
      </w:tr>
      <w:tr w14:paraId="4C6E8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1470" w:type="dxa"/>
            <w:vAlign w:val="center"/>
          </w:tcPr>
          <w:p w14:paraId="07FA1415">
            <w:pPr>
              <w:jc w:val="center"/>
              <w:rPr>
                <w:rFonts w:ascii="Arial" w:hAnsi="Arial" w:cs="Arial"/>
                <w:bCs/>
                <w:color w:val="auto"/>
                <w:szCs w:val="21"/>
                <w:highlight w:val="none"/>
              </w:rPr>
            </w:pPr>
          </w:p>
        </w:tc>
        <w:tc>
          <w:tcPr>
            <w:tcW w:w="1365" w:type="dxa"/>
            <w:vAlign w:val="center"/>
          </w:tcPr>
          <w:p w14:paraId="1FE1158A">
            <w:pPr>
              <w:jc w:val="center"/>
              <w:rPr>
                <w:rFonts w:ascii="Arial" w:hAnsi="Arial" w:cs="Arial"/>
                <w:bCs/>
                <w:color w:val="auto"/>
                <w:szCs w:val="21"/>
                <w:highlight w:val="none"/>
              </w:rPr>
            </w:pPr>
            <w:r>
              <w:rPr>
                <w:rFonts w:hint="eastAsia" w:ascii="Arial" w:hAnsi="Arial" w:cs="Arial"/>
                <w:bCs/>
                <w:color w:val="auto"/>
                <w:szCs w:val="21"/>
                <w:highlight w:val="none"/>
              </w:rPr>
              <w:t>100</w:t>
            </w:r>
          </w:p>
        </w:tc>
        <w:tc>
          <w:tcPr>
            <w:tcW w:w="6195" w:type="dxa"/>
            <w:gridSpan w:val="3"/>
            <w:vAlign w:val="center"/>
          </w:tcPr>
          <w:p w14:paraId="1904138C">
            <w:pPr>
              <w:jc w:val="center"/>
              <w:rPr>
                <w:rFonts w:ascii="Arial" w:hAnsi="Arial" w:cs="Arial"/>
                <w:bCs/>
                <w:color w:val="auto"/>
                <w:szCs w:val="21"/>
                <w:highlight w:val="none"/>
              </w:rPr>
            </w:pPr>
          </w:p>
        </w:tc>
      </w:tr>
    </w:tbl>
    <w:p w14:paraId="487540A6">
      <w:pPr>
        <w:pStyle w:val="8"/>
        <w:spacing w:line="360" w:lineRule="auto"/>
        <w:ind w:firstLine="480"/>
        <w:jc w:val="center"/>
        <w:rPr>
          <w:rFonts w:hint="eastAsia" w:hAnsi="宋体"/>
          <w:color w:val="auto"/>
          <w:sz w:val="24"/>
          <w:highlight w:val="none"/>
        </w:rPr>
      </w:pPr>
    </w:p>
    <w:p w14:paraId="553DF679">
      <w:pPr>
        <w:pStyle w:val="8"/>
        <w:spacing w:line="360" w:lineRule="auto"/>
        <w:ind w:firstLine="480"/>
        <w:jc w:val="center"/>
        <w:rPr>
          <w:rFonts w:hint="eastAsia" w:hAnsi="宋体"/>
          <w:color w:val="auto"/>
          <w:sz w:val="24"/>
          <w:highlight w:val="none"/>
        </w:rPr>
      </w:pPr>
    </w:p>
    <w:p w14:paraId="1ECB6659">
      <w:pPr>
        <w:spacing w:line="360" w:lineRule="auto"/>
        <w:rPr>
          <w:rFonts w:hint="eastAsia" w:hAnsi="宋体"/>
          <w:color w:val="auto"/>
          <w:sz w:val="24"/>
          <w:highlight w:val="none"/>
        </w:rPr>
        <w:sectPr>
          <w:pgSz w:w="11907" w:h="16840"/>
          <w:pgMar w:top="1417" w:right="1701" w:bottom="1417" w:left="1701" w:header="850" w:footer="1134" w:gutter="0"/>
          <w:pgNumType w:fmt="decimal"/>
          <w:cols w:space="0" w:num="1"/>
          <w:rtlGutter w:val="0"/>
          <w:docGrid w:linePitch="312" w:charSpace="0"/>
        </w:sectPr>
      </w:pPr>
    </w:p>
    <w:p w14:paraId="444C0048">
      <w:pPr>
        <w:spacing w:line="360" w:lineRule="auto"/>
        <w:rPr>
          <w:color w:val="auto"/>
          <w:sz w:val="24"/>
          <w:highlight w:val="none"/>
        </w:rPr>
      </w:pPr>
      <w:r>
        <w:rPr>
          <w:rFonts w:hAnsi="宋体"/>
          <w:color w:val="auto"/>
          <w:sz w:val="24"/>
          <w:highlight w:val="none"/>
        </w:rPr>
        <w:t>附表</w:t>
      </w:r>
      <w:r>
        <w:rPr>
          <w:rFonts w:hint="eastAsia" w:hAnsi="宋体"/>
          <w:color w:val="auto"/>
          <w:sz w:val="24"/>
          <w:highlight w:val="none"/>
        </w:rPr>
        <w:t>4</w:t>
      </w:r>
      <w:r>
        <w:rPr>
          <w:rFonts w:hAnsi="宋体"/>
          <w:color w:val="auto"/>
          <w:sz w:val="24"/>
          <w:highlight w:val="none"/>
        </w:rPr>
        <w:t>《综合得分表》</w:t>
      </w:r>
    </w:p>
    <w:p w14:paraId="32B3AC63">
      <w:pPr>
        <w:spacing w:line="360" w:lineRule="auto"/>
        <w:jc w:val="center"/>
        <w:rPr>
          <w:rFonts w:hint="eastAsia" w:hAnsi="宋体"/>
          <w:b/>
          <w:color w:val="auto"/>
          <w:sz w:val="24"/>
          <w:highlight w:val="none"/>
        </w:rPr>
      </w:pPr>
    </w:p>
    <w:p w14:paraId="31E930D3">
      <w:pPr>
        <w:spacing w:line="360" w:lineRule="auto"/>
        <w:jc w:val="center"/>
        <w:rPr>
          <w:rFonts w:hint="eastAsia" w:hAnsi="宋体"/>
          <w:b/>
          <w:color w:val="auto"/>
          <w:sz w:val="24"/>
          <w:highlight w:val="none"/>
        </w:rPr>
      </w:pPr>
      <w:r>
        <w:rPr>
          <w:rFonts w:hAnsi="宋体"/>
          <w:b/>
          <w:color w:val="auto"/>
          <w:sz w:val="24"/>
          <w:highlight w:val="none"/>
        </w:rPr>
        <w:t>综合得分表</w:t>
      </w:r>
    </w:p>
    <w:p w14:paraId="5A02E6D7">
      <w:pPr>
        <w:spacing w:line="360" w:lineRule="auto"/>
        <w:rPr>
          <w:color w:val="auto"/>
          <w:szCs w:val="21"/>
          <w:highlight w:val="none"/>
        </w:rPr>
      </w:pPr>
      <w:r>
        <w:rPr>
          <w:rFonts w:hint="eastAsia"/>
          <w:color w:val="auto"/>
          <w:szCs w:val="21"/>
          <w:highlight w:val="none"/>
        </w:rPr>
        <w:t>响应单位名称：</w:t>
      </w:r>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9"/>
        <w:gridCol w:w="1597"/>
        <w:gridCol w:w="1144"/>
        <w:gridCol w:w="1526"/>
        <w:gridCol w:w="2362"/>
        <w:gridCol w:w="768"/>
      </w:tblGrid>
      <w:tr w14:paraId="1B9345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3C5EBE4A">
            <w:pPr>
              <w:spacing w:line="360" w:lineRule="auto"/>
              <w:jc w:val="center"/>
              <w:rPr>
                <w:color w:val="auto"/>
                <w:szCs w:val="21"/>
                <w:highlight w:val="none"/>
              </w:rPr>
            </w:pPr>
            <w:r>
              <w:rPr>
                <w:rFonts w:hAnsi="宋体"/>
                <w:color w:val="auto"/>
                <w:szCs w:val="21"/>
                <w:highlight w:val="none"/>
              </w:rPr>
              <w:t>序号</w:t>
            </w:r>
          </w:p>
        </w:tc>
        <w:tc>
          <w:tcPr>
            <w:tcW w:w="1597" w:type="dxa"/>
            <w:vAlign w:val="center"/>
          </w:tcPr>
          <w:p w14:paraId="19B70436">
            <w:pPr>
              <w:spacing w:line="360" w:lineRule="auto"/>
              <w:jc w:val="center"/>
              <w:rPr>
                <w:color w:val="auto"/>
                <w:szCs w:val="21"/>
                <w:highlight w:val="none"/>
              </w:rPr>
            </w:pPr>
            <w:r>
              <w:rPr>
                <w:rFonts w:hAnsi="宋体"/>
                <w:color w:val="auto"/>
                <w:szCs w:val="21"/>
                <w:highlight w:val="none"/>
              </w:rPr>
              <w:t>项　目</w:t>
            </w:r>
          </w:p>
        </w:tc>
        <w:tc>
          <w:tcPr>
            <w:tcW w:w="1144" w:type="dxa"/>
            <w:vAlign w:val="center"/>
          </w:tcPr>
          <w:p w14:paraId="1D29519A">
            <w:pPr>
              <w:spacing w:line="360" w:lineRule="auto"/>
              <w:jc w:val="center"/>
              <w:rPr>
                <w:color w:val="auto"/>
                <w:szCs w:val="21"/>
                <w:highlight w:val="none"/>
              </w:rPr>
            </w:pPr>
            <w:r>
              <w:rPr>
                <w:rFonts w:hint="eastAsia"/>
                <w:color w:val="auto"/>
                <w:szCs w:val="21"/>
                <w:highlight w:val="none"/>
              </w:rPr>
              <w:t>评分（A）</w:t>
            </w:r>
          </w:p>
        </w:tc>
        <w:tc>
          <w:tcPr>
            <w:tcW w:w="1526" w:type="dxa"/>
            <w:vAlign w:val="center"/>
          </w:tcPr>
          <w:p w14:paraId="552C4D72">
            <w:pPr>
              <w:spacing w:line="360" w:lineRule="auto"/>
              <w:jc w:val="center"/>
              <w:rPr>
                <w:color w:val="auto"/>
                <w:szCs w:val="21"/>
                <w:highlight w:val="none"/>
              </w:rPr>
            </w:pPr>
            <w:r>
              <w:rPr>
                <w:rFonts w:hAnsi="宋体"/>
                <w:color w:val="auto"/>
                <w:szCs w:val="21"/>
                <w:highlight w:val="none"/>
              </w:rPr>
              <w:t>权重</w:t>
            </w:r>
            <w:r>
              <w:rPr>
                <w:rFonts w:hint="eastAsia" w:hAnsi="宋体"/>
                <w:color w:val="auto"/>
                <w:szCs w:val="21"/>
                <w:highlight w:val="none"/>
              </w:rPr>
              <w:t>（K）</w:t>
            </w:r>
          </w:p>
        </w:tc>
        <w:tc>
          <w:tcPr>
            <w:tcW w:w="2362" w:type="dxa"/>
            <w:vAlign w:val="center"/>
          </w:tcPr>
          <w:p w14:paraId="1FA3F9B7">
            <w:pPr>
              <w:spacing w:line="360" w:lineRule="auto"/>
              <w:jc w:val="center"/>
              <w:rPr>
                <w:rFonts w:hint="eastAsia" w:hAnsi="宋体"/>
                <w:color w:val="auto"/>
                <w:szCs w:val="21"/>
                <w:highlight w:val="none"/>
              </w:rPr>
            </w:pPr>
            <w:r>
              <w:rPr>
                <w:rFonts w:hint="eastAsia" w:hAnsi="宋体"/>
                <w:color w:val="auto"/>
                <w:szCs w:val="21"/>
                <w:highlight w:val="none"/>
              </w:rPr>
              <w:t>权重后得分（A*K）</w:t>
            </w:r>
          </w:p>
        </w:tc>
        <w:tc>
          <w:tcPr>
            <w:tcW w:w="768" w:type="dxa"/>
            <w:vAlign w:val="center"/>
          </w:tcPr>
          <w:p w14:paraId="70AF9926">
            <w:pPr>
              <w:spacing w:line="360" w:lineRule="auto"/>
              <w:jc w:val="center"/>
              <w:rPr>
                <w:color w:val="auto"/>
                <w:szCs w:val="21"/>
                <w:highlight w:val="none"/>
              </w:rPr>
            </w:pPr>
            <w:r>
              <w:rPr>
                <w:rFonts w:hAnsi="宋体"/>
                <w:color w:val="auto"/>
                <w:szCs w:val="21"/>
                <w:highlight w:val="none"/>
              </w:rPr>
              <w:t>备注</w:t>
            </w:r>
          </w:p>
        </w:tc>
      </w:tr>
      <w:tr w14:paraId="3E137E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7BDB8C43">
            <w:pPr>
              <w:spacing w:line="360" w:lineRule="auto"/>
              <w:jc w:val="center"/>
              <w:rPr>
                <w:color w:val="auto"/>
                <w:szCs w:val="21"/>
                <w:highlight w:val="none"/>
              </w:rPr>
            </w:pPr>
            <w:r>
              <w:rPr>
                <w:color w:val="auto"/>
                <w:szCs w:val="21"/>
                <w:highlight w:val="none"/>
              </w:rPr>
              <w:t>1</w:t>
            </w:r>
          </w:p>
        </w:tc>
        <w:tc>
          <w:tcPr>
            <w:tcW w:w="1597" w:type="dxa"/>
            <w:vAlign w:val="center"/>
          </w:tcPr>
          <w:p w14:paraId="30A0D77C">
            <w:pPr>
              <w:spacing w:line="360" w:lineRule="auto"/>
              <w:jc w:val="center"/>
              <w:rPr>
                <w:color w:val="auto"/>
                <w:szCs w:val="21"/>
                <w:highlight w:val="none"/>
              </w:rPr>
            </w:pPr>
            <w:r>
              <w:rPr>
                <w:rFonts w:hint="eastAsia"/>
                <w:color w:val="auto"/>
                <w:szCs w:val="21"/>
                <w:highlight w:val="none"/>
              </w:rPr>
              <w:t>商务得分</w:t>
            </w:r>
          </w:p>
        </w:tc>
        <w:tc>
          <w:tcPr>
            <w:tcW w:w="1144" w:type="dxa"/>
            <w:vAlign w:val="center"/>
          </w:tcPr>
          <w:p w14:paraId="25776E50">
            <w:pPr>
              <w:spacing w:line="360" w:lineRule="auto"/>
              <w:rPr>
                <w:color w:val="auto"/>
                <w:szCs w:val="21"/>
                <w:highlight w:val="none"/>
              </w:rPr>
            </w:pPr>
            <w:r>
              <w:rPr>
                <w:color w:val="auto"/>
                <w:szCs w:val="21"/>
                <w:highlight w:val="none"/>
              </w:rPr>
              <w:t>A1</w:t>
            </w:r>
            <w:r>
              <w:rPr>
                <w:rFonts w:hint="eastAsia"/>
                <w:color w:val="auto"/>
                <w:szCs w:val="21"/>
                <w:highlight w:val="none"/>
              </w:rPr>
              <w:t>=</w:t>
            </w:r>
          </w:p>
        </w:tc>
        <w:tc>
          <w:tcPr>
            <w:tcW w:w="1526" w:type="dxa"/>
            <w:vAlign w:val="center"/>
          </w:tcPr>
          <w:p w14:paraId="71CFCABA">
            <w:pPr>
              <w:spacing w:line="360" w:lineRule="auto"/>
              <w:jc w:val="center"/>
              <w:rPr>
                <w:color w:val="auto"/>
                <w:szCs w:val="21"/>
                <w:highlight w:val="none"/>
              </w:rPr>
            </w:pPr>
            <w:r>
              <w:rPr>
                <w:rFonts w:hint="eastAsia"/>
                <w:color w:val="auto"/>
                <w:szCs w:val="21"/>
                <w:highlight w:val="none"/>
              </w:rPr>
              <w:t>K1=</w:t>
            </w:r>
            <w:r>
              <w:rPr>
                <w:rFonts w:hint="eastAsia"/>
                <w:color w:val="auto"/>
                <w:szCs w:val="21"/>
                <w:highlight w:val="none"/>
                <w:lang w:val="en-US" w:eastAsia="zh-CN"/>
              </w:rPr>
              <w:t>20</w:t>
            </w:r>
            <w:r>
              <w:rPr>
                <w:rFonts w:hint="eastAsia"/>
                <w:color w:val="auto"/>
                <w:szCs w:val="21"/>
                <w:highlight w:val="none"/>
              </w:rPr>
              <w:t>%</w:t>
            </w:r>
          </w:p>
        </w:tc>
        <w:tc>
          <w:tcPr>
            <w:tcW w:w="2362" w:type="dxa"/>
            <w:vAlign w:val="center"/>
          </w:tcPr>
          <w:p w14:paraId="4BA12F57">
            <w:pPr>
              <w:jc w:val="center"/>
              <w:rPr>
                <w:color w:val="auto"/>
                <w:highlight w:val="none"/>
              </w:rPr>
            </w:pPr>
          </w:p>
        </w:tc>
        <w:tc>
          <w:tcPr>
            <w:tcW w:w="768" w:type="dxa"/>
            <w:vAlign w:val="center"/>
          </w:tcPr>
          <w:p w14:paraId="01A1FA7F">
            <w:pPr>
              <w:spacing w:line="360" w:lineRule="auto"/>
              <w:jc w:val="center"/>
              <w:rPr>
                <w:color w:val="auto"/>
                <w:szCs w:val="21"/>
                <w:highlight w:val="none"/>
              </w:rPr>
            </w:pPr>
          </w:p>
        </w:tc>
      </w:tr>
      <w:tr w14:paraId="012F6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0CD98C7B">
            <w:pPr>
              <w:spacing w:line="360" w:lineRule="auto"/>
              <w:jc w:val="center"/>
              <w:rPr>
                <w:color w:val="auto"/>
                <w:szCs w:val="21"/>
                <w:highlight w:val="none"/>
              </w:rPr>
            </w:pPr>
            <w:r>
              <w:rPr>
                <w:color w:val="auto"/>
                <w:szCs w:val="21"/>
                <w:highlight w:val="none"/>
              </w:rPr>
              <w:t>2</w:t>
            </w:r>
          </w:p>
        </w:tc>
        <w:tc>
          <w:tcPr>
            <w:tcW w:w="1597" w:type="dxa"/>
            <w:vAlign w:val="center"/>
          </w:tcPr>
          <w:p w14:paraId="10EF123E">
            <w:pPr>
              <w:spacing w:line="360" w:lineRule="auto"/>
              <w:jc w:val="center"/>
              <w:rPr>
                <w:rFonts w:hint="eastAsia" w:hAnsi="宋体"/>
                <w:color w:val="auto"/>
                <w:szCs w:val="21"/>
                <w:highlight w:val="none"/>
              </w:rPr>
            </w:pPr>
            <w:r>
              <w:rPr>
                <w:rFonts w:hAnsi="宋体"/>
                <w:color w:val="auto"/>
                <w:szCs w:val="21"/>
                <w:highlight w:val="none"/>
              </w:rPr>
              <w:t>技术得分</w:t>
            </w:r>
          </w:p>
        </w:tc>
        <w:tc>
          <w:tcPr>
            <w:tcW w:w="1144" w:type="dxa"/>
            <w:vAlign w:val="center"/>
          </w:tcPr>
          <w:p w14:paraId="3E9B99E8">
            <w:pPr>
              <w:spacing w:line="360" w:lineRule="auto"/>
              <w:rPr>
                <w:color w:val="auto"/>
                <w:szCs w:val="21"/>
                <w:highlight w:val="none"/>
              </w:rPr>
            </w:pPr>
            <w:r>
              <w:rPr>
                <w:color w:val="auto"/>
                <w:szCs w:val="21"/>
                <w:highlight w:val="none"/>
              </w:rPr>
              <w:t>A2</w:t>
            </w:r>
            <w:r>
              <w:rPr>
                <w:rFonts w:hint="eastAsia"/>
                <w:color w:val="auto"/>
                <w:szCs w:val="21"/>
                <w:highlight w:val="none"/>
              </w:rPr>
              <w:t>=</w:t>
            </w:r>
          </w:p>
        </w:tc>
        <w:tc>
          <w:tcPr>
            <w:tcW w:w="1526" w:type="dxa"/>
            <w:vAlign w:val="center"/>
          </w:tcPr>
          <w:p w14:paraId="726C3AC3">
            <w:pPr>
              <w:jc w:val="center"/>
              <w:rPr>
                <w:color w:val="auto"/>
                <w:highlight w:val="none"/>
              </w:rPr>
            </w:pPr>
            <w:r>
              <w:rPr>
                <w:rFonts w:hint="eastAsia"/>
                <w:color w:val="auto"/>
                <w:szCs w:val="21"/>
                <w:highlight w:val="none"/>
              </w:rPr>
              <w:t>K2=</w:t>
            </w:r>
            <w:r>
              <w:rPr>
                <w:rFonts w:hint="eastAsia"/>
                <w:color w:val="auto"/>
                <w:szCs w:val="21"/>
                <w:highlight w:val="none"/>
                <w:lang w:val="en-US" w:eastAsia="zh-CN"/>
              </w:rPr>
              <w:t>20</w:t>
            </w:r>
            <w:r>
              <w:rPr>
                <w:rFonts w:hint="eastAsia"/>
                <w:color w:val="auto"/>
                <w:szCs w:val="21"/>
                <w:highlight w:val="none"/>
              </w:rPr>
              <w:t>%</w:t>
            </w:r>
          </w:p>
        </w:tc>
        <w:tc>
          <w:tcPr>
            <w:tcW w:w="2362" w:type="dxa"/>
            <w:vAlign w:val="center"/>
          </w:tcPr>
          <w:p w14:paraId="3D1730BE">
            <w:pPr>
              <w:jc w:val="center"/>
              <w:rPr>
                <w:color w:val="auto"/>
                <w:highlight w:val="none"/>
              </w:rPr>
            </w:pPr>
          </w:p>
        </w:tc>
        <w:tc>
          <w:tcPr>
            <w:tcW w:w="768" w:type="dxa"/>
            <w:vAlign w:val="center"/>
          </w:tcPr>
          <w:p w14:paraId="3DB5C410">
            <w:pPr>
              <w:spacing w:line="360" w:lineRule="auto"/>
              <w:jc w:val="center"/>
              <w:rPr>
                <w:color w:val="auto"/>
                <w:szCs w:val="21"/>
                <w:highlight w:val="none"/>
              </w:rPr>
            </w:pPr>
          </w:p>
        </w:tc>
      </w:tr>
      <w:tr w14:paraId="5C7F71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09" w:type="dxa"/>
            <w:vAlign w:val="center"/>
          </w:tcPr>
          <w:p w14:paraId="12B153A6">
            <w:pPr>
              <w:spacing w:line="360" w:lineRule="auto"/>
              <w:jc w:val="center"/>
              <w:rPr>
                <w:color w:val="auto"/>
                <w:szCs w:val="21"/>
                <w:highlight w:val="none"/>
              </w:rPr>
            </w:pPr>
            <w:r>
              <w:rPr>
                <w:rFonts w:hint="eastAsia"/>
                <w:color w:val="auto"/>
                <w:szCs w:val="21"/>
                <w:highlight w:val="none"/>
              </w:rPr>
              <w:t>3</w:t>
            </w:r>
          </w:p>
        </w:tc>
        <w:tc>
          <w:tcPr>
            <w:tcW w:w="1597" w:type="dxa"/>
            <w:vAlign w:val="center"/>
          </w:tcPr>
          <w:p w14:paraId="37E2B52A">
            <w:pPr>
              <w:spacing w:line="360" w:lineRule="auto"/>
              <w:jc w:val="center"/>
              <w:rPr>
                <w:color w:val="auto"/>
                <w:szCs w:val="21"/>
                <w:highlight w:val="none"/>
              </w:rPr>
            </w:pPr>
            <w:r>
              <w:rPr>
                <w:rFonts w:hAnsi="宋体"/>
                <w:color w:val="auto"/>
                <w:szCs w:val="21"/>
                <w:highlight w:val="none"/>
              </w:rPr>
              <w:t>经济得分</w:t>
            </w:r>
          </w:p>
        </w:tc>
        <w:tc>
          <w:tcPr>
            <w:tcW w:w="1144" w:type="dxa"/>
            <w:vAlign w:val="center"/>
          </w:tcPr>
          <w:p w14:paraId="0F4CD188">
            <w:pPr>
              <w:spacing w:line="360" w:lineRule="auto"/>
              <w:rPr>
                <w:color w:val="auto"/>
                <w:szCs w:val="21"/>
                <w:highlight w:val="none"/>
              </w:rPr>
            </w:pPr>
            <w:r>
              <w:rPr>
                <w:color w:val="auto"/>
                <w:szCs w:val="21"/>
                <w:highlight w:val="none"/>
              </w:rPr>
              <w:t>A</w:t>
            </w:r>
            <w:r>
              <w:rPr>
                <w:rFonts w:hint="eastAsia"/>
                <w:color w:val="auto"/>
                <w:szCs w:val="21"/>
                <w:highlight w:val="none"/>
              </w:rPr>
              <w:t>3=</w:t>
            </w:r>
          </w:p>
        </w:tc>
        <w:tc>
          <w:tcPr>
            <w:tcW w:w="1526" w:type="dxa"/>
            <w:vAlign w:val="center"/>
          </w:tcPr>
          <w:p w14:paraId="110F124B">
            <w:pPr>
              <w:jc w:val="center"/>
              <w:rPr>
                <w:color w:val="auto"/>
                <w:highlight w:val="none"/>
              </w:rPr>
            </w:pPr>
            <w:r>
              <w:rPr>
                <w:rFonts w:hint="eastAsia"/>
                <w:color w:val="auto"/>
                <w:szCs w:val="21"/>
                <w:highlight w:val="none"/>
              </w:rPr>
              <w:t>K3=</w:t>
            </w:r>
            <w:r>
              <w:rPr>
                <w:rFonts w:hint="eastAsia"/>
                <w:color w:val="auto"/>
                <w:szCs w:val="21"/>
                <w:highlight w:val="none"/>
                <w:lang w:val="en-US" w:eastAsia="zh-CN"/>
              </w:rPr>
              <w:t>60</w:t>
            </w:r>
            <w:r>
              <w:rPr>
                <w:rFonts w:hint="eastAsia"/>
                <w:color w:val="auto"/>
                <w:szCs w:val="21"/>
                <w:highlight w:val="none"/>
              </w:rPr>
              <w:t>%</w:t>
            </w:r>
          </w:p>
        </w:tc>
        <w:tc>
          <w:tcPr>
            <w:tcW w:w="2362" w:type="dxa"/>
            <w:vAlign w:val="center"/>
          </w:tcPr>
          <w:p w14:paraId="0A3D9074">
            <w:pPr>
              <w:jc w:val="center"/>
              <w:rPr>
                <w:color w:val="auto"/>
                <w:highlight w:val="none"/>
              </w:rPr>
            </w:pPr>
          </w:p>
        </w:tc>
        <w:tc>
          <w:tcPr>
            <w:tcW w:w="768" w:type="dxa"/>
            <w:vAlign w:val="center"/>
          </w:tcPr>
          <w:p w14:paraId="76DB775F">
            <w:pPr>
              <w:spacing w:line="360" w:lineRule="auto"/>
              <w:jc w:val="center"/>
              <w:rPr>
                <w:color w:val="auto"/>
                <w:szCs w:val="21"/>
                <w:highlight w:val="none"/>
              </w:rPr>
            </w:pPr>
          </w:p>
        </w:tc>
      </w:tr>
      <w:tr w14:paraId="3E7551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2406" w:type="dxa"/>
            <w:gridSpan w:val="2"/>
            <w:vAlign w:val="center"/>
          </w:tcPr>
          <w:p w14:paraId="202F0418">
            <w:pPr>
              <w:spacing w:line="360" w:lineRule="auto"/>
              <w:jc w:val="center"/>
              <w:rPr>
                <w:color w:val="auto"/>
                <w:szCs w:val="21"/>
                <w:highlight w:val="none"/>
              </w:rPr>
            </w:pPr>
            <w:r>
              <w:rPr>
                <w:rFonts w:hAnsi="宋体"/>
                <w:color w:val="auto"/>
                <w:szCs w:val="21"/>
                <w:highlight w:val="none"/>
              </w:rPr>
              <w:t>最终得分</w:t>
            </w:r>
          </w:p>
        </w:tc>
        <w:tc>
          <w:tcPr>
            <w:tcW w:w="2670" w:type="dxa"/>
            <w:gridSpan w:val="2"/>
            <w:vAlign w:val="center"/>
          </w:tcPr>
          <w:p w14:paraId="46BCC79D">
            <w:pPr>
              <w:pStyle w:val="45"/>
              <w:rPr>
                <w:rFonts w:eastAsia="宋体"/>
                <w:color w:val="auto"/>
                <w:highlight w:val="none"/>
              </w:rPr>
            </w:pPr>
            <w:r>
              <w:rPr>
                <w:rFonts w:eastAsia="宋体"/>
                <w:color w:val="auto"/>
                <w:highlight w:val="none"/>
              </w:rPr>
              <w:t>∑</w:t>
            </w:r>
          </w:p>
        </w:tc>
        <w:tc>
          <w:tcPr>
            <w:tcW w:w="3130" w:type="dxa"/>
            <w:gridSpan w:val="2"/>
            <w:vAlign w:val="center"/>
          </w:tcPr>
          <w:p w14:paraId="5342A308">
            <w:pPr>
              <w:pStyle w:val="45"/>
              <w:rPr>
                <w:rFonts w:eastAsia="宋体"/>
                <w:color w:val="auto"/>
                <w:highlight w:val="none"/>
              </w:rPr>
            </w:pPr>
          </w:p>
        </w:tc>
      </w:tr>
    </w:tbl>
    <w:p w14:paraId="35BD10A7">
      <w:pPr>
        <w:spacing w:line="360" w:lineRule="auto"/>
        <w:rPr>
          <w:color w:val="auto"/>
          <w:szCs w:val="21"/>
          <w:highlight w:val="none"/>
        </w:rPr>
      </w:pPr>
    </w:p>
    <w:p w14:paraId="31349F0D">
      <w:pPr>
        <w:spacing w:line="360" w:lineRule="auto"/>
        <w:rPr>
          <w:color w:val="auto"/>
          <w:szCs w:val="21"/>
          <w:highlight w:val="none"/>
        </w:rPr>
      </w:pPr>
    </w:p>
    <w:p w14:paraId="4AC67B08">
      <w:pPr>
        <w:spacing w:line="360" w:lineRule="auto"/>
        <w:rPr>
          <w:color w:val="auto"/>
          <w:szCs w:val="21"/>
          <w:highlight w:val="none"/>
        </w:rPr>
      </w:pPr>
    </w:p>
    <w:sectPr>
      <w:pgSz w:w="11907" w:h="16840"/>
      <w:pgMar w:top="1417" w:right="1701" w:bottom="1417" w:left="1701" w:header="850" w:footer="1134"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Wingdings">
    <w:panose1 w:val="05000000000000000000"/>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DA25F">
    <w:pPr>
      <w:pStyle w:val="20"/>
      <w:ind w:right="9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F3212">
    <w:pPr>
      <w:pStyle w:val="20"/>
      <w:jc w:val="center"/>
    </w:pPr>
    <w:r>
      <w:rPr>
        <w:rStyle w:val="35"/>
      </w:rPr>
      <w:fldChar w:fldCharType="begin"/>
    </w:r>
    <w:r>
      <w:rPr>
        <w:rStyle w:val="35"/>
      </w:rPr>
      <w:instrText xml:space="preserve"> PAGE </w:instrText>
    </w:r>
    <w:r>
      <w:rPr>
        <w:rStyle w:val="35"/>
      </w:rPr>
      <w:fldChar w:fldCharType="separate"/>
    </w:r>
    <w:r>
      <w:rPr>
        <w:rStyle w:val="35"/>
      </w:rPr>
      <w:t>38</w:t>
    </w:r>
    <w:r>
      <w:rPr>
        <w:rStyle w:val="3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1B009">
    <w:pPr>
      <w:pStyle w:val="20"/>
      <w:ind w:right="90"/>
      <w:jc w:val="right"/>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28032">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3E28032">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0D37E">
    <w:pPr>
      <w:pStyle w:val="20"/>
      <w:tabs>
        <w:tab w:val="center" w:pos="4699"/>
        <w:tab w:val="left" w:pos="7320"/>
      </w:tabs>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44D34">
    <w:pPr>
      <w:pStyle w:val="20"/>
      <w:jc w:val="center"/>
    </w:pPr>
    <w:r>
      <w:fldChar w:fldCharType="begin"/>
    </w:r>
    <w:r>
      <w:instrText xml:space="preserve">PAGE   \* MERGEFORMAT</w:instrText>
    </w:r>
    <w:r>
      <w:fldChar w:fldCharType="separate"/>
    </w:r>
    <w:r>
      <w:rPr>
        <w:lang w:val="zh-CN" w:eastAsia="zh-CN"/>
      </w:rPr>
      <w:t>27</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6937D">
    <w:pPr>
      <w:pStyle w:val="21"/>
      <w:jc w:val="both"/>
      <w:rPr>
        <w:sz w:val="18"/>
        <w:szCs w:val="18"/>
      </w:rPr>
    </w:pPr>
    <w:r>
      <w:rPr>
        <w:rFonts w:hint="eastAsia"/>
      </w:rPr>
      <w:drawing>
        <wp:inline distT="0" distB="0" distL="0" distR="0">
          <wp:extent cx="228600" cy="266700"/>
          <wp:effectExtent l="0" t="0" r="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18"/>
        <w:szCs w:val="18"/>
      </w:rPr>
      <w:t>【</w:t>
    </w:r>
    <w:r>
      <w:rPr>
        <w:rFonts w:hint="eastAsia"/>
        <w:sz w:val="18"/>
        <w:szCs w:val="18"/>
        <w:lang w:eastAsia="zh-CN"/>
      </w:rPr>
      <w:t>中建路桥集团</w:t>
    </w:r>
    <w:r>
      <w:rPr>
        <w:rFonts w:hint="eastAsia"/>
        <w:sz w:val="18"/>
        <w:szCs w:val="18"/>
        <w:lang w:val="en-US" w:eastAsia="zh-CN"/>
      </w:rPr>
      <w:t>第二工程</w:t>
    </w:r>
    <w:r>
      <w:rPr>
        <w:rFonts w:hint="eastAsia"/>
        <w:sz w:val="18"/>
        <w:szCs w:val="18"/>
        <w:lang w:eastAsia="zh-CN"/>
      </w:rPr>
      <w:t>有限公司</w:t>
    </w:r>
    <w:r>
      <w:rPr>
        <w:rFonts w:hint="eastAsia"/>
        <w:sz w:val="18"/>
        <w:szCs w:val="18"/>
        <w:lang w:val="en-US" w:eastAsia="zh-CN"/>
      </w:rPr>
      <w:t>海兴高速项目</w:t>
    </w:r>
    <w:r>
      <w:rPr>
        <w:rFonts w:hint="eastAsia"/>
        <w:sz w:val="18"/>
        <w:szCs w:val="18"/>
      </w:rPr>
      <w:t>分包采购】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BCCF6">
    <w:pPr>
      <w:pStyle w:val="21"/>
      <w:jc w:val="both"/>
    </w:pPr>
    <w:r>
      <w:rPr>
        <w:rFonts w:hint="eastAsia"/>
      </w:rPr>
      <w:drawing>
        <wp:inline distT="0" distB="0" distL="0" distR="0">
          <wp:extent cx="228600" cy="2667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【中建路桥集团有限公司×××分包采购】</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B71C6">
    <w:pPr>
      <w:pStyle w:val="21"/>
      <w:pBdr>
        <w:bottom w:val="thinThickSmallGap" w:color="auto" w:sz="12" w:space="0"/>
      </w:pBdr>
      <w:jc w:val="right"/>
    </w:pPr>
    <w:r>
      <w:rPr>
        <w:rFonts w:hAnsi="宋体"/>
        <w:sz w:val="21"/>
        <w:szCs w:val="21"/>
      </w:rPr>
      <w:t>第一篇</w:t>
    </w:r>
    <w:r>
      <w:rPr>
        <w:sz w:val="21"/>
        <w:szCs w:val="21"/>
      </w:rPr>
      <w:t xml:space="preserve">  </w:t>
    </w:r>
    <w:r>
      <w:rPr>
        <w:rFonts w:hAnsi="宋体"/>
        <w:sz w:val="21"/>
        <w:szCs w:val="21"/>
      </w:rPr>
      <w:t>投标《投标须知前附表》</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3</w:t>
    </w:r>
    <w:r>
      <w:rPr>
        <w:b/>
        <w:sz w:val="21"/>
        <w:szCs w:val="21"/>
      </w:rPr>
      <w:fldChar w:fldCharType="end"/>
    </w:r>
    <w:r>
      <w:rPr>
        <w:b/>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FBBE">
    <w:pPr>
      <w:pStyle w:val="21"/>
      <w:jc w:val="both"/>
      <w:rPr>
        <w:sz w:val="18"/>
        <w:szCs w:val="18"/>
      </w:rPr>
    </w:pPr>
    <w:r>
      <w:rPr>
        <w:rFonts w:hint="eastAsia"/>
      </w:rPr>
      <w:drawing>
        <wp:inline distT="0" distB="0" distL="0" distR="0">
          <wp:extent cx="228600" cy="266700"/>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18"/>
        <w:szCs w:val="18"/>
      </w:rPr>
      <w:t>【</w:t>
    </w:r>
    <w:r>
      <w:rPr>
        <w:rFonts w:hint="eastAsia"/>
        <w:sz w:val="18"/>
        <w:szCs w:val="18"/>
        <w:lang w:eastAsia="zh-CN"/>
      </w:rPr>
      <w:t>中建路桥集团</w:t>
    </w:r>
    <w:r>
      <w:rPr>
        <w:rFonts w:hint="eastAsia"/>
        <w:sz w:val="18"/>
        <w:szCs w:val="18"/>
        <w:lang w:val="en-US" w:eastAsia="zh-CN"/>
      </w:rPr>
      <w:t>第二工程</w:t>
    </w:r>
    <w:r>
      <w:rPr>
        <w:rFonts w:hint="eastAsia"/>
        <w:sz w:val="18"/>
        <w:szCs w:val="18"/>
        <w:lang w:eastAsia="zh-CN"/>
      </w:rPr>
      <w:t>有限公司</w:t>
    </w:r>
    <w:r>
      <w:rPr>
        <w:rFonts w:hint="eastAsia"/>
        <w:sz w:val="18"/>
        <w:szCs w:val="18"/>
        <w:lang w:val="en-US" w:eastAsia="zh-CN"/>
      </w:rPr>
      <w:t>海兴高速项目</w:t>
    </w:r>
    <w:r>
      <w:rPr>
        <w:rFonts w:hint="eastAsia"/>
        <w:sz w:val="18"/>
        <w:szCs w:val="18"/>
      </w:rPr>
      <w:t>分包采购】</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ADC53">
    <w:pPr>
      <w:tabs>
        <w:tab w:val="center" w:pos="4153"/>
        <w:tab w:val="right" w:pos="8306"/>
      </w:tabs>
      <w:wordWrap w:val="0"/>
      <w:snapToGrid w:val="0"/>
      <w:rPr>
        <w:rFonts w:hint="eastAsia" w:ascii="黑体" w:hAnsi="黑体" w:eastAsia="黑体" w:cs="黑体"/>
        <w:b/>
        <w:sz w:val="28"/>
        <w:szCs w:val="28"/>
      </w:rPr>
    </w:pPr>
    <w:r>
      <w:drawing>
        <wp:anchor distT="0" distB="0" distL="114300" distR="114300" simplePos="0" relativeHeight="251659264" behindDoc="0" locked="0" layoutInCell="1" allowOverlap="1">
          <wp:simplePos x="0" y="0"/>
          <wp:positionH relativeFrom="column">
            <wp:posOffset>7620</wp:posOffset>
          </wp:positionH>
          <wp:positionV relativeFrom="paragraph">
            <wp:posOffset>-11430</wp:posOffset>
          </wp:positionV>
          <wp:extent cx="377190" cy="144145"/>
          <wp:effectExtent l="0" t="0" r="0" b="8255"/>
          <wp:wrapNone/>
          <wp:docPr id="7" name="图片 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descr="图片1"/>
                  <pic:cNvPicPr>
                    <a:picLocks noChangeAspect="1"/>
                  </pic:cNvPicPr>
                </pic:nvPicPr>
                <pic:blipFill>
                  <a:blip r:embed="rId1">
                    <a:lum contrast="17999"/>
                  </a:blip>
                  <a:srcRect t="72632"/>
                  <a:stretch>
                    <a:fillRect/>
                  </a:stretch>
                </pic:blipFill>
                <pic:spPr>
                  <a:xfrm>
                    <a:off x="0" y="0"/>
                    <a:ext cx="377190" cy="144145"/>
                  </a:xfrm>
                  <a:prstGeom prst="rect">
                    <a:avLst/>
                  </a:prstGeom>
                  <a:noFill/>
                  <a:ln>
                    <a:noFill/>
                  </a:ln>
                </pic:spPr>
              </pic:pic>
            </a:graphicData>
          </a:graphic>
        </wp:anchor>
      </w:drawing>
    </w:r>
    <w:r>
      <w:rPr>
        <w:rFonts w:ascii="Calibri" w:hAnsi="Calibri"/>
        <w:sz w:val="18"/>
      </w:rPr>
      <w:t xml:space="preserve">                                         </w:t>
    </w:r>
    <w:r>
      <w:rPr>
        <w:rFonts w:ascii="Calibri" w:hAnsi="Calibri"/>
        <w:sz w:val="18"/>
        <w:lang w:eastAsia="zh-CN"/>
      </w:rPr>
      <w:t xml:space="preserve">                </w:t>
    </w:r>
    <w:r>
      <w:rPr>
        <w:rFonts w:ascii="Calibri" w:hAnsi="Calibri"/>
        <w:sz w:val="18"/>
      </w:rPr>
      <w:t xml:space="preserve">                                           </w:t>
    </w:r>
    <w:r>
      <w:rPr>
        <w:rFonts w:hint="eastAsia" w:ascii="宋体" w:hAnsi="宋体" w:cs="宋体"/>
        <w:b/>
        <w:color w:val="000000"/>
        <w:szCs w:val="21"/>
      </w:rPr>
      <w:t>CSCEC</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32911">
    <w:pPr>
      <w:tabs>
        <w:tab w:val="center" w:pos="4153"/>
        <w:tab w:val="right" w:pos="8306"/>
      </w:tabs>
      <w:wordWrap w:val="0"/>
      <w:snapToGrid w:val="0"/>
    </w:pPr>
    <w:r>
      <w:rPr>
        <w:rFonts w:hint="eastAsia"/>
      </w:rPr>
      <w:drawing>
        <wp:anchor distT="0" distB="0" distL="114300" distR="114300" simplePos="0" relativeHeight="251660288" behindDoc="0" locked="0" layoutInCell="1" allowOverlap="1">
          <wp:simplePos x="0" y="0"/>
          <wp:positionH relativeFrom="column">
            <wp:posOffset>7620</wp:posOffset>
          </wp:positionH>
          <wp:positionV relativeFrom="paragraph">
            <wp:posOffset>-11430</wp:posOffset>
          </wp:positionV>
          <wp:extent cx="377190" cy="144145"/>
          <wp:effectExtent l="0" t="0" r="0" b="8255"/>
          <wp:wrapNone/>
          <wp:docPr id="3" name="图片 86401787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64017878" descr="图片1"/>
                  <pic:cNvPicPr>
                    <a:picLocks noChangeAspect="1"/>
                  </pic:cNvPicPr>
                </pic:nvPicPr>
                <pic:blipFill>
                  <a:blip r:embed="rId1">
                    <a:lum contrast="17999"/>
                  </a:blip>
                  <a:srcRect t="72632"/>
                  <a:stretch>
                    <a:fillRect/>
                  </a:stretch>
                </pic:blipFill>
                <pic:spPr>
                  <a:xfrm>
                    <a:off x="0" y="0"/>
                    <a:ext cx="377190" cy="144145"/>
                  </a:xfrm>
                  <a:prstGeom prst="rect">
                    <a:avLst/>
                  </a:prstGeom>
                  <a:noFill/>
                  <a:ln>
                    <a:noFill/>
                  </a:ln>
                </pic:spPr>
              </pic:pic>
            </a:graphicData>
          </a:graphic>
        </wp:anchor>
      </w:drawing>
    </w:r>
    <w:r>
      <w:rPr>
        <w:rFonts w:ascii="Calibri" w:hAnsi="Calibri"/>
        <w:sz w:val="18"/>
      </w:rPr>
      <w:t xml:space="preserve">                                     </w:t>
    </w:r>
    <w:r>
      <w:rPr>
        <w:rFonts w:ascii="Calibri" w:hAnsi="Calibri"/>
        <w:sz w:val="18"/>
        <w:lang w:eastAsia="zh-CN"/>
      </w:rPr>
      <w:t xml:space="preserve"> </w:t>
    </w:r>
    <w:r>
      <w:rPr>
        <w:rFonts w:ascii="Calibri" w:hAnsi="Calibri"/>
        <w:sz w:val="18"/>
      </w:rPr>
      <w:t xml:space="preserve">   </w:t>
    </w:r>
    <w:r>
      <w:rPr>
        <w:rFonts w:ascii="Calibri" w:hAnsi="Calibri"/>
        <w:sz w:val="18"/>
        <w:lang w:eastAsia="zh-CN"/>
      </w:rPr>
      <w:t xml:space="preserve">                </w:t>
    </w:r>
    <w:r>
      <w:rPr>
        <w:rFonts w:ascii="Calibri" w:hAnsi="Calibri"/>
        <w:sz w:val="18"/>
      </w:rPr>
      <w:t xml:space="preserve">                            </w:t>
    </w:r>
    <w:r>
      <w:rPr>
        <w:rFonts w:hint="eastAsia" w:ascii="宋体" w:hAnsi="宋体" w:cs="宋体"/>
        <w:b/>
        <w:color w:val="000000"/>
        <w:szCs w:val="21"/>
      </w:rPr>
      <w:t>CSCEC</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61F17">
    <w:pPr>
      <w:pStyle w:val="21"/>
      <w:pBdr>
        <w:bottom w:val="thinThickSmallGap" w:color="auto" w:sz="12" w:space="1"/>
      </w:pBdr>
      <w:jc w:val="right"/>
      <w:rPr>
        <w:sz w:val="21"/>
        <w:szCs w:val="21"/>
      </w:rPr>
    </w:pPr>
    <w:r>
      <w:rPr>
        <w:rFonts w:hAnsi="宋体"/>
        <w:sz w:val="21"/>
        <w:szCs w:val="21"/>
      </w:rPr>
      <w:t>第五篇</w:t>
    </w:r>
    <w:r>
      <w:rPr>
        <w:sz w:val="21"/>
        <w:szCs w:val="21"/>
      </w:rPr>
      <w:t xml:space="preserve">  </w:t>
    </w:r>
    <w:r>
      <w:rPr>
        <w:rFonts w:hAnsi="宋体"/>
        <w:sz w:val="21"/>
        <w:szCs w:val="21"/>
      </w:rPr>
      <w:t>图纸</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19</w:t>
    </w:r>
    <w:r>
      <w:rPr>
        <w:b/>
        <w:sz w:val="21"/>
        <w:szCs w:val="21"/>
      </w:rPr>
      <w:fldChar w:fldCharType="end"/>
    </w:r>
    <w:r>
      <w:rPr>
        <w:b/>
        <w:sz w:val="21"/>
        <w:szCs w:val="21"/>
      </w:rPr>
      <w:t xml:space="preserve"> .</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D6C54">
    <w:pPr>
      <w:pStyle w:val="21"/>
      <w:jc w:val="both"/>
      <w:rPr>
        <w:sz w:val="18"/>
        <w:szCs w:val="18"/>
      </w:rPr>
    </w:pPr>
    <w:r>
      <w:rPr>
        <w:rFonts w:hint="eastAsia"/>
      </w:rPr>
      <w:drawing>
        <wp:inline distT="0" distB="0" distL="0" distR="0">
          <wp:extent cx="228600" cy="2667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18"/>
        <w:szCs w:val="18"/>
      </w:rPr>
      <w:t>【中建路桥集团</w:t>
    </w:r>
    <w:r>
      <w:rPr>
        <w:rFonts w:hint="eastAsia"/>
        <w:sz w:val="18"/>
        <w:szCs w:val="18"/>
        <w:lang w:val="en-US" w:eastAsia="zh-CN"/>
      </w:rPr>
      <w:t>第二工程</w:t>
    </w:r>
    <w:r>
      <w:rPr>
        <w:rFonts w:hint="eastAsia"/>
        <w:sz w:val="18"/>
        <w:szCs w:val="18"/>
      </w:rPr>
      <w:t>有限公司</w:t>
    </w:r>
    <w:r>
      <w:rPr>
        <w:rFonts w:hint="eastAsia"/>
        <w:sz w:val="18"/>
        <w:szCs w:val="18"/>
        <w:lang w:val="en-US" w:eastAsia="zh-CN"/>
      </w:rPr>
      <w:t>海兴高速项目</w:t>
    </w:r>
    <w:r>
      <w:rPr>
        <w:rFonts w:hint="eastAsia"/>
        <w:sz w:val="18"/>
        <w:szCs w:val="18"/>
      </w:rPr>
      <w:t>分包采购】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EEAEE3"/>
    <w:multiLevelType w:val="multilevel"/>
    <w:tmpl w:val="80EEAEE3"/>
    <w:lvl w:ilvl="0" w:tentative="0">
      <w:start w:val="1"/>
      <w:numFmt w:val="decimal"/>
      <w:lvlText w:val="%1"/>
      <w:lvlJc w:val="left"/>
      <w:pPr>
        <w:tabs>
          <w:tab w:val="left" w:pos="425"/>
        </w:tabs>
        <w:ind w:left="113" w:hanging="113"/>
      </w:pPr>
      <w:rPr>
        <w:color w:val="auto"/>
      </w:rPr>
    </w:lvl>
    <w:lvl w:ilvl="1" w:tentative="0">
      <w:start w:val="1"/>
      <w:numFmt w:val="decimal"/>
      <w:suff w:val="space"/>
      <w:lvlText w:val="%1.%2"/>
      <w:lvlJc w:val="left"/>
      <w:pPr>
        <w:ind w:left="388" w:firstLine="0"/>
      </w:pPr>
      <w:rPr>
        <w:b/>
        <w:color w:val="auto"/>
      </w:rPr>
    </w:lvl>
    <w:lvl w:ilvl="2" w:tentative="0">
      <w:start w:val="1"/>
      <w:numFmt w:val="decimal"/>
      <w:lvlText w:val="%1.%2.%3"/>
      <w:lvlJc w:val="left"/>
      <w:pPr>
        <w:tabs>
          <w:tab w:val="left" w:pos="1020"/>
        </w:tabs>
        <w:ind w:left="113" w:firstLine="22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
    <w:nsid w:val="A3CEF7C3"/>
    <w:multiLevelType w:val="singleLevel"/>
    <w:tmpl w:val="A3CEF7C3"/>
    <w:lvl w:ilvl="0" w:tentative="0">
      <w:start w:val="3"/>
      <w:numFmt w:val="chineseCounting"/>
      <w:suff w:val="space"/>
      <w:lvlText w:val="第%1章"/>
      <w:lvlJc w:val="left"/>
      <w:rPr>
        <w:rFonts w:hint="eastAsia"/>
        <w:sz w:val="32"/>
        <w:szCs w:val="32"/>
      </w:rPr>
    </w:lvl>
  </w:abstractNum>
  <w:abstractNum w:abstractNumId="2">
    <w:nsid w:val="AD7538A6"/>
    <w:multiLevelType w:val="singleLevel"/>
    <w:tmpl w:val="AD7538A6"/>
    <w:lvl w:ilvl="0" w:tentative="0">
      <w:start w:val="1"/>
      <w:numFmt w:val="chineseCounting"/>
      <w:suff w:val="space"/>
      <w:lvlText w:val="第%1部分"/>
      <w:lvlJc w:val="left"/>
      <w:pPr>
        <w:ind w:left="0" w:firstLine="0"/>
      </w:pPr>
    </w:lvl>
  </w:abstractNum>
  <w:abstractNum w:abstractNumId="3">
    <w:nsid w:val="2115380E"/>
    <w:multiLevelType w:val="singleLevel"/>
    <w:tmpl w:val="2115380E"/>
    <w:lvl w:ilvl="0" w:tentative="0">
      <w:start w:val="1"/>
      <w:numFmt w:val="decimal"/>
      <w:suff w:val="nothing"/>
      <w:lvlText w:val="（%1）"/>
      <w:lvlJc w:val="left"/>
      <w:pPr>
        <w:ind w:left="0" w:firstLine="0"/>
      </w:pPr>
    </w:lvl>
  </w:abstractNum>
  <w:abstractNum w:abstractNumId="4">
    <w:nsid w:val="233A1860"/>
    <w:multiLevelType w:val="multilevel"/>
    <w:tmpl w:val="233A1860"/>
    <w:lvl w:ilvl="0" w:tentative="0">
      <w:start w:val="1"/>
      <w:numFmt w:val="decimal"/>
      <w:lvlText w:val="（%1）"/>
      <w:lvlJc w:val="left"/>
      <w:pPr>
        <w:ind w:left="1140" w:hanging="72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5">
    <w:nsid w:val="273E2A57"/>
    <w:multiLevelType w:val="multilevel"/>
    <w:tmpl w:val="273E2A57"/>
    <w:lvl w:ilvl="0" w:tentative="0">
      <w:start w:val="1"/>
      <w:numFmt w:val="decimal"/>
      <w:lvlText w:val="（%1）"/>
      <w:lvlJc w:val="left"/>
      <w:pPr>
        <w:tabs>
          <w:tab w:val="left" w:pos="720"/>
        </w:tabs>
        <w:ind w:left="720" w:hanging="720"/>
      </w:pPr>
      <w:rPr>
        <w:rFonts w:hint="default" w:ascii="Arial" w:hAnsi="Arial"/>
        <w:b w:val="0"/>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D827672"/>
    <w:multiLevelType w:val="multilevel"/>
    <w:tmpl w:val="3D827672"/>
    <w:lvl w:ilvl="0" w:tentative="0">
      <w:start w:val="1"/>
      <w:numFmt w:val="decimal"/>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8F38846"/>
    <w:multiLevelType w:val="multilevel"/>
    <w:tmpl w:val="48F38846"/>
    <w:lvl w:ilvl="0" w:tentative="0">
      <w:start w:val="1"/>
      <w:numFmt w:val="decimal"/>
      <w:lvlText w:val="%1"/>
      <w:lvlJc w:val="left"/>
      <w:pPr>
        <w:tabs>
          <w:tab w:val="left" w:pos="0"/>
        </w:tabs>
        <w:ind w:left="0" w:firstLine="0"/>
      </w:pPr>
    </w:lvl>
    <w:lvl w:ilvl="1" w:tentative="0">
      <w:start w:val="1"/>
      <w:numFmt w:val="decimal"/>
      <w:lvlText w:val="%1.%2"/>
      <w:lvlJc w:val="left"/>
      <w:pPr>
        <w:tabs>
          <w:tab w:val="left" w:pos="567"/>
        </w:tabs>
        <w:ind w:left="0" w:firstLine="0"/>
      </w:pPr>
      <w:rPr>
        <w:rFonts w:hint="eastAsia" w:ascii="宋体" w:hAnsi="宋体" w:eastAsia="宋体" w:cs="宋体"/>
        <w:b/>
        <w:color w:val="auto"/>
      </w:rPr>
    </w:lvl>
    <w:lvl w:ilvl="2" w:tentative="0">
      <w:start w:val="1"/>
      <w:numFmt w:val="decimal"/>
      <w:lvlText w:val="%1.%2.%3"/>
      <w:lvlJc w:val="left"/>
      <w:pPr>
        <w:tabs>
          <w:tab w:val="left" w:pos="0"/>
        </w:tabs>
        <w:ind w:left="0" w:firstLine="0"/>
      </w:pPr>
      <w:rPr>
        <w:rFonts w:hint="eastAsia" w:ascii="宋体" w:hAnsi="宋体" w:eastAsia="宋体" w:cs="宋体"/>
      </w:rPr>
    </w:lvl>
    <w:lvl w:ilvl="3" w:tentative="0">
      <w:start w:val="1"/>
      <w:numFmt w:val="decimal"/>
      <w:lvlText w:val="%1.%2.%3.%4"/>
      <w:lvlJc w:val="left"/>
      <w:pPr>
        <w:tabs>
          <w:tab w:val="left" w:pos="0"/>
        </w:tabs>
        <w:ind w:left="0" w:firstLine="0"/>
      </w:pPr>
      <w:rPr>
        <w:rFonts w:hint="eastAsia" w:ascii="宋体" w:hAnsi="宋体" w:eastAsia="宋体" w:cs="宋体"/>
      </w:rPr>
    </w:lvl>
    <w:lvl w:ilvl="4" w:tentative="0">
      <w:start w:val="1"/>
      <w:numFmt w:val="decimal"/>
      <w:lvlText w:val="%1.%2.%3.%4.%5"/>
      <w:lvlJc w:val="left"/>
      <w:pPr>
        <w:tabs>
          <w:tab w:val="left" w:pos="0"/>
        </w:tabs>
        <w:ind w:left="0" w:firstLine="0"/>
      </w:pPr>
      <w:rPr>
        <w:rFonts w:hint="eastAsia" w:ascii="宋体" w:hAnsi="宋体" w:eastAsia="宋体" w:cs="宋体"/>
      </w:r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8">
    <w:nsid w:val="522C26EC"/>
    <w:multiLevelType w:val="multilevel"/>
    <w:tmpl w:val="522C26EC"/>
    <w:lvl w:ilvl="0" w:tentative="0">
      <w:start w:val="1"/>
      <w:numFmt w:val="decimal"/>
      <w:lvlText w:val="（%1）"/>
      <w:lvlJc w:val="left"/>
      <w:pPr>
        <w:ind w:left="720" w:hanging="7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A7E6313"/>
    <w:multiLevelType w:val="multilevel"/>
    <w:tmpl w:val="5A7E6313"/>
    <w:lvl w:ilvl="0" w:tentative="0">
      <w:start w:val="1"/>
      <w:numFmt w:val="decimal"/>
      <w:lvlText w:val="%1."/>
      <w:lvlJc w:val="right"/>
      <w:pPr>
        <w:tabs>
          <w:tab w:val="left" w:pos="630"/>
        </w:tabs>
        <w:ind w:left="63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6E3D89C"/>
    <w:multiLevelType w:val="singleLevel"/>
    <w:tmpl w:val="66E3D89C"/>
    <w:lvl w:ilvl="0" w:tentative="0">
      <w:start w:val="1"/>
      <w:numFmt w:val="decimal"/>
      <w:suff w:val="nothing"/>
      <w:lvlText w:val="（%1）"/>
      <w:lvlJc w:val="left"/>
    </w:lvl>
  </w:abstractNum>
  <w:abstractNum w:abstractNumId="11">
    <w:nsid w:val="6AE60F9E"/>
    <w:multiLevelType w:val="singleLevel"/>
    <w:tmpl w:val="6AE60F9E"/>
    <w:lvl w:ilvl="0" w:tentative="0">
      <w:start w:val="4"/>
      <w:numFmt w:val="chineseCounting"/>
      <w:suff w:val="space"/>
      <w:lvlText w:val="第%1章"/>
      <w:lvlJc w:val="left"/>
      <w:rPr>
        <w:rFonts w:hint="eastAsia"/>
      </w:rPr>
    </w:lvl>
  </w:abstractNum>
  <w:abstractNum w:abstractNumId="12">
    <w:nsid w:val="710E65B5"/>
    <w:multiLevelType w:val="multilevel"/>
    <w:tmpl w:val="710E65B5"/>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3">
    <w:nsid w:val="79A482B7"/>
    <w:multiLevelType w:val="singleLevel"/>
    <w:tmpl w:val="79A482B7"/>
    <w:lvl w:ilvl="0" w:tentative="0">
      <w:start w:val="3"/>
      <w:numFmt w:val="decimal"/>
      <w:suff w:val="nothing"/>
      <w:lvlText w:val="（%1）"/>
      <w:lvlJc w:val="left"/>
      <w:pPr>
        <w:ind w:left="0" w:firstLine="0"/>
      </w:pPr>
    </w:lvl>
  </w:abstractNum>
  <w:num w:numId="1">
    <w:abstractNumId w:val="5"/>
  </w:num>
  <w:num w:numId="2">
    <w:abstractNumId w:val="11"/>
  </w:num>
  <w:num w:numId="3">
    <w:abstractNumId w:val="2"/>
    <w:lvlOverride w:ilvl="0">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3"/>
    </w:lvlOverride>
  </w:num>
  <w:num w:numId="12">
    <w:abstractNumId w:val="3"/>
    <w:lvlOverride w:ilvl="0">
      <w:startOverride w:val="1"/>
    </w:lvlOverride>
  </w:num>
  <w:num w:numId="13">
    <w:abstractNumId w:val="9"/>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kMmEyNjg0YmM0NGU0YWIxYjc4NWI2YTVkMDM5MjcifQ=="/>
  </w:docVars>
  <w:rsids>
    <w:rsidRoot w:val="00172A27"/>
    <w:rsid w:val="0000049D"/>
    <w:rsid w:val="0000075C"/>
    <w:rsid w:val="000007D9"/>
    <w:rsid w:val="0000233E"/>
    <w:rsid w:val="000025DE"/>
    <w:rsid w:val="00002994"/>
    <w:rsid w:val="00002C2E"/>
    <w:rsid w:val="00002D01"/>
    <w:rsid w:val="00002E4D"/>
    <w:rsid w:val="000033EC"/>
    <w:rsid w:val="00004CAF"/>
    <w:rsid w:val="00004CD9"/>
    <w:rsid w:val="00004E8D"/>
    <w:rsid w:val="00005908"/>
    <w:rsid w:val="0000618E"/>
    <w:rsid w:val="00007080"/>
    <w:rsid w:val="000071B8"/>
    <w:rsid w:val="000077F8"/>
    <w:rsid w:val="00007AA8"/>
    <w:rsid w:val="00010133"/>
    <w:rsid w:val="0001123B"/>
    <w:rsid w:val="000112C6"/>
    <w:rsid w:val="00011769"/>
    <w:rsid w:val="000119F3"/>
    <w:rsid w:val="00012DAE"/>
    <w:rsid w:val="00012F9E"/>
    <w:rsid w:val="00013457"/>
    <w:rsid w:val="0001349B"/>
    <w:rsid w:val="00013535"/>
    <w:rsid w:val="000142E4"/>
    <w:rsid w:val="0001431F"/>
    <w:rsid w:val="00014AF1"/>
    <w:rsid w:val="00015CEA"/>
    <w:rsid w:val="000166CA"/>
    <w:rsid w:val="00016962"/>
    <w:rsid w:val="00017BAD"/>
    <w:rsid w:val="000201A1"/>
    <w:rsid w:val="00020BE0"/>
    <w:rsid w:val="00021750"/>
    <w:rsid w:val="0002201F"/>
    <w:rsid w:val="000221FC"/>
    <w:rsid w:val="000224DC"/>
    <w:rsid w:val="00022A72"/>
    <w:rsid w:val="00023084"/>
    <w:rsid w:val="000230B0"/>
    <w:rsid w:val="00023789"/>
    <w:rsid w:val="00023F98"/>
    <w:rsid w:val="00024A9E"/>
    <w:rsid w:val="00025935"/>
    <w:rsid w:val="0002599F"/>
    <w:rsid w:val="00025FAB"/>
    <w:rsid w:val="00026975"/>
    <w:rsid w:val="00026EB5"/>
    <w:rsid w:val="0002721E"/>
    <w:rsid w:val="0002733B"/>
    <w:rsid w:val="000275D7"/>
    <w:rsid w:val="000277AD"/>
    <w:rsid w:val="00030168"/>
    <w:rsid w:val="0003052C"/>
    <w:rsid w:val="00030817"/>
    <w:rsid w:val="00030890"/>
    <w:rsid w:val="00030CBE"/>
    <w:rsid w:val="0003120D"/>
    <w:rsid w:val="00031F71"/>
    <w:rsid w:val="00032CF3"/>
    <w:rsid w:val="00033B74"/>
    <w:rsid w:val="00034F3B"/>
    <w:rsid w:val="0003580D"/>
    <w:rsid w:val="000358FF"/>
    <w:rsid w:val="00035B70"/>
    <w:rsid w:val="00035D31"/>
    <w:rsid w:val="00036213"/>
    <w:rsid w:val="000367C6"/>
    <w:rsid w:val="00036A1F"/>
    <w:rsid w:val="00036C8B"/>
    <w:rsid w:val="00036E3A"/>
    <w:rsid w:val="00036ED4"/>
    <w:rsid w:val="000378CD"/>
    <w:rsid w:val="000409AD"/>
    <w:rsid w:val="00040C04"/>
    <w:rsid w:val="00040F1B"/>
    <w:rsid w:val="00041A31"/>
    <w:rsid w:val="00041FDD"/>
    <w:rsid w:val="000423ED"/>
    <w:rsid w:val="00042DA2"/>
    <w:rsid w:val="000433D2"/>
    <w:rsid w:val="00043496"/>
    <w:rsid w:val="00043C1F"/>
    <w:rsid w:val="00043C9C"/>
    <w:rsid w:val="0004414B"/>
    <w:rsid w:val="00044511"/>
    <w:rsid w:val="000449D2"/>
    <w:rsid w:val="00045103"/>
    <w:rsid w:val="00045B5D"/>
    <w:rsid w:val="00047074"/>
    <w:rsid w:val="0004761C"/>
    <w:rsid w:val="00047956"/>
    <w:rsid w:val="00047A77"/>
    <w:rsid w:val="00047F59"/>
    <w:rsid w:val="000500DB"/>
    <w:rsid w:val="00050D7C"/>
    <w:rsid w:val="00050E5D"/>
    <w:rsid w:val="00050E8B"/>
    <w:rsid w:val="0005157F"/>
    <w:rsid w:val="00052934"/>
    <w:rsid w:val="00052E88"/>
    <w:rsid w:val="00053198"/>
    <w:rsid w:val="00053999"/>
    <w:rsid w:val="00053A91"/>
    <w:rsid w:val="000540EC"/>
    <w:rsid w:val="000551CD"/>
    <w:rsid w:val="00055DFC"/>
    <w:rsid w:val="00055FF3"/>
    <w:rsid w:val="00056399"/>
    <w:rsid w:val="00056BD3"/>
    <w:rsid w:val="00056D41"/>
    <w:rsid w:val="0005750B"/>
    <w:rsid w:val="00057886"/>
    <w:rsid w:val="0006027D"/>
    <w:rsid w:val="000604C3"/>
    <w:rsid w:val="00060547"/>
    <w:rsid w:val="00060D0D"/>
    <w:rsid w:val="000615CD"/>
    <w:rsid w:val="00061C33"/>
    <w:rsid w:val="000623CB"/>
    <w:rsid w:val="00062B92"/>
    <w:rsid w:val="00062F42"/>
    <w:rsid w:val="0006342B"/>
    <w:rsid w:val="00063663"/>
    <w:rsid w:val="00063E69"/>
    <w:rsid w:val="000640FE"/>
    <w:rsid w:val="00064FC3"/>
    <w:rsid w:val="000650CF"/>
    <w:rsid w:val="00065A8D"/>
    <w:rsid w:val="00065F4A"/>
    <w:rsid w:val="000660BE"/>
    <w:rsid w:val="000660CC"/>
    <w:rsid w:val="00066283"/>
    <w:rsid w:val="00066807"/>
    <w:rsid w:val="00066F3E"/>
    <w:rsid w:val="0006736D"/>
    <w:rsid w:val="0006755E"/>
    <w:rsid w:val="0007013C"/>
    <w:rsid w:val="0007025A"/>
    <w:rsid w:val="000708BD"/>
    <w:rsid w:val="0007176B"/>
    <w:rsid w:val="000726A7"/>
    <w:rsid w:val="00072EFE"/>
    <w:rsid w:val="00073978"/>
    <w:rsid w:val="000746F9"/>
    <w:rsid w:val="000747CD"/>
    <w:rsid w:val="000748B8"/>
    <w:rsid w:val="00074ABA"/>
    <w:rsid w:val="00075AA3"/>
    <w:rsid w:val="0007656C"/>
    <w:rsid w:val="00076683"/>
    <w:rsid w:val="00076A31"/>
    <w:rsid w:val="00076B20"/>
    <w:rsid w:val="00076BB0"/>
    <w:rsid w:val="00076F05"/>
    <w:rsid w:val="0007701E"/>
    <w:rsid w:val="00077499"/>
    <w:rsid w:val="000774DF"/>
    <w:rsid w:val="000807ED"/>
    <w:rsid w:val="00080868"/>
    <w:rsid w:val="00080A65"/>
    <w:rsid w:val="000810A8"/>
    <w:rsid w:val="000813F8"/>
    <w:rsid w:val="000816B4"/>
    <w:rsid w:val="00082C34"/>
    <w:rsid w:val="00082E6B"/>
    <w:rsid w:val="00084E7F"/>
    <w:rsid w:val="0008534B"/>
    <w:rsid w:val="000855D3"/>
    <w:rsid w:val="00085806"/>
    <w:rsid w:val="0008599D"/>
    <w:rsid w:val="00086055"/>
    <w:rsid w:val="00086298"/>
    <w:rsid w:val="000862DC"/>
    <w:rsid w:val="000865B3"/>
    <w:rsid w:val="000869FB"/>
    <w:rsid w:val="00086B34"/>
    <w:rsid w:val="00086E58"/>
    <w:rsid w:val="000873AC"/>
    <w:rsid w:val="000904AC"/>
    <w:rsid w:val="000907C8"/>
    <w:rsid w:val="00090C02"/>
    <w:rsid w:val="00090E2F"/>
    <w:rsid w:val="000921A7"/>
    <w:rsid w:val="00092402"/>
    <w:rsid w:val="00092570"/>
    <w:rsid w:val="0009294C"/>
    <w:rsid w:val="000930A8"/>
    <w:rsid w:val="00093DC3"/>
    <w:rsid w:val="000940D0"/>
    <w:rsid w:val="00094A70"/>
    <w:rsid w:val="00095601"/>
    <w:rsid w:val="000957E6"/>
    <w:rsid w:val="000959D0"/>
    <w:rsid w:val="000962AC"/>
    <w:rsid w:val="00096B29"/>
    <w:rsid w:val="00097B1A"/>
    <w:rsid w:val="000A0393"/>
    <w:rsid w:val="000A0DEA"/>
    <w:rsid w:val="000A1B78"/>
    <w:rsid w:val="000A22BD"/>
    <w:rsid w:val="000A22DE"/>
    <w:rsid w:val="000A34FE"/>
    <w:rsid w:val="000A3B03"/>
    <w:rsid w:val="000A48E1"/>
    <w:rsid w:val="000A4C85"/>
    <w:rsid w:val="000A4D90"/>
    <w:rsid w:val="000A5730"/>
    <w:rsid w:val="000A5791"/>
    <w:rsid w:val="000A59ED"/>
    <w:rsid w:val="000A5E98"/>
    <w:rsid w:val="000A762D"/>
    <w:rsid w:val="000B03F5"/>
    <w:rsid w:val="000B0EAD"/>
    <w:rsid w:val="000B12A7"/>
    <w:rsid w:val="000B13F5"/>
    <w:rsid w:val="000B1435"/>
    <w:rsid w:val="000B170B"/>
    <w:rsid w:val="000B198A"/>
    <w:rsid w:val="000B1A75"/>
    <w:rsid w:val="000B1F2F"/>
    <w:rsid w:val="000B206C"/>
    <w:rsid w:val="000B24CE"/>
    <w:rsid w:val="000B3017"/>
    <w:rsid w:val="000B39AC"/>
    <w:rsid w:val="000B4EBD"/>
    <w:rsid w:val="000B531D"/>
    <w:rsid w:val="000B5AC7"/>
    <w:rsid w:val="000B6439"/>
    <w:rsid w:val="000B6518"/>
    <w:rsid w:val="000B6A22"/>
    <w:rsid w:val="000B772C"/>
    <w:rsid w:val="000C01B7"/>
    <w:rsid w:val="000C02AC"/>
    <w:rsid w:val="000C0312"/>
    <w:rsid w:val="000C05B5"/>
    <w:rsid w:val="000C1282"/>
    <w:rsid w:val="000C173F"/>
    <w:rsid w:val="000C20DA"/>
    <w:rsid w:val="000C27DB"/>
    <w:rsid w:val="000C3050"/>
    <w:rsid w:val="000C346D"/>
    <w:rsid w:val="000C3A60"/>
    <w:rsid w:val="000C3F09"/>
    <w:rsid w:val="000C4621"/>
    <w:rsid w:val="000C47EB"/>
    <w:rsid w:val="000C5B58"/>
    <w:rsid w:val="000C6148"/>
    <w:rsid w:val="000C640D"/>
    <w:rsid w:val="000C6665"/>
    <w:rsid w:val="000C6783"/>
    <w:rsid w:val="000C72F2"/>
    <w:rsid w:val="000C7DE6"/>
    <w:rsid w:val="000D13A7"/>
    <w:rsid w:val="000D1595"/>
    <w:rsid w:val="000D1B45"/>
    <w:rsid w:val="000D1E34"/>
    <w:rsid w:val="000D1ECA"/>
    <w:rsid w:val="000D2675"/>
    <w:rsid w:val="000D3BB4"/>
    <w:rsid w:val="000D4255"/>
    <w:rsid w:val="000D466F"/>
    <w:rsid w:val="000D4872"/>
    <w:rsid w:val="000D6525"/>
    <w:rsid w:val="000D6A12"/>
    <w:rsid w:val="000D7624"/>
    <w:rsid w:val="000D7938"/>
    <w:rsid w:val="000D79E4"/>
    <w:rsid w:val="000D7AD0"/>
    <w:rsid w:val="000D7FA8"/>
    <w:rsid w:val="000E04B9"/>
    <w:rsid w:val="000E04D5"/>
    <w:rsid w:val="000E082F"/>
    <w:rsid w:val="000E09FD"/>
    <w:rsid w:val="000E0E1C"/>
    <w:rsid w:val="000E187F"/>
    <w:rsid w:val="000E22C0"/>
    <w:rsid w:val="000E271A"/>
    <w:rsid w:val="000E33F5"/>
    <w:rsid w:val="000E4C58"/>
    <w:rsid w:val="000E4D37"/>
    <w:rsid w:val="000E53EE"/>
    <w:rsid w:val="000E592E"/>
    <w:rsid w:val="000E74E4"/>
    <w:rsid w:val="000F02BD"/>
    <w:rsid w:val="000F03A5"/>
    <w:rsid w:val="000F12BE"/>
    <w:rsid w:val="000F2DBB"/>
    <w:rsid w:val="000F3DED"/>
    <w:rsid w:val="000F49CD"/>
    <w:rsid w:val="000F4B41"/>
    <w:rsid w:val="000F5098"/>
    <w:rsid w:val="000F5D71"/>
    <w:rsid w:val="000F5E8B"/>
    <w:rsid w:val="000F623E"/>
    <w:rsid w:val="000F647D"/>
    <w:rsid w:val="000F6A05"/>
    <w:rsid w:val="000F6E0A"/>
    <w:rsid w:val="000F7858"/>
    <w:rsid w:val="000F7AD1"/>
    <w:rsid w:val="000F7FF6"/>
    <w:rsid w:val="0010034C"/>
    <w:rsid w:val="00100359"/>
    <w:rsid w:val="00101216"/>
    <w:rsid w:val="00101316"/>
    <w:rsid w:val="001014E7"/>
    <w:rsid w:val="001017AB"/>
    <w:rsid w:val="0010267F"/>
    <w:rsid w:val="001026AA"/>
    <w:rsid w:val="001028E9"/>
    <w:rsid w:val="00103427"/>
    <w:rsid w:val="00103A48"/>
    <w:rsid w:val="00103B7F"/>
    <w:rsid w:val="00103BFC"/>
    <w:rsid w:val="00103F43"/>
    <w:rsid w:val="001048EF"/>
    <w:rsid w:val="0010596E"/>
    <w:rsid w:val="00105B1D"/>
    <w:rsid w:val="001063D4"/>
    <w:rsid w:val="001066E5"/>
    <w:rsid w:val="00107167"/>
    <w:rsid w:val="00107575"/>
    <w:rsid w:val="00107B45"/>
    <w:rsid w:val="00107C35"/>
    <w:rsid w:val="001117B7"/>
    <w:rsid w:val="00111BB0"/>
    <w:rsid w:val="00111DA2"/>
    <w:rsid w:val="00111F7B"/>
    <w:rsid w:val="001122EF"/>
    <w:rsid w:val="0011249D"/>
    <w:rsid w:val="00112628"/>
    <w:rsid w:val="00112990"/>
    <w:rsid w:val="00113760"/>
    <w:rsid w:val="001143CF"/>
    <w:rsid w:val="00114B20"/>
    <w:rsid w:val="001155DE"/>
    <w:rsid w:val="001156F4"/>
    <w:rsid w:val="00116315"/>
    <w:rsid w:val="00116885"/>
    <w:rsid w:val="00116C3C"/>
    <w:rsid w:val="00120834"/>
    <w:rsid w:val="00121083"/>
    <w:rsid w:val="001210C1"/>
    <w:rsid w:val="001211E9"/>
    <w:rsid w:val="0012132C"/>
    <w:rsid w:val="001218AB"/>
    <w:rsid w:val="001218AC"/>
    <w:rsid w:val="00121D74"/>
    <w:rsid w:val="00122417"/>
    <w:rsid w:val="00122536"/>
    <w:rsid w:val="00122715"/>
    <w:rsid w:val="001229D8"/>
    <w:rsid w:val="00123066"/>
    <w:rsid w:val="0012439C"/>
    <w:rsid w:val="001255B0"/>
    <w:rsid w:val="0012578D"/>
    <w:rsid w:val="001257D7"/>
    <w:rsid w:val="00126948"/>
    <w:rsid w:val="001276D4"/>
    <w:rsid w:val="0012796C"/>
    <w:rsid w:val="00127D8E"/>
    <w:rsid w:val="00127E98"/>
    <w:rsid w:val="0013095A"/>
    <w:rsid w:val="001311DA"/>
    <w:rsid w:val="00131690"/>
    <w:rsid w:val="00131747"/>
    <w:rsid w:val="0013216C"/>
    <w:rsid w:val="001331D1"/>
    <w:rsid w:val="001332C2"/>
    <w:rsid w:val="001335FC"/>
    <w:rsid w:val="001343AE"/>
    <w:rsid w:val="00134460"/>
    <w:rsid w:val="0013469E"/>
    <w:rsid w:val="00134893"/>
    <w:rsid w:val="001348D7"/>
    <w:rsid w:val="00135B59"/>
    <w:rsid w:val="001360BA"/>
    <w:rsid w:val="00136586"/>
    <w:rsid w:val="00136615"/>
    <w:rsid w:val="00136714"/>
    <w:rsid w:val="00136CDA"/>
    <w:rsid w:val="001370BE"/>
    <w:rsid w:val="0013719E"/>
    <w:rsid w:val="0013720E"/>
    <w:rsid w:val="001373EB"/>
    <w:rsid w:val="00137515"/>
    <w:rsid w:val="00137870"/>
    <w:rsid w:val="00137E04"/>
    <w:rsid w:val="00140E9F"/>
    <w:rsid w:val="0014199F"/>
    <w:rsid w:val="00142054"/>
    <w:rsid w:val="001428C5"/>
    <w:rsid w:val="00142DFA"/>
    <w:rsid w:val="00142E50"/>
    <w:rsid w:val="0014313D"/>
    <w:rsid w:val="00143EEF"/>
    <w:rsid w:val="001450D2"/>
    <w:rsid w:val="00146B76"/>
    <w:rsid w:val="00146D1D"/>
    <w:rsid w:val="00147060"/>
    <w:rsid w:val="001475CA"/>
    <w:rsid w:val="00147C33"/>
    <w:rsid w:val="001500EC"/>
    <w:rsid w:val="00150BB5"/>
    <w:rsid w:val="001516C0"/>
    <w:rsid w:val="00151AA0"/>
    <w:rsid w:val="00152DE7"/>
    <w:rsid w:val="001534B2"/>
    <w:rsid w:val="00153A01"/>
    <w:rsid w:val="001550F1"/>
    <w:rsid w:val="00155516"/>
    <w:rsid w:val="001555FC"/>
    <w:rsid w:val="001559AA"/>
    <w:rsid w:val="00156003"/>
    <w:rsid w:val="001560E0"/>
    <w:rsid w:val="00156145"/>
    <w:rsid w:val="00156557"/>
    <w:rsid w:val="00156AED"/>
    <w:rsid w:val="00156F2A"/>
    <w:rsid w:val="00157124"/>
    <w:rsid w:val="00157712"/>
    <w:rsid w:val="00157A2E"/>
    <w:rsid w:val="00157A41"/>
    <w:rsid w:val="00160832"/>
    <w:rsid w:val="00161493"/>
    <w:rsid w:val="0016354C"/>
    <w:rsid w:val="00163690"/>
    <w:rsid w:val="00163CE1"/>
    <w:rsid w:val="00164141"/>
    <w:rsid w:val="00164762"/>
    <w:rsid w:val="00166483"/>
    <w:rsid w:val="00166E62"/>
    <w:rsid w:val="0016753A"/>
    <w:rsid w:val="00167601"/>
    <w:rsid w:val="001679C1"/>
    <w:rsid w:val="001713DB"/>
    <w:rsid w:val="0017253A"/>
    <w:rsid w:val="00172CF6"/>
    <w:rsid w:val="00173221"/>
    <w:rsid w:val="001736EF"/>
    <w:rsid w:val="001737AF"/>
    <w:rsid w:val="00173C67"/>
    <w:rsid w:val="00173C6F"/>
    <w:rsid w:val="00173ED9"/>
    <w:rsid w:val="0017428F"/>
    <w:rsid w:val="001748A4"/>
    <w:rsid w:val="00174BA7"/>
    <w:rsid w:val="001756AE"/>
    <w:rsid w:val="0017642E"/>
    <w:rsid w:val="001771FE"/>
    <w:rsid w:val="00177214"/>
    <w:rsid w:val="00180195"/>
    <w:rsid w:val="001805BD"/>
    <w:rsid w:val="00180819"/>
    <w:rsid w:val="00180F24"/>
    <w:rsid w:val="0018145F"/>
    <w:rsid w:val="00181F9B"/>
    <w:rsid w:val="00182392"/>
    <w:rsid w:val="001826FC"/>
    <w:rsid w:val="00182A8B"/>
    <w:rsid w:val="00182BB1"/>
    <w:rsid w:val="00182D0D"/>
    <w:rsid w:val="00182F8D"/>
    <w:rsid w:val="00183484"/>
    <w:rsid w:val="00183F16"/>
    <w:rsid w:val="00183F35"/>
    <w:rsid w:val="001841DB"/>
    <w:rsid w:val="0018426A"/>
    <w:rsid w:val="00184464"/>
    <w:rsid w:val="00184508"/>
    <w:rsid w:val="00184985"/>
    <w:rsid w:val="001859BE"/>
    <w:rsid w:val="00185A73"/>
    <w:rsid w:val="00185ACE"/>
    <w:rsid w:val="00186600"/>
    <w:rsid w:val="00186F90"/>
    <w:rsid w:val="00186FB0"/>
    <w:rsid w:val="0018772A"/>
    <w:rsid w:val="00187E9D"/>
    <w:rsid w:val="001902B7"/>
    <w:rsid w:val="001904F6"/>
    <w:rsid w:val="00191D3D"/>
    <w:rsid w:val="00192C53"/>
    <w:rsid w:val="00193568"/>
    <w:rsid w:val="00193EC2"/>
    <w:rsid w:val="001944DE"/>
    <w:rsid w:val="0019505A"/>
    <w:rsid w:val="00195301"/>
    <w:rsid w:val="00195950"/>
    <w:rsid w:val="001962CA"/>
    <w:rsid w:val="00196E04"/>
    <w:rsid w:val="001970E9"/>
    <w:rsid w:val="00197742"/>
    <w:rsid w:val="00197A1C"/>
    <w:rsid w:val="00197D89"/>
    <w:rsid w:val="001A002B"/>
    <w:rsid w:val="001A006F"/>
    <w:rsid w:val="001A0592"/>
    <w:rsid w:val="001A0ED7"/>
    <w:rsid w:val="001A14A8"/>
    <w:rsid w:val="001A21D2"/>
    <w:rsid w:val="001A244F"/>
    <w:rsid w:val="001A25F4"/>
    <w:rsid w:val="001A3009"/>
    <w:rsid w:val="001A32C2"/>
    <w:rsid w:val="001A344D"/>
    <w:rsid w:val="001A41F5"/>
    <w:rsid w:val="001A61E6"/>
    <w:rsid w:val="001A685E"/>
    <w:rsid w:val="001A6D03"/>
    <w:rsid w:val="001A7234"/>
    <w:rsid w:val="001A7584"/>
    <w:rsid w:val="001A7B1C"/>
    <w:rsid w:val="001A7BE4"/>
    <w:rsid w:val="001A7EF6"/>
    <w:rsid w:val="001B0451"/>
    <w:rsid w:val="001B05F9"/>
    <w:rsid w:val="001B0EB4"/>
    <w:rsid w:val="001B0F07"/>
    <w:rsid w:val="001B14C0"/>
    <w:rsid w:val="001B19F7"/>
    <w:rsid w:val="001B2155"/>
    <w:rsid w:val="001B2832"/>
    <w:rsid w:val="001B2BC8"/>
    <w:rsid w:val="001B304A"/>
    <w:rsid w:val="001B31EA"/>
    <w:rsid w:val="001B3CD1"/>
    <w:rsid w:val="001B3D6D"/>
    <w:rsid w:val="001B459A"/>
    <w:rsid w:val="001B4C3A"/>
    <w:rsid w:val="001B51BA"/>
    <w:rsid w:val="001B5368"/>
    <w:rsid w:val="001B67A8"/>
    <w:rsid w:val="001B71BA"/>
    <w:rsid w:val="001B740B"/>
    <w:rsid w:val="001B7EC4"/>
    <w:rsid w:val="001C068D"/>
    <w:rsid w:val="001C0900"/>
    <w:rsid w:val="001C0A0F"/>
    <w:rsid w:val="001C0B38"/>
    <w:rsid w:val="001C0E28"/>
    <w:rsid w:val="001C12DA"/>
    <w:rsid w:val="001C1347"/>
    <w:rsid w:val="001C1D18"/>
    <w:rsid w:val="001C232C"/>
    <w:rsid w:val="001C2E21"/>
    <w:rsid w:val="001C30CC"/>
    <w:rsid w:val="001C33D3"/>
    <w:rsid w:val="001C33DA"/>
    <w:rsid w:val="001C3413"/>
    <w:rsid w:val="001C3B6D"/>
    <w:rsid w:val="001C3BA2"/>
    <w:rsid w:val="001C3CB4"/>
    <w:rsid w:val="001C44E8"/>
    <w:rsid w:val="001C45C9"/>
    <w:rsid w:val="001C50E1"/>
    <w:rsid w:val="001C58A8"/>
    <w:rsid w:val="001C668A"/>
    <w:rsid w:val="001C7548"/>
    <w:rsid w:val="001C7F97"/>
    <w:rsid w:val="001D0A54"/>
    <w:rsid w:val="001D0C7D"/>
    <w:rsid w:val="001D115B"/>
    <w:rsid w:val="001D1687"/>
    <w:rsid w:val="001D19AD"/>
    <w:rsid w:val="001D2E7C"/>
    <w:rsid w:val="001D2FEE"/>
    <w:rsid w:val="001D303D"/>
    <w:rsid w:val="001D3A54"/>
    <w:rsid w:val="001D4312"/>
    <w:rsid w:val="001D4529"/>
    <w:rsid w:val="001D4F1F"/>
    <w:rsid w:val="001D5325"/>
    <w:rsid w:val="001D5A69"/>
    <w:rsid w:val="001D5D40"/>
    <w:rsid w:val="001D5DD8"/>
    <w:rsid w:val="001D64DF"/>
    <w:rsid w:val="001D682E"/>
    <w:rsid w:val="001D68EC"/>
    <w:rsid w:val="001D6DBF"/>
    <w:rsid w:val="001D701A"/>
    <w:rsid w:val="001D77FC"/>
    <w:rsid w:val="001E008E"/>
    <w:rsid w:val="001E0224"/>
    <w:rsid w:val="001E0DA8"/>
    <w:rsid w:val="001E1912"/>
    <w:rsid w:val="001E2003"/>
    <w:rsid w:val="001E226B"/>
    <w:rsid w:val="001E250D"/>
    <w:rsid w:val="001E28B1"/>
    <w:rsid w:val="001E31B4"/>
    <w:rsid w:val="001E3C34"/>
    <w:rsid w:val="001E400E"/>
    <w:rsid w:val="001E43EE"/>
    <w:rsid w:val="001E44F5"/>
    <w:rsid w:val="001E4972"/>
    <w:rsid w:val="001E520F"/>
    <w:rsid w:val="001E5896"/>
    <w:rsid w:val="001E6318"/>
    <w:rsid w:val="001E75A5"/>
    <w:rsid w:val="001E7DC9"/>
    <w:rsid w:val="001F0B1C"/>
    <w:rsid w:val="001F15A3"/>
    <w:rsid w:val="001F24DA"/>
    <w:rsid w:val="001F2FDE"/>
    <w:rsid w:val="001F383A"/>
    <w:rsid w:val="001F3C27"/>
    <w:rsid w:val="001F3DB5"/>
    <w:rsid w:val="001F3DF4"/>
    <w:rsid w:val="001F4656"/>
    <w:rsid w:val="001F46E1"/>
    <w:rsid w:val="001F4CBB"/>
    <w:rsid w:val="001F4D53"/>
    <w:rsid w:val="001F4EB1"/>
    <w:rsid w:val="001F620B"/>
    <w:rsid w:val="001F6B8E"/>
    <w:rsid w:val="001F6C0C"/>
    <w:rsid w:val="001F6D2F"/>
    <w:rsid w:val="001F70EF"/>
    <w:rsid w:val="001F717B"/>
    <w:rsid w:val="001F746A"/>
    <w:rsid w:val="001F7DA9"/>
    <w:rsid w:val="0020013D"/>
    <w:rsid w:val="002004C7"/>
    <w:rsid w:val="00200D32"/>
    <w:rsid w:val="00200D49"/>
    <w:rsid w:val="0020131A"/>
    <w:rsid w:val="002015D8"/>
    <w:rsid w:val="00201CE0"/>
    <w:rsid w:val="002023A7"/>
    <w:rsid w:val="002025B0"/>
    <w:rsid w:val="00202839"/>
    <w:rsid w:val="00203C36"/>
    <w:rsid w:val="00204395"/>
    <w:rsid w:val="00204576"/>
    <w:rsid w:val="00204AC6"/>
    <w:rsid w:val="002061E1"/>
    <w:rsid w:val="00207E52"/>
    <w:rsid w:val="002106D1"/>
    <w:rsid w:val="0021097D"/>
    <w:rsid w:val="00210A55"/>
    <w:rsid w:val="00210E5E"/>
    <w:rsid w:val="00210EA1"/>
    <w:rsid w:val="00211306"/>
    <w:rsid w:val="00211507"/>
    <w:rsid w:val="0021171A"/>
    <w:rsid w:val="00211880"/>
    <w:rsid w:val="00212BF1"/>
    <w:rsid w:val="00212D54"/>
    <w:rsid w:val="00212E64"/>
    <w:rsid w:val="00213E16"/>
    <w:rsid w:val="002142AD"/>
    <w:rsid w:val="0021467B"/>
    <w:rsid w:val="002162B6"/>
    <w:rsid w:val="00216763"/>
    <w:rsid w:val="0021699F"/>
    <w:rsid w:val="00217113"/>
    <w:rsid w:val="0021777A"/>
    <w:rsid w:val="00217A54"/>
    <w:rsid w:val="00220E7D"/>
    <w:rsid w:val="00221519"/>
    <w:rsid w:val="0022163A"/>
    <w:rsid w:val="00223431"/>
    <w:rsid w:val="0022365A"/>
    <w:rsid w:val="0022415C"/>
    <w:rsid w:val="002244D8"/>
    <w:rsid w:val="0022470E"/>
    <w:rsid w:val="00224D18"/>
    <w:rsid w:val="00225195"/>
    <w:rsid w:val="0022593E"/>
    <w:rsid w:val="00225D21"/>
    <w:rsid w:val="002263B9"/>
    <w:rsid w:val="0022689E"/>
    <w:rsid w:val="00226B93"/>
    <w:rsid w:val="00227C7D"/>
    <w:rsid w:val="00230A21"/>
    <w:rsid w:val="00230E7C"/>
    <w:rsid w:val="002312CE"/>
    <w:rsid w:val="00231567"/>
    <w:rsid w:val="002329EF"/>
    <w:rsid w:val="002331D3"/>
    <w:rsid w:val="00233283"/>
    <w:rsid w:val="0023390A"/>
    <w:rsid w:val="00233ABC"/>
    <w:rsid w:val="002343C4"/>
    <w:rsid w:val="00235536"/>
    <w:rsid w:val="00235D8E"/>
    <w:rsid w:val="00235F93"/>
    <w:rsid w:val="00236619"/>
    <w:rsid w:val="00236935"/>
    <w:rsid w:val="00236A08"/>
    <w:rsid w:val="00236B84"/>
    <w:rsid w:val="00237E58"/>
    <w:rsid w:val="00237F57"/>
    <w:rsid w:val="00240242"/>
    <w:rsid w:val="00240548"/>
    <w:rsid w:val="002408F7"/>
    <w:rsid w:val="00240A6A"/>
    <w:rsid w:val="00241AB8"/>
    <w:rsid w:val="00241AEE"/>
    <w:rsid w:val="00242AA3"/>
    <w:rsid w:val="00242FB0"/>
    <w:rsid w:val="0024388A"/>
    <w:rsid w:val="00244CCB"/>
    <w:rsid w:val="00245530"/>
    <w:rsid w:val="00245BC6"/>
    <w:rsid w:val="00245C76"/>
    <w:rsid w:val="00246025"/>
    <w:rsid w:val="002466C7"/>
    <w:rsid w:val="002469CD"/>
    <w:rsid w:val="00246B05"/>
    <w:rsid w:val="00246E17"/>
    <w:rsid w:val="00247128"/>
    <w:rsid w:val="00247D12"/>
    <w:rsid w:val="00247E7A"/>
    <w:rsid w:val="00250154"/>
    <w:rsid w:val="002501D6"/>
    <w:rsid w:val="0025060A"/>
    <w:rsid w:val="002507B3"/>
    <w:rsid w:val="00250C6F"/>
    <w:rsid w:val="00250E0E"/>
    <w:rsid w:val="002525C9"/>
    <w:rsid w:val="00253009"/>
    <w:rsid w:val="00253CD8"/>
    <w:rsid w:val="00254A4E"/>
    <w:rsid w:val="0025523D"/>
    <w:rsid w:val="002552F2"/>
    <w:rsid w:val="00255450"/>
    <w:rsid w:val="00255B73"/>
    <w:rsid w:val="00255F4A"/>
    <w:rsid w:val="002566A7"/>
    <w:rsid w:val="0025674E"/>
    <w:rsid w:val="00256C73"/>
    <w:rsid w:val="00256DC1"/>
    <w:rsid w:val="00256E52"/>
    <w:rsid w:val="00256F9D"/>
    <w:rsid w:val="00257A74"/>
    <w:rsid w:val="00257C0D"/>
    <w:rsid w:val="0026029A"/>
    <w:rsid w:val="002608D7"/>
    <w:rsid w:val="00260D54"/>
    <w:rsid w:val="00261280"/>
    <w:rsid w:val="00262144"/>
    <w:rsid w:val="00262CCE"/>
    <w:rsid w:val="0026447F"/>
    <w:rsid w:val="00264A4F"/>
    <w:rsid w:val="00265BCE"/>
    <w:rsid w:val="0027061A"/>
    <w:rsid w:val="002715CD"/>
    <w:rsid w:val="00271812"/>
    <w:rsid w:val="00271D6D"/>
    <w:rsid w:val="00272061"/>
    <w:rsid w:val="002728C7"/>
    <w:rsid w:val="002730CE"/>
    <w:rsid w:val="00273413"/>
    <w:rsid w:val="00274601"/>
    <w:rsid w:val="002746F5"/>
    <w:rsid w:val="0027497B"/>
    <w:rsid w:val="00274E8E"/>
    <w:rsid w:val="00275234"/>
    <w:rsid w:val="00275DDF"/>
    <w:rsid w:val="00275DEC"/>
    <w:rsid w:val="002766BD"/>
    <w:rsid w:val="0027752D"/>
    <w:rsid w:val="00277903"/>
    <w:rsid w:val="00277AEA"/>
    <w:rsid w:val="00277C17"/>
    <w:rsid w:val="00280108"/>
    <w:rsid w:val="002807C2"/>
    <w:rsid w:val="00280F74"/>
    <w:rsid w:val="00281455"/>
    <w:rsid w:val="002814EA"/>
    <w:rsid w:val="00281BD5"/>
    <w:rsid w:val="00282931"/>
    <w:rsid w:val="002830C7"/>
    <w:rsid w:val="00283104"/>
    <w:rsid w:val="002836BE"/>
    <w:rsid w:val="0028400D"/>
    <w:rsid w:val="0028449F"/>
    <w:rsid w:val="00284A8F"/>
    <w:rsid w:val="00284C9B"/>
    <w:rsid w:val="0028515D"/>
    <w:rsid w:val="00285742"/>
    <w:rsid w:val="00285BC1"/>
    <w:rsid w:val="00285E50"/>
    <w:rsid w:val="00286727"/>
    <w:rsid w:val="00286735"/>
    <w:rsid w:val="00286812"/>
    <w:rsid w:val="00286954"/>
    <w:rsid w:val="00286BC4"/>
    <w:rsid w:val="00286CE3"/>
    <w:rsid w:val="0028718A"/>
    <w:rsid w:val="002871E8"/>
    <w:rsid w:val="00290990"/>
    <w:rsid w:val="00290B4A"/>
    <w:rsid w:val="00291155"/>
    <w:rsid w:val="00291418"/>
    <w:rsid w:val="002917C1"/>
    <w:rsid w:val="002921C0"/>
    <w:rsid w:val="00292C59"/>
    <w:rsid w:val="00293409"/>
    <w:rsid w:val="00293AE1"/>
    <w:rsid w:val="00294469"/>
    <w:rsid w:val="00294C41"/>
    <w:rsid w:val="002956F5"/>
    <w:rsid w:val="002959F1"/>
    <w:rsid w:val="00295BA1"/>
    <w:rsid w:val="002968FB"/>
    <w:rsid w:val="00296A42"/>
    <w:rsid w:val="00296B40"/>
    <w:rsid w:val="00297CAC"/>
    <w:rsid w:val="002A023B"/>
    <w:rsid w:val="002A034A"/>
    <w:rsid w:val="002A0A66"/>
    <w:rsid w:val="002A1B29"/>
    <w:rsid w:val="002A2060"/>
    <w:rsid w:val="002A2466"/>
    <w:rsid w:val="002A2532"/>
    <w:rsid w:val="002A267A"/>
    <w:rsid w:val="002A2CE1"/>
    <w:rsid w:val="002A32CA"/>
    <w:rsid w:val="002A3747"/>
    <w:rsid w:val="002A4515"/>
    <w:rsid w:val="002A4D5E"/>
    <w:rsid w:val="002A54BA"/>
    <w:rsid w:val="002A6289"/>
    <w:rsid w:val="002B095A"/>
    <w:rsid w:val="002B0D2E"/>
    <w:rsid w:val="002B0E1E"/>
    <w:rsid w:val="002B1FC1"/>
    <w:rsid w:val="002B2C35"/>
    <w:rsid w:val="002B398D"/>
    <w:rsid w:val="002B3EAA"/>
    <w:rsid w:val="002B3F40"/>
    <w:rsid w:val="002B4132"/>
    <w:rsid w:val="002B5DC5"/>
    <w:rsid w:val="002B611C"/>
    <w:rsid w:val="002B61D9"/>
    <w:rsid w:val="002B63EB"/>
    <w:rsid w:val="002B6810"/>
    <w:rsid w:val="002B685B"/>
    <w:rsid w:val="002B6BFF"/>
    <w:rsid w:val="002B6C4B"/>
    <w:rsid w:val="002B7007"/>
    <w:rsid w:val="002B726F"/>
    <w:rsid w:val="002B7306"/>
    <w:rsid w:val="002B7340"/>
    <w:rsid w:val="002B73EB"/>
    <w:rsid w:val="002C0516"/>
    <w:rsid w:val="002C150D"/>
    <w:rsid w:val="002C2108"/>
    <w:rsid w:val="002C21B7"/>
    <w:rsid w:val="002C21EF"/>
    <w:rsid w:val="002C230C"/>
    <w:rsid w:val="002C2A9A"/>
    <w:rsid w:val="002C2AFF"/>
    <w:rsid w:val="002C3473"/>
    <w:rsid w:val="002C36C6"/>
    <w:rsid w:val="002C3FC8"/>
    <w:rsid w:val="002C4B10"/>
    <w:rsid w:val="002C57C8"/>
    <w:rsid w:val="002C59E9"/>
    <w:rsid w:val="002C5EDB"/>
    <w:rsid w:val="002C66A1"/>
    <w:rsid w:val="002C6FCF"/>
    <w:rsid w:val="002C78F1"/>
    <w:rsid w:val="002C7B2E"/>
    <w:rsid w:val="002D01DE"/>
    <w:rsid w:val="002D1453"/>
    <w:rsid w:val="002D23C9"/>
    <w:rsid w:val="002D2740"/>
    <w:rsid w:val="002D301E"/>
    <w:rsid w:val="002D30FC"/>
    <w:rsid w:val="002D3275"/>
    <w:rsid w:val="002D37FA"/>
    <w:rsid w:val="002D38D9"/>
    <w:rsid w:val="002D3C19"/>
    <w:rsid w:val="002D40CC"/>
    <w:rsid w:val="002D5752"/>
    <w:rsid w:val="002D58F3"/>
    <w:rsid w:val="002D5C28"/>
    <w:rsid w:val="002D670C"/>
    <w:rsid w:val="002D6CF2"/>
    <w:rsid w:val="002D6EBE"/>
    <w:rsid w:val="002D7935"/>
    <w:rsid w:val="002D7F33"/>
    <w:rsid w:val="002E0506"/>
    <w:rsid w:val="002E0DD0"/>
    <w:rsid w:val="002E1CC5"/>
    <w:rsid w:val="002E2041"/>
    <w:rsid w:val="002E24B3"/>
    <w:rsid w:val="002E28BC"/>
    <w:rsid w:val="002E2980"/>
    <w:rsid w:val="002E3087"/>
    <w:rsid w:val="002E33BD"/>
    <w:rsid w:val="002E575F"/>
    <w:rsid w:val="002E5DA3"/>
    <w:rsid w:val="002E76F9"/>
    <w:rsid w:val="002E776C"/>
    <w:rsid w:val="002E7F05"/>
    <w:rsid w:val="002E7FBA"/>
    <w:rsid w:val="002F0600"/>
    <w:rsid w:val="002F0E6C"/>
    <w:rsid w:val="002F11B5"/>
    <w:rsid w:val="002F1241"/>
    <w:rsid w:val="002F1321"/>
    <w:rsid w:val="002F15B9"/>
    <w:rsid w:val="002F16A1"/>
    <w:rsid w:val="002F214F"/>
    <w:rsid w:val="002F3930"/>
    <w:rsid w:val="002F3D48"/>
    <w:rsid w:val="002F4110"/>
    <w:rsid w:val="002F4373"/>
    <w:rsid w:val="002F468F"/>
    <w:rsid w:val="002F49ED"/>
    <w:rsid w:val="002F4A17"/>
    <w:rsid w:val="002F5041"/>
    <w:rsid w:val="002F60FE"/>
    <w:rsid w:val="002F6BEB"/>
    <w:rsid w:val="002F7489"/>
    <w:rsid w:val="00300280"/>
    <w:rsid w:val="00300918"/>
    <w:rsid w:val="00300C81"/>
    <w:rsid w:val="00300FED"/>
    <w:rsid w:val="00301061"/>
    <w:rsid w:val="0030176D"/>
    <w:rsid w:val="00302897"/>
    <w:rsid w:val="00302A4B"/>
    <w:rsid w:val="003038C3"/>
    <w:rsid w:val="00303C8B"/>
    <w:rsid w:val="0030440B"/>
    <w:rsid w:val="003044D9"/>
    <w:rsid w:val="003046CE"/>
    <w:rsid w:val="003053A4"/>
    <w:rsid w:val="003063A2"/>
    <w:rsid w:val="00306408"/>
    <w:rsid w:val="003066F9"/>
    <w:rsid w:val="00306A92"/>
    <w:rsid w:val="00306F08"/>
    <w:rsid w:val="00307B20"/>
    <w:rsid w:val="00307BAB"/>
    <w:rsid w:val="00307BB2"/>
    <w:rsid w:val="0031000C"/>
    <w:rsid w:val="00310546"/>
    <w:rsid w:val="00310629"/>
    <w:rsid w:val="00310808"/>
    <w:rsid w:val="00310834"/>
    <w:rsid w:val="00310EF7"/>
    <w:rsid w:val="00311AFF"/>
    <w:rsid w:val="00311BC6"/>
    <w:rsid w:val="00312528"/>
    <w:rsid w:val="003127D2"/>
    <w:rsid w:val="00312BB2"/>
    <w:rsid w:val="00313868"/>
    <w:rsid w:val="00313A45"/>
    <w:rsid w:val="003146AA"/>
    <w:rsid w:val="00315342"/>
    <w:rsid w:val="00315DB8"/>
    <w:rsid w:val="00317639"/>
    <w:rsid w:val="003176DE"/>
    <w:rsid w:val="00317D6D"/>
    <w:rsid w:val="0032028A"/>
    <w:rsid w:val="003204A8"/>
    <w:rsid w:val="0032088A"/>
    <w:rsid w:val="00320D31"/>
    <w:rsid w:val="00320DD7"/>
    <w:rsid w:val="003211AA"/>
    <w:rsid w:val="003215AA"/>
    <w:rsid w:val="0032192E"/>
    <w:rsid w:val="00321A6E"/>
    <w:rsid w:val="00321A9E"/>
    <w:rsid w:val="00322A10"/>
    <w:rsid w:val="00322A84"/>
    <w:rsid w:val="00322C28"/>
    <w:rsid w:val="00322F53"/>
    <w:rsid w:val="003238EF"/>
    <w:rsid w:val="00323B93"/>
    <w:rsid w:val="00323C69"/>
    <w:rsid w:val="00323E6F"/>
    <w:rsid w:val="00324367"/>
    <w:rsid w:val="00324491"/>
    <w:rsid w:val="00324787"/>
    <w:rsid w:val="0032531C"/>
    <w:rsid w:val="0032544B"/>
    <w:rsid w:val="00325601"/>
    <w:rsid w:val="00325E23"/>
    <w:rsid w:val="00326575"/>
    <w:rsid w:val="00326A59"/>
    <w:rsid w:val="0032752A"/>
    <w:rsid w:val="00327D97"/>
    <w:rsid w:val="0033030F"/>
    <w:rsid w:val="00330AB2"/>
    <w:rsid w:val="00330CAB"/>
    <w:rsid w:val="00330D94"/>
    <w:rsid w:val="00331438"/>
    <w:rsid w:val="003314C7"/>
    <w:rsid w:val="00331541"/>
    <w:rsid w:val="003327DF"/>
    <w:rsid w:val="0033310B"/>
    <w:rsid w:val="00333378"/>
    <w:rsid w:val="003339EC"/>
    <w:rsid w:val="00334923"/>
    <w:rsid w:val="00335530"/>
    <w:rsid w:val="00335638"/>
    <w:rsid w:val="00335F15"/>
    <w:rsid w:val="00336884"/>
    <w:rsid w:val="00337DFC"/>
    <w:rsid w:val="00340BF0"/>
    <w:rsid w:val="00340DBC"/>
    <w:rsid w:val="00341D2E"/>
    <w:rsid w:val="00341EF3"/>
    <w:rsid w:val="00343A4D"/>
    <w:rsid w:val="00343BA1"/>
    <w:rsid w:val="00343C98"/>
    <w:rsid w:val="003440BB"/>
    <w:rsid w:val="00344BB0"/>
    <w:rsid w:val="00345354"/>
    <w:rsid w:val="00345463"/>
    <w:rsid w:val="003456A9"/>
    <w:rsid w:val="00345E85"/>
    <w:rsid w:val="00346534"/>
    <w:rsid w:val="003471E6"/>
    <w:rsid w:val="003479D7"/>
    <w:rsid w:val="00347E10"/>
    <w:rsid w:val="00350D50"/>
    <w:rsid w:val="00350E2C"/>
    <w:rsid w:val="00352100"/>
    <w:rsid w:val="003521C7"/>
    <w:rsid w:val="003527A8"/>
    <w:rsid w:val="00352A80"/>
    <w:rsid w:val="0035329B"/>
    <w:rsid w:val="00353639"/>
    <w:rsid w:val="00353DB3"/>
    <w:rsid w:val="00354078"/>
    <w:rsid w:val="00355987"/>
    <w:rsid w:val="00356DC3"/>
    <w:rsid w:val="00357169"/>
    <w:rsid w:val="00357E3C"/>
    <w:rsid w:val="003609E0"/>
    <w:rsid w:val="00361143"/>
    <w:rsid w:val="003612B2"/>
    <w:rsid w:val="0036136A"/>
    <w:rsid w:val="003618E8"/>
    <w:rsid w:val="00361973"/>
    <w:rsid w:val="00361AC9"/>
    <w:rsid w:val="00361EAE"/>
    <w:rsid w:val="00361F31"/>
    <w:rsid w:val="00362246"/>
    <w:rsid w:val="003622A2"/>
    <w:rsid w:val="003626AE"/>
    <w:rsid w:val="003632CF"/>
    <w:rsid w:val="00363424"/>
    <w:rsid w:val="00363776"/>
    <w:rsid w:val="0036397E"/>
    <w:rsid w:val="003649EA"/>
    <w:rsid w:val="00364BC0"/>
    <w:rsid w:val="00365467"/>
    <w:rsid w:val="00365AFF"/>
    <w:rsid w:val="00365E1D"/>
    <w:rsid w:val="003665D8"/>
    <w:rsid w:val="00370D5D"/>
    <w:rsid w:val="003714C1"/>
    <w:rsid w:val="00371F73"/>
    <w:rsid w:val="00371FB7"/>
    <w:rsid w:val="00372281"/>
    <w:rsid w:val="0037320D"/>
    <w:rsid w:val="003734A4"/>
    <w:rsid w:val="0037404F"/>
    <w:rsid w:val="00374276"/>
    <w:rsid w:val="0037569F"/>
    <w:rsid w:val="00375704"/>
    <w:rsid w:val="003759B7"/>
    <w:rsid w:val="003761CA"/>
    <w:rsid w:val="00376324"/>
    <w:rsid w:val="003766CB"/>
    <w:rsid w:val="00376E3E"/>
    <w:rsid w:val="00376EC8"/>
    <w:rsid w:val="00377381"/>
    <w:rsid w:val="0037765A"/>
    <w:rsid w:val="00377B07"/>
    <w:rsid w:val="00380052"/>
    <w:rsid w:val="003803E9"/>
    <w:rsid w:val="00380F91"/>
    <w:rsid w:val="003811FE"/>
    <w:rsid w:val="00381373"/>
    <w:rsid w:val="003816C5"/>
    <w:rsid w:val="003819B8"/>
    <w:rsid w:val="00383297"/>
    <w:rsid w:val="0038331A"/>
    <w:rsid w:val="00383974"/>
    <w:rsid w:val="00383E1A"/>
    <w:rsid w:val="00384D22"/>
    <w:rsid w:val="0038569B"/>
    <w:rsid w:val="0038587A"/>
    <w:rsid w:val="00385B73"/>
    <w:rsid w:val="003863B7"/>
    <w:rsid w:val="00386768"/>
    <w:rsid w:val="00386872"/>
    <w:rsid w:val="003875C4"/>
    <w:rsid w:val="00387753"/>
    <w:rsid w:val="0038777A"/>
    <w:rsid w:val="003900CF"/>
    <w:rsid w:val="00390219"/>
    <w:rsid w:val="00390A61"/>
    <w:rsid w:val="00390CBA"/>
    <w:rsid w:val="00391058"/>
    <w:rsid w:val="00391493"/>
    <w:rsid w:val="00391AF8"/>
    <w:rsid w:val="00392251"/>
    <w:rsid w:val="0039255E"/>
    <w:rsid w:val="00392F6D"/>
    <w:rsid w:val="00393AF3"/>
    <w:rsid w:val="00393C8C"/>
    <w:rsid w:val="00393F33"/>
    <w:rsid w:val="00394ABD"/>
    <w:rsid w:val="00394D2A"/>
    <w:rsid w:val="00395F24"/>
    <w:rsid w:val="003965C0"/>
    <w:rsid w:val="00396D01"/>
    <w:rsid w:val="00396D0A"/>
    <w:rsid w:val="00396F81"/>
    <w:rsid w:val="00397C66"/>
    <w:rsid w:val="003A00ED"/>
    <w:rsid w:val="003A05DE"/>
    <w:rsid w:val="003A17F3"/>
    <w:rsid w:val="003A21CC"/>
    <w:rsid w:val="003A2783"/>
    <w:rsid w:val="003A29E8"/>
    <w:rsid w:val="003A30E5"/>
    <w:rsid w:val="003A3A4F"/>
    <w:rsid w:val="003A4D6B"/>
    <w:rsid w:val="003A55BF"/>
    <w:rsid w:val="003A58AE"/>
    <w:rsid w:val="003A5F90"/>
    <w:rsid w:val="003A64E9"/>
    <w:rsid w:val="003A6C25"/>
    <w:rsid w:val="003A7847"/>
    <w:rsid w:val="003A786B"/>
    <w:rsid w:val="003A7FE2"/>
    <w:rsid w:val="003B0211"/>
    <w:rsid w:val="003B0B64"/>
    <w:rsid w:val="003B10AA"/>
    <w:rsid w:val="003B1A40"/>
    <w:rsid w:val="003B2331"/>
    <w:rsid w:val="003B2590"/>
    <w:rsid w:val="003B42D1"/>
    <w:rsid w:val="003B6388"/>
    <w:rsid w:val="003B6905"/>
    <w:rsid w:val="003B74E8"/>
    <w:rsid w:val="003B752D"/>
    <w:rsid w:val="003B7CD1"/>
    <w:rsid w:val="003C107D"/>
    <w:rsid w:val="003C1722"/>
    <w:rsid w:val="003C1F4C"/>
    <w:rsid w:val="003C242A"/>
    <w:rsid w:val="003C295E"/>
    <w:rsid w:val="003C2D5C"/>
    <w:rsid w:val="003C2F65"/>
    <w:rsid w:val="003C31FD"/>
    <w:rsid w:val="003C449A"/>
    <w:rsid w:val="003C49D3"/>
    <w:rsid w:val="003C4F8C"/>
    <w:rsid w:val="003C4FEB"/>
    <w:rsid w:val="003C5794"/>
    <w:rsid w:val="003C5F55"/>
    <w:rsid w:val="003C6106"/>
    <w:rsid w:val="003C64E6"/>
    <w:rsid w:val="003C6DC8"/>
    <w:rsid w:val="003D0426"/>
    <w:rsid w:val="003D0455"/>
    <w:rsid w:val="003D1DEB"/>
    <w:rsid w:val="003D2301"/>
    <w:rsid w:val="003D2CB7"/>
    <w:rsid w:val="003D4D5B"/>
    <w:rsid w:val="003D5754"/>
    <w:rsid w:val="003D58E0"/>
    <w:rsid w:val="003D5B54"/>
    <w:rsid w:val="003D6203"/>
    <w:rsid w:val="003D62D3"/>
    <w:rsid w:val="003D6305"/>
    <w:rsid w:val="003D6DAC"/>
    <w:rsid w:val="003D7C80"/>
    <w:rsid w:val="003E03BE"/>
    <w:rsid w:val="003E062C"/>
    <w:rsid w:val="003E0E22"/>
    <w:rsid w:val="003E113D"/>
    <w:rsid w:val="003E1D6B"/>
    <w:rsid w:val="003E20E2"/>
    <w:rsid w:val="003E2780"/>
    <w:rsid w:val="003E28A4"/>
    <w:rsid w:val="003E2A83"/>
    <w:rsid w:val="003E2DEB"/>
    <w:rsid w:val="003E311E"/>
    <w:rsid w:val="003E34D2"/>
    <w:rsid w:val="003E382C"/>
    <w:rsid w:val="003E40CA"/>
    <w:rsid w:val="003E4267"/>
    <w:rsid w:val="003E43DF"/>
    <w:rsid w:val="003E44F3"/>
    <w:rsid w:val="003E4546"/>
    <w:rsid w:val="003E4BCE"/>
    <w:rsid w:val="003E4CC6"/>
    <w:rsid w:val="003E5063"/>
    <w:rsid w:val="003E52C9"/>
    <w:rsid w:val="003E620C"/>
    <w:rsid w:val="003E6E0F"/>
    <w:rsid w:val="003E7036"/>
    <w:rsid w:val="003E7752"/>
    <w:rsid w:val="003E79D2"/>
    <w:rsid w:val="003F04D4"/>
    <w:rsid w:val="003F0B18"/>
    <w:rsid w:val="003F0FA2"/>
    <w:rsid w:val="003F104E"/>
    <w:rsid w:val="003F10BC"/>
    <w:rsid w:val="003F1776"/>
    <w:rsid w:val="003F4E9F"/>
    <w:rsid w:val="003F5438"/>
    <w:rsid w:val="003F60C6"/>
    <w:rsid w:val="003F61D7"/>
    <w:rsid w:val="003F6440"/>
    <w:rsid w:val="003F696F"/>
    <w:rsid w:val="003F6BE9"/>
    <w:rsid w:val="003F7202"/>
    <w:rsid w:val="003F74CC"/>
    <w:rsid w:val="003F75D5"/>
    <w:rsid w:val="003F7826"/>
    <w:rsid w:val="004003FA"/>
    <w:rsid w:val="00401306"/>
    <w:rsid w:val="00401745"/>
    <w:rsid w:val="004025D6"/>
    <w:rsid w:val="00402E8B"/>
    <w:rsid w:val="00403A23"/>
    <w:rsid w:val="00405BB7"/>
    <w:rsid w:val="00407864"/>
    <w:rsid w:val="00407E39"/>
    <w:rsid w:val="00410199"/>
    <w:rsid w:val="00410320"/>
    <w:rsid w:val="004107C9"/>
    <w:rsid w:val="00410B9E"/>
    <w:rsid w:val="004113A3"/>
    <w:rsid w:val="00412239"/>
    <w:rsid w:val="00413BF1"/>
    <w:rsid w:val="00414354"/>
    <w:rsid w:val="00414916"/>
    <w:rsid w:val="0041505D"/>
    <w:rsid w:val="00415593"/>
    <w:rsid w:val="004158E1"/>
    <w:rsid w:val="00415EDA"/>
    <w:rsid w:val="00416906"/>
    <w:rsid w:val="00417028"/>
    <w:rsid w:val="00417CD2"/>
    <w:rsid w:val="00417DD2"/>
    <w:rsid w:val="00420260"/>
    <w:rsid w:val="00420DD7"/>
    <w:rsid w:val="004218BB"/>
    <w:rsid w:val="00421936"/>
    <w:rsid w:val="0042233D"/>
    <w:rsid w:val="00422CAB"/>
    <w:rsid w:val="00422DF2"/>
    <w:rsid w:val="004232CE"/>
    <w:rsid w:val="00423884"/>
    <w:rsid w:val="0042406C"/>
    <w:rsid w:val="00424F9B"/>
    <w:rsid w:val="004250EB"/>
    <w:rsid w:val="0042571B"/>
    <w:rsid w:val="00425CB6"/>
    <w:rsid w:val="00425CD3"/>
    <w:rsid w:val="004264FF"/>
    <w:rsid w:val="00426767"/>
    <w:rsid w:val="0042697E"/>
    <w:rsid w:val="00426A15"/>
    <w:rsid w:val="00426C43"/>
    <w:rsid w:val="004271F2"/>
    <w:rsid w:val="004275FD"/>
    <w:rsid w:val="004277C5"/>
    <w:rsid w:val="00427938"/>
    <w:rsid w:val="00427E8B"/>
    <w:rsid w:val="004300DE"/>
    <w:rsid w:val="004303A3"/>
    <w:rsid w:val="0043064C"/>
    <w:rsid w:val="004309DC"/>
    <w:rsid w:val="00430A26"/>
    <w:rsid w:val="0043131D"/>
    <w:rsid w:val="00431A44"/>
    <w:rsid w:val="0043250C"/>
    <w:rsid w:val="00432DAC"/>
    <w:rsid w:val="00432E2C"/>
    <w:rsid w:val="00432FB2"/>
    <w:rsid w:val="00433CD8"/>
    <w:rsid w:val="00434B4A"/>
    <w:rsid w:val="0043510E"/>
    <w:rsid w:val="00436267"/>
    <w:rsid w:val="0043646D"/>
    <w:rsid w:val="00436A30"/>
    <w:rsid w:val="00436C75"/>
    <w:rsid w:val="00436FC9"/>
    <w:rsid w:val="0043734F"/>
    <w:rsid w:val="004378EA"/>
    <w:rsid w:val="0043798C"/>
    <w:rsid w:val="00440636"/>
    <w:rsid w:val="00441073"/>
    <w:rsid w:val="0044107A"/>
    <w:rsid w:val="004415DC"/>
    <w:rsid w:val="0044164D"/>
    <w:rsid w:val="0044176A"/>
    <w:rsid w:val="00441BBF"/>
    <w:rsid w:val="00442555"/>
    <w:rsid w:val="00442635"/>
    <w:rsid w:val="00442809"/>
    <w:rsid w:val="00442A7B"/>
    <w:rsid w:val="00442F44"/>
    <w:rsid w:val="004437F6"/>
    <w:rsid w:val="00443817"/>
    <w:rsid w:val="00443C4D"/>
    <w:rsid w:val="00444062"/>
    <w:rsid w:val="00444214"/>
    <w:rsid w:val="00444348"/>
    <w:rsid w:val="0044511C"/>
    <w:rsid w:val="00445307"/>
    <w:rsid w:val="00445B45"/>
    <w:rsid w:val="00445BF5"/>
    <w:rsid w:val="00445C17"/>
    <w:rsid w:val="00445D1C"/>
    <w:rsid w:val="00445E0F"/>
    <w:rsid w:val="00445FBB"/>
    <w:rsid w:val="0044639A"/>
    <w:rsid w:val="0044651B"/>
    <w:rsid w:val="00446614"/>
    <w:rsid w:val="0044677D"/>
    <w:rsid w:val="00446D1C"/>
    <w:rsid w:val="00446DF4"/>
    <w:rsid w:val="00446FBF"/>
    <w:rsid w:val="0044722E"/>
    <w:rsid w:val="00447982"/>
    <w:rsid w:val="00447A0E"/>
    <w:rsid w:val="00447A80"/>
    <w:rsid w:val="00447BC7"/>
    <w:rsid w:val="0045055A"/>
    <w:rsid w:val="00450CF9"/>
    <w:rsid w:val="00451362"/>
    <w:rsid w:val="004517FE"/>
    <w:rsid w:val="00452313"/>
    <w:rsid w:val="00452618"/>
    <w:rsid w:val="00452639"/>
    <w:rsid w:val="00452DFD"/>
    <w:rsid w:val="004535A6"/>
    <w:rsid w:val="004554FC"/>
    <w:rsid w:val="004556D2"/>
    <w:rsid w:val="00455AEF"/>
    <w:rsid w:val="004567AC"/>
    <w:rsid w:val="004568C8"/>
    <w:rsid w:val="00456A41"/>
    <w:rsid w:val="004575CC"/>
    <w:rsid w:val="00457651"/>
    <w:rsid w:val="00457CFB"/>
    <w:rsid w:val="00460690"/>
    <w:rsid w:val="00460DD1"/>
    <w:rsid w:val="00460E30"/>
    <w:rsid w:val="00460F93"/>
    <w:rsid w:val="00461E2E"/>
    <w:rsid w:val="004627A7"/>
    <w:rsid w:val="00462E86"/>
    <w:rsid w:val="00463400"/>
    <w:rsid w:val="0046352F"/>
    <w:rsid w:val="00463676"/>
    <w:rsid w:val="00463BA6"/>
    <w:rsid w:val="0046410C"/>
    <w:rsid w:val="00464E41"/>
    <w:rsid w:val="00465759"/>
    <w:rsid w:val="00465E03"/>
    <w:rsid w:val="0046608A"/>
    <w:rsid w:val="004662B1"/>
    <w:rsid w:val="00466649"/>
    <w:rsid w:val="00466890"/>
    <w:rsid w:val="00467016"/>
    <w:rsid w:val="0046763C"/>
    <w:rsid w:val="00467F89"/>
    <w:rsid w:val="00470430"/>
    <w:rsid w:val="00471710"/>
    <w:rsid w:val="00471857"/>
    <w:rsid w:val="004718DD"/>
    <w:rsid w:val="00472040"/>
    <w:rsid w:val="00472660"/>
    <w:rsid w:val="00472965"/>
    <w:rsid w:val="00472B44"/>
    <w:rsid w:val="00472C9E"/>
    <w:rsid w:val="00473AA8"/>
    <w:rsid w:val="00473EE9"/>
    <w:rsid w:val="00474BE8"/>
    <w:rsid w:val="004750E6"/>
    <w:rsid w:val="004753B3"/>
    <w:rsid w:val="00475664"/>
    <w:rsid w:val="004757C1"/>
    <w:rsid w:val="00475B75"/>
    <w:rsid w:val="00475EDE"/>
    <w:rsid w:val="00475F55"/>
    <w:rsid w:val="0047629E"/>
    <w:rsid w:val="00476AA8"/>
    <w:rsid w:val="0047730B"/>
    <w:rsid w:val="00477350"/>
    <w:rsid w:val="004776F8"/>
    <w:rsid w:val="00480F21"/>
    <w:rsid w:val="00481341"/>
    <w:rsid w:val="004825FE"/>
    <w:rsid w:val="00482901"/>
    <w:rsid w:val="00483011"/>
    <w:rsid w:val="00483132"/>
    <w:rsid w:val="00483570"/>
    <w:rsid w:val="00483F4F"/>
    <w:rsid w:val="00484E52"/>
    <w:rsid w:val="00485472"/>
    <w:rsid w:val="0048662E"/>
    <w:rsid w:val="00486A66"/>
    <w:rsid w:val="00486F78"/>
    <w:rsid w:val="004901A1"/>
    <w:rsid w:val="0049027B"/>
    <w:rsid w:val="004904A8"/>
    <w:rsid w:val="00490908"/>
    <w:rsid w:val="00490F2F"/>
    <w:rsid w:val="004916EB"/>
    <w:rsid w:val="00491A6E"/>
    <w:rsid w:val="004935E8"/>
    <w:rsid w:val="0049377D"/>
    <w:rsid w:val="00493991"/>
    <w:rsid w:val="00493C97"/>
    <w:rsid w:val="00493EBA"/>
    <w:rsid w:val="004942D8"/>
    <w:rsid w:val="0049456A"/>
    <w:rsid w:val="00494E18"/>
    <w:rsid w:val="0049580B"/>
    <w:rsid w:val="00495C26"/>
    <w:rsid w:val="004971A5"/>
    <w:rsid w:val="0049756E"/>
    <w:rsid w:val="00497F52"/>
    <w:rsid w:val="004A09FC"/>
    <w:rsid w:val="004A10BA"/>
    <w:rsid w:val="004A226B"/>
    <w:rsid w:val="004A36C5"/>
    <w:rsid w:val="004A37A3"/>
    <w:rsid w:val="004A397A"/>
    <w:rsid w:val="004A4718"/>
    <w:rsid w:val="004A5B83"/>
    <w:rsid w:val="004A6015"/>
    <w:rsid w:val="004A7960"/>
    <w:rsid w:val="004B02D6"/>
    <w:rsid w:val="004B143D"/>
    <w:rsid w:val="004B2582"/>
    <w:rsid w:val="004B259E"/>
    <w:rsid w:val="004B2608"/>
    <w:rsid w:val="004B27CA"/>
    <w:rsid w:val="004B2994"/>
    <w:rsid w:val="004B33E0"/>
    <w:rsid w:val="004B377F"/>
    <w:rsid w:val="004B3795"/>
    <w:rsid w:val="004B4125"/>
    <w:rsid w:val="004B491F"/>
    <w:rsid w:val="004B4E01"/>
    <w:rsid w:val="004B5F1A"/>
    <w:rsid w:val="004B5F2A"/>
    <w:rsid w:val="004B5F8C"/>
    <w:rsid w:val="004B697C"/>
    <w:rsid w:val="004B6F66"/>
    <w:rsid w:val="004B7308"/>
    <w:rsid w:val="004C0F3B"/>
    <w:rsid w:val="004C2594"/>
    <w:rsid w:val="004C2B83"/>
    <w:rsid w:val="004C3D93"/>
    <w:rsid w:val="004C3DE5"/>
    <w:rsid w:val="004C3F73"/>
    <w:rsid w:val="004C40B0"/>
    <w:rsid w:val="004C423C"/>
    <w:rsid w:val="004C4C96"/>
    <w:rsid w:val="004C4DDB"/>
    <w:rsid w:val="004C51D4"/>
    <w:rsid w:val="004C5388"/>
    <w:rsid w:val="004C5C33"/>
    <w:rsid w:val="004C5E8E"/>
    <w:rsid w:val="004C6E23"/>
    <w:rsid w:val="004C75E7"/>
    <w:rsid w:val="004C7F5A"/>
    <w:rsid w:val="004D0E4E"/>
    <w:rsid w:val="004D215F"/>
    <w:rsid w:val="004D23D3"/>
    <w:rsid w:val="004D2E1F"/>
    <w:rsid w:val="004D30FB"/>
    <w:rsid w:val="004D353C"/>
    <w:rsid w:val="004D36BC"/>
    <w:rsid w:val="004D379E"/>
    <w:rsid w:val="004D3F27"/>
    <w:rsid w:val="004D471E"/>
    <w:rsid w:val="004D4864"/>
    <w:rsid w:val="004D53AB"/>
    <w:rsid w:val="004D54AB"/>
    <w:rsid w:val="004D5521"/>
    <w:rsid w:val="004D5DBA"/>
    <w:rsid w:val="004D6B99"/>
    <w:rsid w:val="004D6DD1"/>
    <w:rsid w:val="004D76F1"/>
    <w:rsid w:val="004E175D"/>
    <w:rsid w:val="004E1F90"/>
    <w:rsid w:val="004E2BF5"/>
    <w:rsid w:val="004E333A"/>
    <w:rsid w:val="004E3E28"/>
    <w:rsid w:val="004E478A"/>
    <w:rsid w:val="004E484F"/>
    <w:rsid w:val="004E48CE"/>
    <w:rsid w:val="004E4A34"/>
    <w:rsid w:val="004E50CF"/>
    <w:rsid w:val="004E564D"/>
    <w:rsid w:val="004E58AC"/>
    <w:rsid w:val="004E5B17"/>
    <w:rsid w:val="004E5B61"/>
    <w:rsid w:val="004E5E01"/>
    <w:rsid w:val="004E5ED5"/>
    <w:rsid w:val="004E5FEC"/>
    <w:rsid w:val="004E646D"/>
    <w:rsid w:val="004E69CD"/>
    <w:rsid w:val="004E69FF"/>
    <w:rsid w:val="004E6CFC"/>
    <w:rsid w:val="004E70D5"/>
    <w:rsid w:val="004E73A0"/>
    <w:rsid w:val="004E761B"/>
    <w:rsid w:val="004E7789"/>
    <w:rsid w:val="004E77AE"/>
    <w:rsid w:val="004E7891"/>
    <w:rsid w:val="004E793F"/>
    <w:rsid w:val="004F0400"/>
    <w:rsid w:val="004F071A"/>
    <w:rsid w:val="004F0A6B"/>
    <w:rsid w:val="004F0B44"/>
    <w:rsid w:val="004F0EB1"/>
    <w:rsid w:val="004F2496"/>
    <w:rsid w:val="004F24BB"/>
    <w:rsid w:val="004F283F"/>
    <w:rsid w:val="004F2A17"/>
    <w:rsid w:val="004F45A4"/>
    <w:rsid w:val="004F47A0"/>
    <w:rsid w:val="004F4C85"/>
    <w:rsid w:val="004F53E9"/>
    <w:rsid w:val="004F5624"/>
    <w:rsid w:val="004F7E30"/>
    <w:rsid w:val="00500301"/>
    <w:rsid w:val="0050150D"/>
    <w:rsid w:val="00501985"/>
    <w:rsid w:val="00502210"/>
    <w:rsid w:val="005025AC"/>
    <w:rsid w:val="005028E8"/>
    <w:rsid w:val="00502EA8"/>
    <w:rsid w:val="00502F8F"/>
    <w:rsid w:val="0050340E"/>
    <w:rsid w:val="00503891"/>
    <w:rsid w:val="00504428"/>
    <w:rsid w:val="005045D1"/>
    <w:rsid w:val="00504AF0"/>
    <w:rsid w:val="00504DD2"/>
    <w:rsid w:val="00504EAD"/>
    <w:rsid w:val="00505166"/>
    <w:rsid w:val="00505ABB"/>
    <w:rsid w:val="00505E23"/>
    <w:rsid w:val="00505FB6"/>
    <w:rsid w:val="005062EF"/>
    <w:rsid w:val="00506740"/>
    <w:rsid w:val="00506AFF"/>
    <w:rsid w:val="00506BE8"/>
    <w:rsid w:val="00507237"/>
    <w:rsid w:val="0050790E"/>
    <w:rsid w:val="00507D8A"/>
    <w:rsid w:val="005106AE"/>
    <w:rsid w:val="00510718"/>
    <w:rsid w:val="00510A42"/>
    <w:rsid w:val="00510C07"/>
    <w:rsid w:val="00511249"/>
    <w:rsid w:val="0051126B"/>
    <w:rsid w:val="0051158F"/>
    <w:rsid w:val="005118BD"/>
    <w:rsid w:val="00511C0D"/>
    <w:rsid w:val="00511F2D"/>
    <w:rsid w:val="005126FA"/>
    <w:rsid w:val="00512952"/>
    <w:rsid w:val="00512D7C"/>
    <w:rsid w:val="00513067"/>
    <w:rsid w:val="005130ED"/>
    <w:rsid w:val="005137FF"/>
    <w:rsid w:val="0051419D"/>
    <w:rsid w:val="0051421F"/>
    <w:rsid w:val="00514274"/>
    <w:rsid w:val="00514486"/>
    <w:rsid w:val="005148E2"/>
    <w:rsid w:val="0051508A"/>
    <w:rsid w:val="005154A1"/>
    <w:rsid w:val="005159B9"/>
    <w:rsid w:val="0051630A"/>
    <w:rsid w:val="0051660A"/>
    <w:rsid w:val="00516A1C"/>
    <w:rsid w:val="00516DD5"/>
    <w:rsid w:val="0051768B"/>
    <w:rsid w:val="00517AD0"/>
    <w:rsid w:val="00520097"/>
    <w:rsid w:val="005200E5"/>
    <w:rsid w:val="00520406"/>
    <w:rsid w:val="0052057C"/>
    <w:rsid w:val="00520DCC"/>
    <w:rsid w:val="00521187"/>
    <w:rsid w:val="00521612"/>
    <w:rsid w:val="00521D22"/>
    <w:rsid w:val="00521EB7"/>
    <w:rsid w:val="00522332"/>
    <w:rsid w:val="00522CB7"/>
    <w:rsid w:val="00523131"/>
    <w:rsid w:val="00523A3C"/>
    <w:rsid w:val="00523AD7"/>
    <w:rsid w:val="00523FA0"/>
    <w:rsid w:val="00523FCB"/>
    <w:rsid w:val="0052422E"/>
    <w:rsid w:val="00524274"/>
    <w:rsid w:val="00524402"/>
    <w:rsid w:val="005256CA"/>
    <w:rsid w:val="00525ED0"/>
    <w:rsid w:val="00525F0B"/>
    <w:rsid w:val="005264C0"/>
    <w:rsid w:val="00526D9F"/>
    <w:rsid w:val="00530072"/>
    <w:rsid w:val="00530972"/>
    <w:rsid w:val="00530D33"/>
    <w:rsid w:val="005312C5"/>
    <w:rsid w:val="005314F3"/>
    <w:rsid w:val="00531A57"/>
    <w:rsid w:val="00531C29"/>
    <w:rsid w:val="00532939"/>
    <w:rsid w:val="0053294E"/>
    <w:rsid w:val="00533144"/>
    <w:rsid w:val="0053335E"/>
    <w:rsid w:val="0053421E"/>
    <w:rsid w:val="00535D67"/>
    <w:rsid w:val="00536977"/>
    <w:rsid w:val="005369D1"/>
    <w:rsid w:val="00536C37"/>
    <w:rsid w:val="00537484"/>
    <w:rsid w:val="0053761F"/>
    <w:rsid w:val="005376BB"/>
    <w:rsid w:val="005378D8"/>
    <w:rsid w:val="005379EC"/>
    <w:rsid w:val="00537D7C"/>
    <w:rsid w:val="005407D2"/>
    <w:rsid w:val="005409D7"/>
    <w:rsid w:val="0054124A"/>
    <w:rsid w:val="00541526"/>
    <w:rsid w:val="00541A07"/>
    <w:rsid w:val="005423D6"/>
    <w:rsid w:val="00542491"/>
    <w:rsid w:val="005425D2"/>
    <w:rsid w:val="005436BA"/>
    <w:rsid w:val="00543938"/>
    <w:rsid w:val="00543E7B"/>
    <w:rsid w:val="0054468B"/>
    <w:rsid w:val="00544801"/>
    <w:rsid w:val="005449BE"/>
    <w:rsid w:val="00545CCD"/>
    <w:rsid w:val="00546A66"/>
    <w:rsid w:val="00547DB5"/>
    <w:rsid w:val="00551F8D"/>
    <w:rsid w:val="00552529"/>
    <w:rsid w:val="005534B8"/>
    <w:rsid w:val="00554003"/>
    <w:rsid w:val="005546D0"/>
    <w:rsid w:val="0055516E"/>
    <w:rsid w:val="00555BB9"/>
    <w:rsid w:val="00555E51"/>
    <w:rsid w:val="00556391"/>
    <w:rsid w:val="00556437"/>
    <w:rsid w:val="00556C11"/>
    <w:rsid w:val="00557248"/>
    <w:rsid w:val="00557F06"/>
    <w:rsid w:val="00557FE2"/>
    <w:rsid w:val="0056007B"/>
    <w:rsid w:val="00560B1F"/>
    <w:rsid w:val="0056106F"/>
    <w:rsid w:val="005610BD"/>
    <w:rsid w:val="005612EA"/>
    <w:rsid w:val="0056134A"/>
    <w:rsid w:val="00561BDC"/>
    <w:rsid w:val="00561E37"/>
    <w:rsid w:val="00561EF7"/>
    <w:rsid w:val="00562372"/>
    <w:rsid w:val="00562612"/>
    <w:rsid w:val="00563043"/>
    <w:rsid w:val="00563361"/>
    <w:rsid w:val="005635E2"/>
    <w:rsid w:val="005636AB"/>
    <w:rsid w:val="0056500A"/>
    <w:rsid w:val="0056617F"/>
    <w:rsid w:val="00566A74"/>
    <w:rsid w:val="00566C39"/>
    <w:rsid w:val="005670F1"/>
    <w:rsid w:val="0056756F"/>
    <w:rsid w:val="0056761E"/>
    <w:rsid w:val="00570327"/>
    <w:rsid w:val="00570522"/>
    <w:rsid w:val="00570ECB"/>
    <w:rsid w:val="00570F4B"/>
    <w:rsid w:val="00571323"/>
    <w:rsid w:val="005715D9"/>
    <w:rsid w:val="00571BB4"/>
    <w:rsid w:val="00571DAF"/>
    <w:rsid w:val="00572351"/>
    <w:rsid w:val="00572A0C"/>
    <w:rsid w:val="00573365"/>
    <w:rsid w:val="0057399F"/>
    <w:rsid w:val="00573CCE"/>
    <w:rsid w:val="00573F08"/>
    <w:rsid w:val="0057408F"/>
    <w:rsid w:val="00574961"/>
    <w:rsid w:val="00574973"/>
    <w:rsid w:val="0057505B"/>
    <w:rsid w:val="00575429"/>
    <w:rsid w:val="00575866"/>
    <w:rsid w:val="00575CFA"/>
    <w:rsid w:val="00576503"/>
    <w:rsid w:val="005767DC"/>
    <w:rsid w:val="00576B4B"/>
    <w:rsid w:val="00576C2B"/>
    <w:rsid w:val="00577127"/>
    <w:rsid w:val="005776C4"/>
    <w:rsid w:val="005776CD"/>
    <w:rsid w:val="00577C06"/>
    <w:rsid w:val="00577CC3"/>
    <w:rsid w:val="00577ED9"/>
    <w:rsid w:val="0058021D"/>
    <w:rsid w:val="00580EFD"/>
    <w:rsid w:val="0058178A"/>
    <w:rsid w:val="00582027"/>
    <w:rsid w:val="005824CA"/>
    <w:rsid w:val="00582A81"/>
    <w:rsid w:val="00582D08"/>
    <w:rsid w:val="005835D0"/>
    <w:rsid w:val="0058385A"/>
    <w:rsid w:val="00583E88"/>
    <w:rsid w:val="00584047"/>
    <w:rsid w:val="00584DB8"/>
    <w:rsid w:val="00585CE9"/>
    <w:rsid w:val="0058612D"/>
    <w:rsid w:val="005864D2"/>
    <w:rsid w:val="00587822"/>
    <w:rsid w:val="0058782F"/>
    <w:rsid w:val="00590216"/>
    <w:rsid w:val="00590663"/>
    <w:rsid w:val="00590D0B"/>
    <w:rsid w:val="00591668"/>
    <w:rsid w:val="00591B11"/>
    <w:rsid w:val="005920CA"/>
    <w:rsid w:val="0059228B"/>
    <w:rsid w:val="00592879"/>
    <w:rsid w:val="00593154"/>
    <w:rsid w:val="005935AD"/>
    <w:rsid w:val="005941D6"/>
    <w:rsid w:val="00595139"/>
    <w:rsid w:val="00595722"/>
    <w:rsid w:val="005962D9"/>
    <w:rsid w:val="00596CEA"/>
    <w:rsid w:val="00597393"/>
    <w:rsid w:val="005975CC"/>
    <w:rsid w:val="0059789E"/>
    <w:rsid w:val="005A05CF"/>
    <w:rsid w:val="005A071F"/>
    <w:rsid w:val="005A0FEF"/>
    <w:rsid w:val="005A12C1"/>
    <w:rsid w:val="005A1834"/>
    <w:rsid w:val="005A1F25"/>
    <w:rsid w:val="005A27EC"/>
    <w:rsid w:val="005A3291"/>
    <w:rsid w:val="005A398D"/>
    <w:rsid w:val="005A3997"/>
    <w:rsid w:val="005A3CFF"/>
    <w:rsid w:val="005A49FC"/>
    <w:rsid w:val="005A590B"/>
    <w:rsid w:val="005A68DC"/>
    <w:rsid w:val="005A6AEF"/>
    <w:rsid w:val="005A7073"/>
    <w:rsid w:val="005A7460"/>
    <w:rsid w:val="005A7937"/>
    <w:rsid w:val="005A7A8A"/>
    <w:rsid w:val="005A7B72"/>
    <w:rsid w:val="005A7EA8"/>
    <w:rsid w:val="005B0940"/>
    <w:rsid w:val="005B0BE2"/>
    <w:rsid w:val="005B0C73"/>
    <w:rsid w:val="005B0CE2"/>
    <w:rsid w:val="005B0EF1"/>
    <w:rsid w:val="005B19D3"/>
    <w:rsid w:val="005B19E2"/>
    <w:rsid w:val="005B1B2D"/>
    <w:rsid w:val="005B1E0E"/>
    <w:rsid w:val="005B1EA5"/>
    <w:rsid w:val="005B1F8C"/>
    <w:rsid w:val="005B2199"/>
    <w:rsid w:val="005B2735"/>
    <w:rsid w:val="005B3385"/>
    <w:rsid w:val="005B3877"/>
    <w:rsid w:val="005B39A8"/>
    <w:rsid w:val="005B3B17"/>
    <w:rsid w:val="005B436D"/>
    <w:rsid w:val="005B438E"/>
    <w:rsid w:val="005B4512"/>
    <w:rsid w:val="005B471E"/>
    <w:rsid w:val="005B4C54"/>
    <w:rsid w:val="005B4EBC"/>
    <w:rsid w:val="005B6C23"/>
    <w:rsid w:val="005B6D91"/>
    <w:rsid w:val="005B6E87"/>
    <w:rsid w:val="005B749E"/>
    <w:rsid w:val="005B7854"/>
    <w:rsid w:val="005C017A"/>
    <w:rsid w:val="005C0946"/>
    <w:rsid w:val="005C0C4A"/>
    <w:rsid w:val="005C0DCE"/>
    <w:rsid w:val="005C11D6"/>
    <w:rsid w:val="005C1968"/>
    <w:rsid w:val="005C32DA"/>
    <w:rsid w:val="005C385D"/>
    <w:rsid w:val="005C39E1"/>
    <w:rsid w:val="005C3A8E"/>
    <w:rsid w:val="005C3CCE"/>
    <w:rsid w:val="005C4545"/>
    <w:rsid w:val="005C55B7"/>
    <w:rsid w:val="005C5699"/>
    <w:rsid w:val="005C5ECE"/>
    <w:rsid w:val="005C6BE7"/>
    <w:rsid w:val="005C6F47"/>
    <w:rsid w:val="005C6F8E"/>
    <w:rsid w:val="005C742F"/>
    <w:rsid w:val="005C7504"/>
    <w:rsid w:val="005C7533"/>
    <w:rsid w:val="005D04CD"/>
    <w:rsid w:val="005D074B"/>
    <w:rsid w:val="005D12F3"/>
    <w:rsid w:val="005D1A75"/>
    <w:rsid w:val="005D2F91"/>
    <w:rsid w:val="005D3494"/>
    <w:rsid w:val="005D3F93"/>
    <w:rsid w:val="005D43CD"/>
    <w:rsid w:val="005D4901"/>
    <w:rsid w:val="005D5599"/>
    <w:rsid w:val="005D5832"/>
    <w:rsid w:val="005D5DE5"/>
    <w:rsid w:val="005D6A6F"/>
    <w:rsid w:val="005D706C"/>
    <w:rsid w:val="005D73C1"/>
    <w:rsid w:val="005D74E6"/>
    <w:rsid w:val="005D76DB"/>
    <w:rsid w:val="005E0352"/>
    <w:rsid w:val="005E100E"/>
    <w:rsid w:val="005E168A"/>
    <w:rsid w:val="005E247E"/>
    <w:rsid w:val="005E29B8"/>
    <w:rsid w:val="005E2B64"/>
    <w:rsid w:val="005E31FA"/>
    <w:rsid w:val="005E32C8"/>
    <w:rsid w:val="005E3442"/>
    <w:rsid w:val="005E5074"/>
    <w:rsid w:val="005E5843"/>
    <w:rsid w:val="005E5B75"/>
    <w:rsid w:val="005E65C0"/>
    <w:rsid w:val="005E6680"/>
    <w:rsid w:val="005E6EDF"/>
    <w:rsid w:val="005E74B0"/>
    <w:rsid w:val="005E77F2"/>
    <w:rsid w:val="005F025A"/>
    <w:rsid w:val="005F08D1"/>
    <w:rsid w:val="005F094A"/>
    <w:rsid w:val="005F15A6"/>
    <w:rsid w:val="005F29A1"/>
    <w:rsid w:val="005F36F1"/>
    <w:rsid w:val="005F39F4"/>
    <w:rsid w:val="005F3C96"/>
    <w:rsid w:val="005F44CE"/>
    <w:rsid w:val="005F4EE2"/>
    <w:rsid w:val="005F6403"/>
    <w:rsid w:val="005F6BC5"/>
    <w:rsid w:val="005F6F90"/>
    <w:rsid w:val="005F7151"/>
    <w:rsid w:val="005F7522"/>
    <w:rsid w:val="005F7888"/>
    <w:rsid w:val="00600763"/>
    <w:rsid w:val="00600E0D"/>
    <w:rsid w:val="0060174B"/>
    <w:rsid w:val="00601C72"/>
    <w:rsid w:val="00602712"/>
    <w:rsid w:val="00603375"/>
    <w:rsid w:val="00603CB1"/>
    <w:rsid w:val="0060526D"/>
    <w:rsid w:val="00605474"/>
    <w:rsid w:val="006056A7"/>
    <w:rsid w:val="00606FE5"/>
    <w:rsid w:val="006071FC"/>
    <w:rsid w:val="00607238"/>
    <w:rsid w:val="00607B0F"/>
    <w:rsid w:val="00607EB3"/>
    <w:rsid w:val="00607FCE"/>
    <w:rsid w:val="00610832"/>
    <w:rsid w:val="006109C4"/>
    <w:rsid w:val="00611DFC"/>
    <w:rsid w:val="00612CE1"/>
    <w:rsid w:val="00613451"/>
    <w:rsid w:val="006134B2"/>
    <w:rsid w:val="00614368"/>
    <w:rsid w:val="006145DB"/>
    <w:rsid w:val="006145E8"/>
    <w:rsid w:val="006147FD"/>
    <w:rsid w:val="006153A2"/>
    <w:rsid w:val="00617959"/>
    <w:rsid w:val="00620012"/>
    <w:rsid w:val="0062003B"/>
    <w:rsid w:val="006209E2"/>
    <w:rsid w:val="00620DCD"/>
    <w:rsid w:val="00620F40"/>
    <w:rsid w:val="00621044"/>
    <w:rsid w:val="006213CD"/>
    <w:rsid w:val="00621800"/>
    <w:rsid w:val="00621889"/>
    <w:rsid w:val="00621BD5"/>
    <w:rsid w:val="006220E1"/>
    <w:rsid w:val="00622E9D"/>
    <w:rsid w:val="00623B05"/>
    <w:rsid w:val="00623C42"/>
    <w:rsid w:val="00624949"/>
    <w:rsid w:val="00624B31"/>
    <w:rsid w:val="0062529C"/>
    <w:rsid w:val="006254DF"/>
    <w:rsid w:val="006259E1"/>
    <w:rsid w:val="00625F53"/>
    <w:rsid w:val="00626152"/>
    <w:rsid w:val="00626338"/>
    <w:rsid w:val="006267D5"/>
    <w:rsid w:val="00626E68"/>
    <w:rsid w:val="00626FE0"/>
    <w:rsid w:val="00627E9C"/>
    <w:rsid w:val="00631A5A"/>
    <w:rsid w:val="00632238"/>
    <w:rsid w:val="006329B5"/>
    <w:rsid w:val="0063301F"/>
    <w:rsid w:val="006332B4"/>
    <w:rsid w:val="0063379E"/>
    <w:rsid w:val="00633BFC"/>
    <w:rsid w:val="00634822"/>
    <w:rsid w:val="00634925"/>
    <w:rsid w:val="00634A41"/>
    <w:rsid w:val="00634EAE"/>
    <w:rsid w:val="00634ED3"/>
    <w:rsid w:val="00635B0A"/>
    <w:rsid w:val="00636425"/>
    <w:rsid w:val="006367FC"/>
    <w:rsid w:val="00640AA6"/>
    <w:rsid w:val="00640B80"/>
    <w:rsid w:val="006410A6"/>
    <w:rsid w:val="00641D27"/>
    <w:rsid w:val="00642144"/>
    <w:rsid w:val="0064249E"/>
    <w:rsid w:val="006424E3"/>
    <w:rsid w:val="00642E03"/>
    <w:rsid w:val="00644097"/>
    <w:rsid w:val="00644A71"/>
    <w:rsid w:val="00645125"/>
    <w:rsid w:val="00645885"/>
    <w:rsid w:val="0064627A"/>
    <w:rsid w:val="00646B0B"/>
    <w:rsid w:val="00647801"/>
    <w:rsid w:val="00647A96"/>
    <w:rsid w:val="00647CC0"/>
    <w:rsid w:val="00650370"/>
    <w:rsid w:val="00650A92"/>
    <w:rsid w:val="00650CE4"/>
    <w:rsid w:val="00651062"/>
    <w:rsid w:val="00651137"/>
    <w:rsid w:val="0065141E"/>
    <w:rsid w:val="00651477"/>
    <w:rsid w:val="0065251D"/>
    <w:rsid w:val="00652976"/>
    <w:rsid w:val="006534BF"/>
    <w:rsid w:val="00653508"/>
    <w:rsid w:val="00653787"/>
    <w:rsid w:val="00653982"/>
    <w:rsid w:val="00654235"/>
    <w:rsid w:val="006548F1"/>
    <w:rsid w:val="006552E4"/>
    <w:rsid w:val="00655348"/>
    <w:rsid w:val="00655FBC"/>
    <w:rsid w:val="006560E0"/>
    <w:rsid w:val="00656159"/>
    <w:rsid w:val="00656466"/>
    <w:rsid w:val="006575DE"/>
    <w:rsid w:val="00657B63"/>
    <w:rsid w:val="00657F01"/>
    <w:rsid w:val="00660246"/>
    <w:rsid w:val="00660887"/>
    <w:rsid w:val="00660AB2"/>
    <w:rsid w:val="006615AE"/>
    <w:rsid w:val="00661660"/>
    <w:rsid w:val="00661756"/>
    <w:rsid w:val="006617F5"/>
    <w:rsid w:val="0066202C"/>
    <w:rsid w:val="00662367"/>
    <w:rsid w:val="00662826"/>
    <w:rsid w:val="00663528"/>
    <w:rsid w:val="006637D6"/>
    <w:rsid w:val="00663969"/>
    <w:rsid w:val="006643AC"/>
    <w:rsid w:val="006648E7"/>
    <w:rsid w:val="006649BA"/>
    <w:rsid w:val="00664ADF"/>
    <w:rsid w:val="00664C26"/>
    <w:rsid w:val="00664E20"/>
    <w:rsid w:val="00665CC7"/>
    <w:rsid w:val="006668F4"/>
    <w:rsid w:val="00666DDF"/>
    <w:rsid w:val="00667A33"/>
    <w:rsid w:val="00667E51"/>
    <w:rsid w:val="00667FF0"/>
    <w:rsid w:val="00670021"/>
    <w:rsid w:val="006701D0"/>
    <w:rsid w:val="006705DD"/>
    <w:rsid w:val="00671379"/>
    <w:rsid w:val="0067148C"/>
    <w:rsid w:val="00671807"/>
    <w:rsid w:val="006718D0"/>
    <w:rsid w:val="00672131"/>
    <w:rsid w:val="006725A3"/>
    <w:rsid w:val="0067269A"/>
    <w:rsid w:val="00673DCD"/>
    <w:rsid w:val="0067522C"/>
    <w:rsid w:val="006760CF"/>
    <w:rsid w:val="00676345"/>
    <w:rsid w:val="0067662D"/>
    <w:rsid w:val="00676880"/>
    <w:rsid w:val="00676979"/>
    <w:rsid w:val="00676BE2"/>
    <w:rsid w:val="00676DF4"/>
    <w:rsid w:val="006803E3"/>
    <w:rsid w:val="00680497"/>
    <w:rsid w:val="0068087A"/>
    <w:rsid w:val="00681DE2"/>
    <w:rsid w:val="00683022"/>
    <w:rsid w:val="00683ECD"/>
    <w:rsid w:val="00684B1A"/>
    <w:rsid w:val="00685C95"/>
    <w:rsid w:val="0068629D"/>
    <w:rsid w:val="006862E9"/>
    <w:rsid w:val="0068676B"/>
    <w:rsid w:val="0068724F"/>
    <w:rsid w:val="00687349"/>
    <w:rsid w:val="00687825"/>
    <w:rsid w:val="0068791E"/>
    <w:rsid w:val="0068799D"/>
    <w:rsid w:val="00687E9D"/>
    <w:rsid w:val="00690064"/>
    <w:rsid w:val="00690072"/>
    <w:rsid w:val="00690232"/>
    <w:rsid w:val="006905B2"/>
    <w:rsid w:val="00690949"/>
    <w:rsid w:val="00690A63"/>
    <w:rsid w:val="0069109F"/>
    <w:rsid w:val="00691243"/>
    <w:rsid w:val="00691645"/>
    <w:rsid w:val="00691684"/>
    <w:rsid w:val="0069255A"/>
    <w:rsid w:val="00692722"/>
    <w:rsid w:val="00692F7B"/>
    <w:rsid w:val="00693221"/>
    <w:rsid w:val="0069346D"/>
    <w:rsid w:val="0069467E"/>
    <w:rsid w:val="00694688"/>
    <w:rsid w:val="006959CC"/>
    <w:rsid w:val="00695A42"/>
    <w:rsid w:val="00695E51"/>
    <w:rsid w:val="006961D6"/>
    <w:rsid w:val="0069621E"/>
    <w:rsid w:val="00697121"/>
    <w:rsid w:val="00697BCB"/>
    <w:rsid w:val="00697C06"/>
    <w:rsid w:val="006A0666"/>
    <w:rsid w:val="006A08E6"/>
    <w:rsid w:val="006A0A90"/>
    <w:rsid w:val="006A0F62"/>
    <w:rsid w:val="006A10FD"/>
    <w:rsid w:val="006A1339"/>
    <w:rsid w:val="006A24AB"/>
    <w:rsid w:val="006A26A3"/>
    <w:rsid w:val="006A280D"/>
    <w:rsid w:val="006A3926"/>
    <w:rsid w:val="006A3AFB"/>
    <w:rsid w:val="006A3CF9"/>
    <w:rsid w:val="006A451D"/>
    <w:rsid w:val="006A475A"/>
    <w:rsid w:val="006A4BED"/>
    <w:rsid w:val="006A4EF3"/>
    <w:rsid w:val="006A6196"/>
    <w:rsid w:val="006A63CD"/>
    <w:rsid w:val="006A7C47"/>
    <w:rsid w:val="006A7D15"/>
    <w:rsid w:val="006B00C4"/>
    <w:rsid w:val="006B0257"/>
    <w:rsid w:val="006B0C6C"/>
    <w:rsid w:val="006B0D54"/>
    <w:rsid w:val="006B163C"/>
    <w:rsid w:val="006B16E4"/>
    <w:rsid w:val="006B20E1"/>
    <w:rsid w:val="006B27AF"/>
    <w:rsid w:val="006B333E"/>
    <w:rsid w:val="006B34BB"/>
    <w:rsid w:val="006B3A5A"/>
    <w:rsid w:val="006B3EEE"/>
    <w:rsid w:val="006B41E8"/>
    <w:rsid w:val="006B575F"/>
    <w:rsid w:val="006B5C79"/>
    <w:rsid w:val="006B5CBB"/>
    <w:rsid w:val="006B6E6C"/>
    <w:rsid w:val="006C02D4"/>
    <w:rsid w:val="006C0872"/>
    <w:rsid w:val="006C0B4C"/>
    <w:rsid w:val="006C0F95"/>
    <w:rsid w:val="006C2078"/>
    <w:rsid w:val="006C2BCB"/>
    <w:rsid w:val="006C2DD2"/>
    <w:rsid w:val="006C3B74"/>
    <w:rsid w:val="006C466E"/>
    <w:rsid w:val="006C4B69"/>
    <w:rsid w:val="006C4EC1"/>
    <w:rsid w:val="006C5701"/>
    <w:rsid w:val="006C5BD4"/>
    <w:rsid w:val="006C6054"/>
    <w:rsid w:val="006C6308"/>
    <w:rsid w:val="006C6484"/>
    <w:rsid w:val="006C728C"/>
    <w:rsid w:val="006C72D6"/>
    <w:rsid w:val="006C74B7"/>
    <w:rsid w:val="006C7513"/>
    <w:rsid w:val="006C7D37"/>
    <w:rsid w:val="006D0428"/>
    <w:rsid w:val="006D0E74"/>
    <w:rsid w:val="006D0EC0"/>
    <w:rsid w:val="006D14D9"/>
    <w:rsid w:val="006D1BE5"/>
    <w:rsid w:val="006D2050"/>
    <w:rsid w:val="006D2670"/>
    <w:rsid w:val="006D2A34"/>
    <w:rsid w:val="006D2BC4"/>
    <w:rsid w:val="006D2D73"/>
    <w:rsid w:val="006D2E59"/>
    <w:rsid w:val="006D2EB4"/>
    <w:rsid w:val="006D30DA"/>
    <w:rsid w:val="006D3303"/>
    <w:rsid w:val="006D33A9"/>
    <w:rsid w:val="006D3719"/>
    <w:rsid w:val="006D48CD"/>
    <w:rsid w:val="006D4949"/>
    <w:rsid w:val="006D49AD"/>
    <w:rsid w:val="006D4BF6"/>
    <w:rsid w:val="006D4E0A"/>
    <w:rsid w:val="006D529A"/>
    <w:rsid w:val="006D57C9"/>
    <w:rsid w:val="006D580A"/>
    <w:rsid w:val="006D5E5F"/>
    <w:rsid w:val="006D6B5C"/>
    <w:rsid w:val="006D6CB9"/>
    <w:rsid w:val="006D7BE6"/>
    <w:rsid w:val="006E04F5"/>
    <w:rsid w:val="006E10C6"/>
    <w:rsid w:val="006E206B"/>
    <w:rsid w:val="006E39BD"/>
    <w:rsid w:val="006E4BF5"/>
    <w:rsid w:val="006E5537"/>
    <w:rsid w:val="006E57D9"/>
    <w:rsid w:val="006E5864"/>
    <w:rsid w:val="006E5F65"/>
    <w:rsid w:val="006E5F6A"/>
    <w:rsid w:val="006E6A60"/>
    <w:rsid w:val="006E6C35"/>
    <w:rsid w:val="006E6E91"/>
    <w:rsid w:val="006E6F3E"/>
    <w:rsid w:val="006E7066"/>
    <w:rsid w:val="006F047B"/>
    <w:rsid w:val="006F079A"/>
    <w:rsid w:val="006F0850"/>
    <w:rsid w:val="006F0BC8"/>
    <w:rsid w:val="006F0CF0"/>
    <w:rsid w:val="006F14AE"/>
    <w:rsid w:val="006F154C"/>
    <w:rsid w:val="006F15DA"/>
    <w:rsid w:val="006F1AE8"/>
    <w:rsid w:val="006F1BE7"/>
    <w:rsid w:val="006F27B0"/>
    <w:rsid w:val="006F317C"/>
    <w:rsid w:val="006F322E"/>
    <w:rsid w:val="006F3684"/>
    <w:rsid w:val="006F3715"/>
    <w:rsid w:val="006F41A0"/>
    <w:rsid w:val="006F48EB"/>
    <w:rsid w:val="006F4913"/>
    <w:rsid w:val="006F4B2A"/>
    <w:rsid w:val="006F5A3D"/>
    <w:rsid w:val="006F5AB3"/>
    <w:rsid w:val="006F6C7A"/>
    <w:rsid w:val="006F6E48"/>
    <w:rsid w:val="006F7294"/>
    <w:rsid w:val="00700E17"/>
    <w:rsid w:val="00700F31"/>
    <w:rsid w:val="007015BF"/>
    <w:rsid w:val="00701B23"/>
    <w:rsid w:val="0070212E"/>
    <w:rsid w:val="0070366E"/>
    <w:rsid w:val="00703719"/>
    <w:rsid w:val="00703F1C"/>
    <w:rsid w:val="007041E4"/>
    <w:rsid w:val="00704E5F"/>
    <w:rsid w:val="007051ED"/>
    <w:rsid w:val="007053BB"/>
    <w:rsid w:val="00706001"/>
    <w:rsid w:val="0070723D"/>
    <w:rsid w:val="0070736A"/>
    <w:rsid w:val="00707710"/>
    <w:rsid w:val="00707859"/>
    <w:rsid w:val="007102FF"/>
    <w:rsid w:val="007107A7"/>
    <w:rsid w:val="0071134F"/>
    <w:rsid w:val="00711817"/>
    <w:rsid w:val="00711D8C"/>
    <w:rsid w:val="0071221C"/>
    <w:rsid w:val="0071308E"/>
    <w:rsid w:val="007132DE"/>
    <w:rsid w:val="00714510"/>
    <w:rsid w:val="007145C2"/>
    <w:rsid w:val="00714811"/>
    <w:rsid w:val="00715527"/>
    <w:rsid w:val="0071566E"/>
    <w:rsid w:val="0071569B"/>
    <w:rsid w:val="00715EBE"/>
    <w:rsid w:val="00716275"/>
    <w:rsid w:val="0071682E"/>
    <w:rsid w:val="00716992"/>
    <w:rsid w:val="00717085"/>
    <w:rsid w:val="007173FC"/>
    <w:rsid w:val="0071750A"/>
    <w:rsid w:val="00717DAB"/>
    <w:rsid w:val="00721F4E"/>
    <w:rsid w:val="0072239B"/>
    <w:rsid w:val="00722BA7"/>
    <w:rsid w:val="00722CA6"/>
    <w:rsid w:val="007237CD"/>
    <w:rsid w:val="0072472A"/>
    <w:rsid w:val="007247A7"/>
    <w:rsid w:val="00724887"/>
    <w:rsid w:val="007249F6"/>
    <w:rsid w:val="00725DDC"/>
    <w:rsid w:val="00727456"/>
    <w:rsid w:val="00727C1E"/>
    <w:rsid w:val="00727CB1"/>
    <w:rsid w:val="00731105"/>
    <w:rsid w:val="00731424"/>
    <w:rsid w:val="0073172F"/>
    <w:rsid w:val="00731FBC"/>
    <w:rsid w:val="007325C6"/>
    <w:rsid w:val="00732749"/>
    <w:rsid w:val="00732BD9"/>
    <w:rsid w:val="00732C19"/>
    <w:rsid w:val="007330B5"/>
    <w:rsid w:val="00733F23"/>
    <w:rsid w:val="0073447B"/>
    <w:rsid w:val="00735243"/>
    <w:rsid w:val="0073627B"/>
    <w:rsid w:val="0073662C"/>
    <w:rsid w:val="0073679A"/>
    <w:rsid w:val="007369A7"/>
    <w:rsid w:val="00737A23"/>
    <w:rsid w:val="00737AC8"/>
    <w:rsid w:val="007402CF"/>
    <w:rsid w:val="00740B9C"/>
    <w:rsid w:val="0074118C"/>
    <w:rsid w:val="007411A8"/>
    <w:rsid w:val="0074139F"/>
    <w:rsid w:val="00741BD2"/>
    <w:rsid w:val="007420C2"/>
    <w:rsid w:val="00742155"/>
    <w:rsid w:val="00742EBE"/>
    <w:rsid w:val="00742FE1"/>
    <w:rsid w:val="00743132"/>
    <w:rsid w:val="00744031"/>
    <w:rsid w:val="0074452D"/>
    <w:rsid w:val="007447ED"/>
    <w:rsid w:val="00744D20"/>
    <w:rsid w:val="00744E7B"/>
    <w:rsid w:val="00745191"/>
    <w:rsid w:val="0074540A"/>
    <w:rsid w:val="007458A5"/>
    <w:rsid w:val="00746245"/>
    <w:rsid w:val="00746B68"/>
    <w:rsid w:val="00746E9A"/>
    <w:rsid w:val="00747138"/>
    <w:rsid w:val="007472B5"/>
    <w:rsid w:val="0074743D"/>
    <w:rsid w:val="00747579"/>
    <w:rsid w:val="007501C8"/>
    <w:rsid w:val="00750226"/>
    <w:rsid w:val="00750D2D"/>
    <w:rsid w:val="00751122"/>
    <w:rsid w:val="007520AD"/>
    <w:rsid w:val="007528F0"/>
    <w:rsid w:val="00752A8C"/>
    <w:rsid w:val="00753284"/>
    <w:rsid w:val="007541F9"/>
    <w:rsid w:val="00754215"/>
    <w:rsid w:val="0075451C"/>
    <w:rsid w:val="00754C7A"/>
    <w:rsid w:val="00755253"/>
    <w:rsid w:val="00756244"/>
    <w:rsid w:val="00756371"/>
    <w:rsid w:val="007573A9"/>
    <w:rsid w:val="00757F4E"/>
    <w:rsid w:val="00760045"/>
    <w:rsid w:val="007601F4"/>
    <w:rsid w:val="0076053C"/>
    <w:rsid w:val="00760720"/>
    <w:rsid w:val="00760ADA"/>
    <w:rsid w:val="00760D04"/>
    <w:rsid w:val="00761CB0"/>
    <w:rsid w:val="00762277"/>
    <w:rsid w:val="0076264D"/>
    <w:rsid w:val="00762A47"/>
    <w:rsid w:val="0076346E"/>
    <w:rsid w:val="00763920"/>
    <w:rsid w:val="00763D5B"/>
    <w:rsid w:val="00764A7E"/>
    <w:rsid w:val="0076510D"/>
    <w:rsid w:val="007651BF"/>
    <w:rsid w:val="007657B9"/>
    <w:rsid w:val="007660A5"/>
    <w:rsid w:val="0076611F"/>
    <w:rsid w:val="0076693F"/>
    <w:rsid w:val="00766CAF"/>
    <w:rsid w:val="00767037"/>
    <w:rsid w:val="00767481"/>
    <w:rsid w:val="00767C34"/>
    <w:rsid w:val="00767E99"/>
    <w:rsid w:val="007703B6"/>
    <w:rsid w:val="0077065D"/>
    <w:rsid w:val="0077066B"/>
    <w:rsid w:val="00770B92"/>
    <w:rsid w:val="00771053"/>
    <w:rsid w:val="00771B2B"/>
    <w:rsid w:val="00771F3E"/>
    <w:rsid w:val="00772337"/>
    <w:rsid w:val="007723DD"/>
    <w:rsid w:val="007724A1"/>
    <w:rsid w:val="00772A14"/>
    <w:rsid w:val="00773B08"/>
    <w:rsid w:val="00775193"/>
    <w:rsid w:val="00776B0E"/>
    <w:rsid w:val="007778D4"/>
    <w:rsid w:val="00777981"/>
    <w:rsid w:val="0078000E"/>
    <w:rsid w:val="0078031B"/>
    <w:rsid w:val="00780EE2"/>
    <w:rsid w:val="007812B4"/>
    <w:rsid w:val="00781431"/>
    <w:rsid w:val="00781B7D"/>
    <w:rsid w:val="00781C7E"/>
    <w:rsid w:val="00783101"/>
    <w:rsid w:val="00783936"/>
    <w:rsid w:val="00783973"/>
    <w:rsid w:val="007839A5"/>
    <w:rsid w:val="00783A60"/>
    <w:rsid w:val="00784181"/>
    <w:rsid w:val="00784895"/>
    <w:rsid w:val="00784A52"/>
    <w:rsid w:val="0078545D"/>
    <w:rsid w:val="0078662B"/>
    <w:rsid w:val="007870EE"/>
    <w:rsid w:val="00787B9E"/>
    <w:rsid w:val="00790216"/>
    <w:rsid w:val="00790437"/>
    <w:rsid w:val="0079068B"/>
    <w:rsid w:val="00790771"/>
    <w:rsid w:val="00790EB0"/>
    <w:rsid w:val="00791218"/>
    <w:rsid w:val="007915E6"/>
    <w:rsid w:val="007918C5"/>
    <w:rsid w:val="007919EF"/>
    <w:rsid w:val="00791AFA"/>
    <w:rsid w:val="00791D11"/>
    <w:rsid w:val="00791D58"/>
    <w:rsid w:val="00792595"/>
    <w:rsid w:val="0079300C"/>
    <w:rsid w:val="007930F2"/>
    <w:rsid w:val="00793791"/>
    <w:rsid w:val="00793A9C"/>
    <w:rsid w:val="00794288"/>
    <w:rsid w:val="00794E79"/>
    <w:rsid w:val="007966B9"/>
    <w:rsid w:val="00796A13"/>
    <w:rsid w:val="00796EB8"/>
    <w:rsid w:val="00797528"/>
    <w:rsid w:val="00797601"/>
    <w:rsid w:val="00797E32"/>
    <w:rsid w:val="007A027B"/>
    <w:rsid w:val="007A061F"/>
    <w:rsid w:val="007A0624"/>
    <w:rsid w:val="007A135C"/>
    <w:rsid w:val="007A145C"/>
    <w:rsid w:val="007A18D1"/>
    <w:rsid w:val="007A3D1B"/>
    <w:rsid w:val="007A4D38"/>
    <w:rsid w:val="007A5D1D"/>
    <w:rsid w:val="007A5D38"/>
    <w:rsid w:val="007A5E60"/>
    <w:rsid w:val="007A5FFD"/>
    <w:rsid w:val="007A723A"/>
    <w:rsid w:val="007A7298"/>
    <w:rsid w:val="007B015E"/>
    <w:rsid w:val="007B06AC"/>
    <w:rsid w:val="007B18F6"/>
    <w:rsid w:val="007B1A83"/>
    <w:rsid w:val="007B215E"/>
    <w:rsid w:val="007B2319"/>
    <w:rsid w:val="007B27BB"/>
    <w:rsid w:val="007B35E7"/>
    <w:rsid w:val="007B3B24"/>
    <w:rsid w:val="007B4215"/>
    <w:rsid w:val="007B421C"/>
    <w:rsid w:val="007B45FC"/>
    <w:rsid w:val="007B5D12"/>
    <w:rsid w:val="007B6B6E"/>
    <w:rsid w:val="007B6DC9"/>
    <w:rsid w:val="007B7794"/>
    <w:rsid w:val="007C0D98"/>
    <w:rsid w:val="007C1C36"/>
    <w:rsid w:val="007C2448"/>
    <w:rsid w:val="007C25ED"/>
    <w:rsid w:val="007C285E"/>
    <w:rsid w:val="007C29F1"/>
    <w:rsid w:val="007C2DE5"/>
    <w:rsid w:val="007C3818"/>
    <w:rsid w:val="007C3BE8"/>
    <w:rsid w:val="007C3D02"/>
    <w:rsid w:val="007C52BB"/>
    <w:rsid w:val="007C5A99"/>
    <w:rsid w:val="007C5BB5"/>
    <w:rsid w:val="007C6353"/>
    <w:rsid w:val="007C681A"/>
    <w:rsid w:val="007C7393"/>
    <w:rsid w:val="007C75CE"/>
    <w:rsid w:val="007C76CC"/>
    <w:rsid w:val="007C7885"/>
    <w:rsid w:val="007C7BD8"/>
    <w:rsid w:val="007D06F9"/>
    <w:rsid w:val="007D0B61"/>
    <w:rsid w:val="007D113E"/>
    <w:rsid w:val="007D157B"/>
    <w:rsid w:val="007D1737"/>
    <w:rsid w:val="007D1ED4"/>
    <w:rsid w:val="007D1F43"/>
    <w:rsid w:val="007D2089"/>
    <w:rsid w:val="007D267E"/>
    <w:rsid w:val="007D26D5"/>
    <w:rsid w:val="007D2C91"/>
    <w:rsid w:val="007D2E44"/>
    <w:rsid w:val="007D382B"/>
    <w:rsid w:val="007D392E"/>
    <w:rsid w:val="007D431E"/>
    <w:rsid w:val="007D4947"/>
    <w:rsid w:val="007D4E88"/>
    <w:rsid w:val="007D52B1"/>
    <w:rsid w:val="007D53FE"/>
    <w:rsid w:val="007D5524"/>
    <w:rsid w:val="007D58AD"/>
    <w:rsid w:val="007D5EB1"/>
    <w:rsid w:val="007D6D91"/>
    <w:rsid w:val="007D6F3D"/>
    <w:rsid w:val="007D75E9"/>
    <w:rsid w:val="007E0080"/>
    <w:rsid w:val="007E0C3A"/>
    <w:rsid w:val="007E1427"/>
    <w:rsid w:val="007E17F7"/>
    <w:rsid w:val="007E18B4"/>
    <w:rsid w:val="007E1BE0"/>
    <w:rsid w:val="007E1D71"/>
    <w:rsid w:val="007E225E"/>
    <w:rsid w:val="007E256A"/>
    <w:rsid w:val="007E2FA0"/>
    <w:rsid w:val="007E33F5"/>
    <w:rsid w:val="007E4CB5"/>
    <w:rsid w:val="007E4F84"/>
    <w:rsid w:val="007E560C"/>
    <w:rsid w:val="007E609D"/>
    <w:rsid w:val="007E6231"/>
    <w:rsid w:val="007E7E6D"/>
    <w:rsid w:val="007F00AD"/>
    <w:rsid w:val="007F1362"/>
    <w:rsid w:val="007F16FF"/>
    <w:rsid w:val="007F2B9D"/>
    <w:rsid w:val="007F335F"/>
    <w:rsid w:val="007F3B13"/>
    <w:rsid w:val="007F3FE2"/>
    <w:rsid w:val="007F4523"/>
    <w:rsid w:val="007F4BF1"/>
    <w:rsid w:val="007F505F"/>
    <w:rsid w:val="007F55A1"/>
    <w:rsid w:val="007F5AEB"/>
    <w:rsid w:val="007F6347"/>
    <w:rsid w:val="007F69F7"/>
    <w:rsid w:val="007F74F0"/>
    <w:rsid w:val="007F756D"/>
    <w:rsid w:val="007F7A00"/>
    <w:rsid w:val="00800E55"/>
    <w:rsid w:val="0080183F"/>
    <w:rsid w:val="00801BCE"/>
    <w:rsid w:val="00801C6B"/>
    <w:rsid w:val="00801C6D"/>
    <w:rsid w:val="00801DB8"/>
    <w:rsid w:val="008024F3"/>
    <w:rsid w:val="008028F8"/>
    <w:rsid w:val="008036E7"/>
    <w:rsid w:val="008039E7"/>
    <w:rsid w:val="00804C38"/>
    <w:rsid w:val="00805135"/>
    <w:rsid w:val="00805C4A"/>
    <w:rsid w:val="008060B0"/>
    <w:rsid w:val="00806BDB"/>
    <w:rsid w:val="0080711A"/>
    <w:rsid w:val="00807A71"/>
    <w:rsid w:val="0081012E"/>
    <w:rsid w:val="00810B59"/>
    <w:rsid w:val="00810B5C"/>
    <w:rsid w:val="00812261"/>
    <w:rsid w:val="00812381"/>
    <w:rsid w:val="00812DAA"/>
    <w:rsid w:val="00813FC0"/>
    <w:rsid w:val="00814F24"/>
    <w:rsid w:val="00815380"/>
    <w:rsid w:val="008153E6"/>
    <w:rsid w:val="00815CFF"/>
    <w:rsid w:val="00815D10"/>
    <w:rsid w:val="0081611B"/>
    <w:rsid w:val="00817A20"/>
    <w:rsid w:val="0082027D"/>
    <w:rsid w:val="0082161C"/>
    <w:rsid w:val="008216C9"/>
    <w:rsid w:val="00822E91"/>
    <w:rsid w:val="0082305A"/>
    <w:rsid w:val="0082443A"/>
    <w:rsid w:val="00824601"/>
    <w:rsid w:val="00824C89"/>
    <w:rsid w:val="008252BE"/>
    <w:rsid w:val="008253E5"/>
    <w:rsid w:val="008256A7"/>
    <w:rsid w:val="00825A37"/>
    <w:rsid w:val="008263AE"/>
    <w:rsid w:val="0082660C"/>
    <w:rsid w:val="008271C9"/>
    <w:rsid w:val="00831BA5"/>
    <w:rsid w:val="00831D37"/>
    <w:rsid w:val="00831F62"/>
    <w:rsid w:val="008323B6"/>
    <w:rsid w:val="0083279E"/>
    <w:rsid w:val="008327C8"/>
    <w:rsid w:val="00832CC0"/>
    <w:rsid w:val="00833003"/>
    <w:rsid w:val="0083336C"/>
    <w:rsid w:val="0083342C"/>
    <w:rsid w:val="00833935"/>
    <w:rsid w:val="00833BF1"/>
    <w:rsid w:val="00834191"/>
    <w:rsid w:val="00834E24"/>
    <w:rsid w:val="0083584C"/>
    <w:rsid w:val="00835979"/>
    <w:rsid w:val="00835DE7"/>
    <w:rsid w:val="00835DF2"/>
    <w:rsid w:val="00836204"/>
    <w:rsid w:val="00836C09"/>
    <w:rsid w:val="00837524"/>
    <w:rsid w:val="008376A4"/>
    <w:rsid w:val="008377FD"/>
    <w:rsid w:val="00837970"/>
    <w:rsid w:val="00837B61"/>
    <w:rsid w:val="008402FC"/>
    <w:rsid w:val="00840E17"/>
    <w:rsid w:val="00840E94"/>
    <w:rsid w:val="008413FD"/>
    <w:rsid w:val="008418FB"/>
    <w:rsid w:val="00841921"/>
    <w:rsid w:val="00841E86"/>
    <w:rsid w:val="0084311C"/>
    <w:rsid w:val="0084365A"/>
    <w:rsid w:val="00843A4D"/>
    <w:rsid w:val="00843BF6"/>
    <w:rsid w:val="00843D02"/>
    <w:rsid w:val="00843E3E"/>
    <w:rsid w:val="008448C9"/>
    <w:rsid w:val="00844CE8"/>
    <w:rsid w:val="00844D88"/>
    <w:rsid w:val="00845929"/>
    <w:rsid w:val="00846138"/>
    <w:rsid w:val="008466C2"/>
    <w:rsid w:val="008472DF"/>
    <w:rsid w:val="00850059"/>
    <w:rsid w:val="0085035E"/>
    <w:rsid w:val="0085246D"/>
    <w:rsid w:val="00853078"/>
    <w:rsid w:val="008532F3"/>
    <w:rsid w:val="00853E9B"/>
    <w:rsid w:val="00854596"/>
    <w:rsid w:val="008548DE"/>
    <w:rsid w:val="00854ABE"/>
    <w:rsid w:val="00854B3E"/>
    <w:rsid w:val="00856A9C"/>
    <w:rsid w:val="00856CB7"/>
    <w:rsid w:val="00856CC3"/>
    <w:rsid w:val="00857DCE"/>
    <w:rsid w:val="00860D94"/>
    <w:rsid w:val="0086147B"/>
    <w:rsid w:val="008614B0"/>
    <w:rsid w:val="00861A6C"/>
    <w:rsid w:val="00861CFC"/>
    <w:rsid w:val="00862075"/>
    <w:rsid w:val="008628E3"/>
    <w:rsid w:val="008628F2"/>
    <w:rsid w:val="00862F47"/>
    <w:rsid w:val="00863597"/>
    <w:rsid w:val="00863BC9"/>
    <w:rsid w:val="00863C9C"/>
    <w:rsid w:val="0086403D"/>
    <w:rsid w:val="008640DF"/>
    <w:rsid w:val="0086412D"/>
    <w:rsid w:val="00864309"/>
    <w:rsid w:val="00864457"/>
    <w:rsid w:val="00864467"/>
    <w:rsid w:val="0086487F"/>
    <w:rsid w:val="00864B61"/>
    <w:rsid w:val="00865269"/>
    <w:rsid w:val="008655A3"/>
    <w:rsid w:val="00865636"/>
    <w:rsid w:val="00865779"/>
    <w:rsid w:val="00865DA7"/>
    <w:rsid w:val="00865E68"/>
    <w:rsid w:val="008670D6"/>
    <w:rsid w:val="00867D3A"/>
    <w:rsid w:val="008706BB"/>
    <w:rsid w:val="00870829"/>
    <w:rsid w:val="00870D3C"/>
    <w:rsid w:val="0087129D"/>
    <w:rsid w:val="00871464"/>
    <w:rsid w:val="008719E4"/>
    <w:rsid w:val="00871BEB"/>
    <w:rsid w:val="00871D05"/>
    <w:rsid w:val="00872D0B"/>
    <w:rsid w:val="008738DB"/>
    <w:rsid w:val="00873956"/>
    <w:rsid w:val="00873BC4"/>
    <w:rsid w:val="0087466C"/>
    <w:rsid w:val="00874685"/>
    <w:rsid w:val="00874ACD"/>
    <w:rsid w:val="00874C9C"/>
    <w:rsid w:val="00874D80"/>
    <w:rsid w:val="008752AB"/>
    <w:rsid w:val="00875F11"/>
    <w:rsid w:val="00876FAC"/>
    <w:rsid w:val="00877B7C"/>
    <w:rsid w:val="00877B9D"/>
    <w:rsid w:val="00877F93"/>
    <w:rsid w:val="008806A5"/>
    <w:rsid w:val="0088158F"/>
    <w:rsid w:val="00881679"/>
    <w:rsid w:val="00881702"/>
    <w:rsid w:val="008817C9"/>
    <w:rsid w:val="00881D28"/>
    <w:rsid w:val="008820E6"/>
    <w:rsid w:val="00882C68"/>
    <w:rsid w:val="00883B63"/>
    <w:rsid w:val="00883C9D"/>
    <w:rsid w:val="00884682"/>
    <w:rsid w:val="00884CDC"/>
    <w:rsid w:val="00884D9B"/>
    <w:rsid w:val="00884F48"/>
    <w:rsid w:val="00885E55"/>
    <w:rsid w:val="00886AA4"/>
    <w:rsid w:val="008872DA"/>
    <w:rsid w:val="00887B4A"/>
    <w:rsid w:val="00890735"/>
    <w:rsid w:val="00891E60"/>
    <w:rsid w:val="00892481"/>
    <w:rsid w:val="00892E1D"/>
    <w:rsid w:val="00892EE9"/>
    <w:rsid w:val="00893002"/>
    <w:rsid w:val="00893419"/>
    <w:rsid w:val="00894319"/>
    <w:rsid w:val="00894444"/>
    <w:rsid w:val="008944A6"/>
    <w:rsid w:val="0089452C"/>
    <w:rsid w:val="00894709"/>
    <w:rsid w:val="00894BE6"/>
    <w:rsid w:val="00894D66"/>
    <w:rsid w:val="008950FF"/>
    <w:rsid w:val="00895203"/>
    <w:rsid w:val="008953CE"/>
    <w:rsid w:val="0089541A"/>
    <w:rsid w:val="00895454"/>
    <w:rsid w:val="008956DC"/>
    <w:rsid w:val="0089579A"/>
    <w:rsid w:val="00895B9A"/>
    <w:rsid w:val="00896449"/>
    <w:rsid w:val="00896F38"/>
    <w:rsid w:val="00897326"/>
    <w:rsid w:val="008978AD"/>
    <w:rsid w:val="008979E8"/>
    <w:rsid w:val="00897D75"/>
    <w:rsid w:val="008A0E20"/>
    <w:rsid w:val="008A178B"/>
    <w:rsid w:val="008A1A92"/>
    <w:rsid w:val="008A243D"/>
    <w:rsid w:val="008A3410"/>
    <w:rsid w:val="008A3498"/>
    <w:rsid w:val="008A532E"/>
    <w:rsid w:val="008A6024"/>
    <w:rsid w:val="008A61CD"/>
    <w:rsid w:val="008A624E"/>
    <w:rsid w:val="008A658F"/>
    <w:rsid w:val="008A7FE2"/>
    <w:rsid w:val="008B000D"/>
    <w:rsid w:val="008B0650"/>
    <w:rsid w:val="008B0AB9"/>
    <w:rsid w:val="008B1519"/>
    <w:rsid w:val="008B193B"/>
    <w:rsid w:val="008B19BC"/>
    <w:rsid w:val="008B2220"/>
    <w:rsid w:val="008B2A05"/>
    <w:rsid w:val="008B3274"/>
    <w:rsid w:val="008B32E0"/>
    <w:rsid w:val="008B3568"/>
    <w:rsid w:val="008B434A"/>
    <w:rsid w:val="008B489E"/>
    <w:rsid w:val="008B4F3E"/>
    <w:rsid w:val="008B56AB"/>
    <w:rsid w:val="008B5AB3"/>
    <w:rsid w:val="008B5F62"/>
    <w:rsid w:val="008B6D06"/>
    <w:rsid w:val="008B6D9A"/>
    <w:rsid w:val="008B7B95"/>
    <w:rsid w:val="008C00E9"/>
    <w:rsid w:val="008C04CC"/>
    <w:rsid w:val="008C11F4"/>
    <w:rsid w:val="008C1809"/>
    <w:rsid w:val="008C2EE5"/>
    <w:rsid w:val="008C2FE3"/>
    <w:rsid w:val="008C407B"/>
    <w:rsid w:val="008C44D5"/>
    <w:rsid w:val="008C4BB1"/>
    <w:rsid w:val="008C4E33"/>
    <w:rsid w:val="008C5266"/>
    <w:rsid w:val="008C5EC8"/>
    <w:rsid w:val="008C7C40"/>
    <w:rsid w:val="008D0FCD"/>
    <w:rsid w:val="008D1C20"/>
    <w:rsid w:val="008D26A3"/>
    <w:rsid w:val="008D2927"/>
    <w:rsid w:val="008D2ED3"/>
    <w:rsid w:val="008D3491"/>
    <w:rsid w:val="008D3AE8"/>
    <w:rsid w:val="008D3D3E"/>
    <w:rsid w:val="008D4142"/>
    <w:rsid w:val="008D4302"/>
    <w:rsid w:val="008D46B5"/>
    <w:rsid w:val="008D5301"/>
    <w:rsid w:val="008D6124"/>
    <w:rsid w:val="008D6299"/>
    <w:rsid w:val="008D62C8"/>
    <w:rsid w:val="008D6BA1"/>
    <w:rsid w:val="008D7FF4"/>
    <w:rsid w:val="008E10EA"/>
    <w:rsid w:val="008E11C4"/>
    <w:rsid w:val="008E2A06"/>
    <w:rsid w:val="008E314D"/>
    <w:rsid w:val="008E35BC"/>
    <w:rsid w:val="008E37E9"/>
    <w:rsid w:val="008E3E1A"/>
    <w:rsid w:val="008E40ED"/>
    <w:rsid w:val="008E448E"/>
    <w:rsid w:val="008E4735"/>
    <w:rsid w:val="008E47C1"/>
    <w:rsid w:val="008E4DE1"/>
    <w:rsid w:val="008E5E53"/>
    <w:rsid w:val="008E6F01"/>
    <w:rsid w:val="008E7105"/>
    <w:rsid w:val="008F023E"/>
    <w:rsid w:val="008F04D1"/>
    <w:rsid w:val="008F0824"/>
    <w:rsid w:val="008F0ECA"/>
    <w:rsid w:val="008F14A9"/>
    <w:rsid w:val="008F19A8"/>
    <w:rsid w:val="008F1EE5"/>
    <w:rsid w:val="008F26C2"/>
    <w:rsid w:val="008F2950"/>
    <w:rsid w:val="008F39E2"/>
    <w:rsid w:val="008F3B47"/>
    <w:rsid w:val="008F3C99"/>
    <w:rsid w:val="008F3EC1"/>
    <w:rsid w:val="008F4956"/>
    <w:rsid w:val="008F5556"/>
    <w:rsid w:val="008F561E"/>
    <w:rsid w:val="008F5D12"/>
    <w:rsid w:val="008F5ED0"/>
    <w:rsid w:val="008F60BD"/>
    <w:rsid w:val="008F6809"/>
    <w:rsid w:val="008F6FC1"/>
    <w:rsid w:val="008F71C8"/>
    <w:rsid w:val="008F755B"/>
    <w:rsid w:val="008F7F54"/>
    <w:rsid w:val="009000E2"/>
    <w:rsid w:val="00900B57"/>
    <w:rsid w:val="00900CAD"/>
    <w:rsid w:val="009014F8"/>
    <w:rsid w:val="00901A4B"/>
    <w:rsid w:val="00901C71"/>
    <w:rsid w:val="00901CCB"/>
    <w:rsid w:val="00901E0A"/>
    <w:rsid w:val="00902EB6"/>
    <w:rsid w:val="00903228"/>
    <w:rsid w:val="00903B0C"/>
    <w:rsid w:val="00903BA1"/>
    <w:rsid w:val="009042C8"/>
    <w:rsid w:val="009052EC"/>
    <w:rsid w:val="00905E78"/>
    <w:rsid w:val="0090658B"/>
    <w:rsid w:val="00906672"/>
    <w:rsid w:val="00906D95"/>
    <w:rsid w:val="00907036"/>
    <w:rsid w:val="00907971"/>
    <w:rsid w:val="009079E6"/>
    <w:rsid w:val="009104A2"/>
    <w:rsid w:val="009105C4"/>
    <w:rsid w:val="00910D3A"/>
    <w:rsid w:val="00910F38"/>
    <w:rsid w:val="009113AB"/>
    <w:rsid w:val="00911E7D"/>
    <w:rsid w:val="009129BA"/>
    <w:rsid w:val="00913554"/>
    <w:rsid w:val="009140C8"/>
    <w:rsid w:val="0091416C"/>
    <w:rsid w:val="0091511A"/>
    <w:rsid w:val="00915126"/>
    <w:rsid w:val="009157CA"/>
    <w:rsid w:val="00916181"/>
    <w:rsid w:val="00917988"/>
    <w:rsid w:val="0092021C"/>
    <w:rsid w:val="00921D82"/>
    <w:rsid w:val="00921ECA"/>
    <w:rsid w:val="009222C2"/>
    <w:rsid w:val="009223D3"/>
    <w:rsid w:val="00923579"/>
    <w:rsid w:val="0092358B"/>
    <w:rsid w:val="00923AF1"/>
    <w:rsid w:val="00924021"/>
    <w:rsid w:val="0092420A"/>
    <w:rsid w:val="009243BC"/>
    <w:rsid w:val="00924752"/>
    <w:rsid w:val="00924CA7"/>
    <w:rsid w:val="009250AB"/>
    <w:rsid w:val="009252CF"/>
    <w:rsid w:val="00926318"/>
    <w:rsid w:val="00926370"/>
    <w:rsid w:val="009269EB"/>
    <w:rsid w:val="00926D85"/>
    <w:rsid w:val="00927E45"/>
    <w:rsid w:val="00930E29"/>
    <w:rsid w:val="00931BA7"/>
    <w:rsid w:val="0093248F"/>
    <w:rsid w:val="009326D0"/>
    <w:rsid w:val="00932B63"/>
    <w:rsid w:val="00933584"/>
    <w:rsid w:val="0093389C"/>
    <w:rsid w:val="0093405C"/>
    <w:rsid w:val="00934807"/>
    <w:rsid w:val="00934D8D"/>
    <w:rsid w:val="00935592"/>
    <w:rsid w:val="00935752"/>
    <w:rsid w:val="00935AA1"/>
    <w:rsid w:val="009364E7"/>
    <w:rsid w:val="00936560"/>
    <w:rsid w:val="009368A8"/>
    <w:rsid w:val="009368D7"/>
    <w:rsid w:val="009368DC"/>
    <w:rsid w:val="0093708A"/>
    <w:rsid w:val="009404ED"/>
    <w:rsid w:val="00940ADA"/>
    <w:rsid w:val="00943176"/>
    <w:rsid w:val="00943594"/>
    <w:rsid w:val="009438FF"/>
    <w:rsid w:val="00943B97"/>
    <w:rsid w:val="00944430"/>
    <w:rsid w:val="00944FCD"/>
    <w:rsid w:val="0094585E"/>
    <w:rsid w:val="009462FD"/>
    <w:rsid w:val="00946357"/>
    <w:rsid w:val="00946628"/>
    <w:rsid w:val="00946852"/>
    <w:rsid w:val="00946C51"/>
    <w:rsid w:val="00946CCA"/>
    <w:rsid w:val="00946E4D"/>
    <w:rsid w:val="0094739C"/>
    <w:rsid w:val="00950263"/>
    <w:rsid w:val="00950624"/>
    <w:rsid w:val="00951213"/>
    <w:rsid w:val="00951324"/>
    <w:rsid w:val="00951F26"/>
    <w:rsid w:val="009520C7"/>
    <w:rsid w:val="009520ED"/>
    <w:rsid w:val="009523EC"/>
    <w:rsid w:val="00953819"/>
    <w:rsid w:val="009538D1"/>
    <w:rsid w:val="00953A22"/>
    <w:rsid w:val="00953B41"/>
    <w:rsid w:val="00953BB8"/>
    <w:rsid w:val="00953CAC"/>
    <w:rsid w:val="00953E1D"/>
    <w:rsid w:val="0095447E"/>
    <w:rsid w:val="009544B3"/>
    <w:rsid w:val="00954B1C"/>
    <w:rsid w:val="00954FD8"/>
    <w:rsid w:val="0095518E"/>
    <w:rsid w:val="009557C0"/>
    <w:rsid w:val="00956665"/>
    <w:rsid w:val="00956BC1"/>
    <w:rsid w:val="00956F13"/>
    <w:rsid w:val="009600CA"/>
    <w:rsid w:val="009606E4"/>
    <w:rsid w:val="00960962"/>
    <w:rsid w:val="009609E1"/>
    <w:rsid w:val="009619B7"/>
    <w:rsid w:val="00961A79"/>
    <w:rsid w:val="00961E26"/>
    <w:rsid w:val="0096214F"/>
    <w:rsid w:val="0096275F"/>
    <w:rsid w:val="00962863"/>
    <w:rsid w:val="00962945"/>
    <w:rsid w:val="00962A89"/>
    <w:rsid w:val="00962B33"/>
    <w:rsid w:val="00964053"/>
    <w:rsid w:val="00964114"/>
    <w:rsid w:val="00964646"/>
    <w:rsid w:val="009648AF"/>
    <w:rsid w:val="009656A2"/>
    <w:rsid w:val="00965811"/>
    <w:rsid w:val="009667DE"/>
    <w:rsid w:val="0096783B"/>
    <w:rsid w:val="00967886"/>
    <w:rsid w:val="0097012D"/>
    <w:rsid w:val="009701EA"/>
    <w:rsid w:val="009703B9"/>
    <w:rsid w:val="00970C07"/>
    <w:rsid w:val="009724F2"/>
    <w:rsid w:val="00973421"/>
    <w:rsid w:val="0097374D"/>
    <w:rsid w:val="00974362"/>
    <w:rsid w:val="009744CF"/>
    <w:rsid w:val="009748B2"/>
    <w:rsid w:val="0097493E"/>
    <w:rsid w:val="00974DC2"/>
    <w:rsid w:val="00976702"/>
    <w:rsid w:val="00976813"/>
    <w:rsid w:val="009768F1"/>
    <w:rsid w:val="00976ADB"/>
    <w:rsid w:val="00976B22"/>
    <w:rsid w:val="00977777"/>
    <w:rsid w:val="00977EFD"/>
    <w:rsid w:val="009804C1"/>
    <w:rsid w:val="0098135B"/>
    <w:rsid w:val="00982015"/>
    <w:rsid w:val="009829AD"/>
    <w:rsid w:val="00982FB2"/>
    <w:rsid w:val="009833D1"/>
    <w:rsid w:val="00983493"/>
    <w:rsid w:val="00983561"/>
    <w:rsid w:val="0098372D"/>
    <w:rsid w:val="00983B2E"/>
    <w:rsid w:val="00983F3D"/>
    <w:rsid w:val="00983F7F"/>
    <w:rsid w:val="00984567"/>
    <w:rsid w:val="009846BC"/>
    <w:rsid w:val="0098487C"/>
    <w:rsid w:val="00984DDD"/>
    <w:rsid w:val="00984F20"/>
    <w:rsid w:val="00985214"/>
    <w:rsid w:val="00985E04"/>
    <w:rsid w:val="00985EAD"/>
    <w:rsid w:val="00986157"/>
    <w:rsid w:val="00987638"/>
    <w:rsid w:val="0098778D"/>
    <w:rsid w:val="00987A36"/>
    <w:rsid w:val="00987C75"/>
    <w:rsid w:val="00987EFD"/>
    <w:rsid w:val="009905E3"/>
    <w:rsid w:val="00990A4F"/>
    <w:rsid w:val="00991194"/>
    <w:rsid w:val="00992314"/>
    <w:rsid w:val="009923AA"/>
    <w:rsid w:val="00992EDE"/>
    <w:rsid w:val="00993C15"/>
    <w:rsid w:val="00994DD8"/>
    <w:rsid w:val="0099501F"/>
    <w:rsid w:val="009954AD"/>
    <w:rsid w:val="00995620"/>
    <w:rsid w:val="00997646"/>
    <w:rsid w:val="00997670"/>
    <w:rsid w:val="00997C1A"/>
    <w:rsid w:val="00997C3D"/>
    <w:rsid w:val="00997F73"/>
    <w:rsid w:val="009A049D"/>
    <w:rsid w:val="009A050D"/>
    <w:rsid w:val="009A05E2"/>
    <w:rsid w:val="009A0C22"/>
    <w:rsid w:val="009A2025"/>
    <w:rsid w:val="009A2D58"/>
    <w:rsid w:val="009A2FCC"/>
    <w:rsid w:val="009A32D9"/>
    <w:rsid w:val="009A3A20"/>
    <w:rsid w:val="009A3D5C"/>
    <w:rsid w:val="009A3E1D"/>
    <w:rsid w:val="009A43A1"/>
    <w:rsid w:val="009A4A96"/>
    <w:rsid w:val="009A4AC3"/>
    <w:rsid w:val="009A4CE8"/>
    <w:rsid w:val="009A4E42"/>
    <w:rsid w:val="009A5052"/>
    <w:rsid w:val="009A5254"/>
    <w:rsid w:val="009A5BCC"/>
    <w:rsid w:val="009A678B"/>
    <w:rsid w:val="009A684F"/>
    <w:rsid w:val="009A6F75"/>
    <w:rsid w:val="009A7469"/>
    <w:rsid w:val="009A7640"/>
    <w:rsid w:val="009B054A"/>
    <w:rsid w:val="009B064E"/>
    <w:rsid w:val="009B2763"/>
    <w:rsid w:val="009B2876"/>
    <w:rsid w:val="009B290A"/>
    <w:rsid w:val="009B2AE3"/>
    <w:rsid w:val="009B3529"/>
    <w:rsid w:val="009B3970"/>
    <w:rsid w:val="009B43A5"/>
    <w:rsid w:val="009B4A49"/>
    <w:rsid w:val="009B4A5C"/>
    <w:rsid w:val="009B4FCC"/>
    <w:rsid w:val="009B5B61"/>
    <w:rsid w:val="009B619E"/>
    <w:rsid w:val="009B75D3"/>
    <w:rsid w:val="009B7F4A"/>
    <w:rsid w:val="009C0CF8"/>
    <w:rsid w:val="009C0DD2"/>
    <w:rsid w:val="009C112C"/>
    <w:rsid w:val="009C148F"/>
    <w:rsid w:val="009C1F05"/>
    <w:rsid w:val="009C2283"/>
    <w:rsid w:val="009C22D8"/>
    <w:rsid w:val="009C297B"/>
    <w:rsid w:val="009C2A5A"/>
    <w:rsid w:val="009C3075"/>
    <w:rsid w:val="009C3A61"/>
    <w:rsid w:val="009C3B09"/>
    <w:rsid w:val="009C3D08"/>
    <w:rsid w:val="009C48F0"/>
    <w:rsid w:val="009C4FA4"/>
    <w:rsid w:val="009C5220"/>
    <w:rsid w:val="009C53FC"/>
    <w:rsid w:val="009C54CF"/>
    <w:rsid w:val="009C6CD4"/>
    <w:rsid w:val="009C6E03"/>
    <w:rsid w:val="009C7A58"/>
    <w:rsid w:val="009D050F"/>
    <w:rsid w:val="009D0561"/>
    <w:rsid w:val="009D30BB"/>
    <w:rsid w:val="009D323B"/>
    <w:rsid w:val="009D355D"/>
    <w:rsid w:val="009D4E9E"/>
    <w:rsid w:val="009D52B8"/>
    <w:rsid w:val="009D59EE"/>
    <w:rsid w:val="009D5D13"/>
    <w:rsid w:val="009D629C"/>
    <w:rsid w:val="009D73A0"/>
    <w:rsid w:val="009D7F6F"/>
    <w:rsid w:val="009E0386"/>
    <w:rsid w:val="009E0D24"/>
    <w:rsid w:val="009E11F6"/>
    <w:rsid w:val="009E1C78"/>
    <w:rsid w:val="009E2494"/>
    <w:rsid w:val="009E3395"/>
    <w:rsid w:val="009E33A1"/>
    <w:rsid w:val="009E3F03"/>
    <w:rsid w:val="009E544C"/>
    <w:rsid w:val="009E55FF"/>
    <w:rsid w:val="009E5D8A"/>
    <w:rsid w:val="009E65D9"/>
    <w:rsid w:val="009E6A44"/>
    <w:rsid w:val="009E6F0B"/>
    <w:rsid w:val="009E75FF"/>
    <w:rsid w:val="009E7A5E"/>
    <w:rsid w:val="009F049A"/>
    <w:rsid w:val="009F09A5"/>
    <w:rsid w:val="009F09A6"/>
    <w:rsid w:val="009F0C90"/>
    <w:rsid w:val="009F102D"/>
    <w:rsid w:val="009F197D"/>
    <w:rsid w:val="009F1AE6"/>
    <w:rsid w:val="009F1B99"/>
    <w:rsid w:val="009F1C8F"/>
    <w:rsid w:val="009F2D65"/>
    <w:rsid w:val="009F35B4"/>
    <w:rsid w:val="009F37C8"/>
    <w:rsid w:val="009F3CA1"/>
    <w:rsid w:val="009F460B"/>
    <w:rsid w:val="009F58AE"/>
    <w:rsid w:val="009F6A8F"/>
    <w:rsid w:val="009F6D08"/>
    <w:rsid w:val="009F7513"/>
    <w:rsid w:val="009F778D"/>
    <w:rsid w:val="009F7C3C"/>
    <w:rsid w:val="00A001F2"/>
    <w:rsid w:val="00A004C1"/>
    <w:rsid w:val="00A01967"/>
    <w:rsid w:val="00A0247E"/>
    <w:rsid w:val="00A0353C"/>
    <w:rsid w:val="00A036D3"/>
    <w:rsid w:val="00A03797"/>
    <w:rsid w:val="00A03811"/>
    <w:rsid w:val="00A039FE"/>
    <w:rsid w:val="00A03A4F"/>
    <w:rsid w:val="00A03C5D"/>
    <w:rsid w:val="00A0424D"/>
    <w:rsid w:val="00A04A5E"/>
    <w:rsid w:val="00A04D9A"/>
    <w:rsid w:val="00A05829"/>
    <w:rsid w:val="00A0631C"/>
    <w:rsid w:val="00A06E27"/>
    <w:rsid w:val="00A0735E"/>
    <w:rsid w:val="00A073E1"/>
    <w:rsid w:val="00A100C3"/>
    <w:rsid w:val="00A105F7"/>
    <w:rsid w:val="00A1060A"/>
    <w:rsid w:val="00A10A07"/>
    <w:rsid w:val="00A116AD"/>
    <w:rsid w:val="00A1216D"/>
    <w:rsid w:val="00A13057"/>
    <w:rsid w:val="00A13284"/>
    <w:rsid w:val="00A13D56"/>
    <w:rsid w:val="00A1400B"/>
    <w:rsid w:val="00A143DC"/>
    <w:rsid w:val="00A14A8A"/>
    <w:rsid w:val="00A14E4E"/>
    <w:rsid w:val="00A153ED"/>
    <w:rsid w:val="00A15B3C"/>
    <w:rsid w:val="00A15BAC"/>
    <w:rsid w:val="00A16F90"/>
    <w:rsid w:val="00A17A48"/>
    <w:rsid w:val="00A17A5A"/>
    <w:rsid w:val="00A201C4"/>
    <w:rsid w:val="00A20A98"/>
    <w:rsid w:val="00A21CD9"/>
    <w:rsid w:val="00A22006"/>
    <w:rsid w:val="00A22146"/>
    <w:rsid w:val="00A226E4"/>
    <w:rsid w:val="00A22B7F"/>
    <w:rsid w:val="00A2315D"/>
    <w:rsid w:val="00A23EBE"/>
    <w:rsid w:val="00A23FBA"/>
    <w:rsid w:val="00A24138"/>
    <w:rsid w:val="00A24664"/>
    <w:rsid w:val="00A2501B"/>
    <w:rsid w:val="00A25892"/>
    <w:rsid w:val="00A25F9B"/>
    <w:rsid w:val="00A2685F"/>
    <w:rsid w:val="00A26F05"/>
    <w:rsid w:val="00A27828"/>
    <w:rsid w:val="00A27D75"/>
    <w:rsid w:val="00A302EB"/>
    <w:rsid w:val="00A3036A"/>
    <w:rsid w:val="00A305E5"/>
    <w:rsid w:val="00A30ABC"/>
    <w:rsid w:val="00A30AD3"/>
    <w:rsid w:val="00A30AE8"/>
    <w:rsid w:val="00A30B1E"/>
    <w:rsid w:val="00A30C54"/>
    <w:rsid w:val="00A325AB"/>
    <w:rsid w:val="00A32A63"/>
    <w:rsid w:val="00A33CB1"/>
    <w:rsid w:val="00A34161"/>
    <w:rsid w:val="00A34325"/>
    <w:rsid w:val="00A3457E"/>
    <w:rsid w:val="00A34592"/>
    <w:rsid w:val="00A3538F"/>
    <w:rsid w:val="00A35B5C"/>
    <w:rsid w:val="00A36322"/>
    <w:rsid w:val="00A36590"/>
    <w:rsid w:val="00A36B5F"/>
    <w:rsid w:val="00A36DF0"/>
    <w:rsid w:val="00A374E8"/>
    <w:rsid w:val="00A37F6C"/>
    <w:rsid w:val="00A40178"/>
    <w:rsid w:val="00A4062A"/>
    <w:rsid w:val="00A40B86"/>
    <w:rsid w:val="00A40CDA"/>
    <w:rsid w:val="00A40DE3"/>
    <w:rsid w:val="00A412A3"/>
    <w:rsid w:val="00A415BB"/>
    <w:rsid w:val="00A41CB6"/>
    <w:rsid w:val="00A424D2"/>
    <w:rsid w:val="00A428DB"/>
    <w:rsid w:val="00A42CCF"/>
    <w:rsid w:val="00A43436"/>
    <w:rsid w:val="00A436FD"/>
    <w:rsid w:val="00A450AC"/>
    <w:rsid w:val="00A450E6"/>
    <w:rsid w:val="00A45819"/>
    <w:rsid w:val="00A45D75"/>
    <w:rsid w:val="00A46148"/>
    <w:rsid w:val="00A47648"/>
    <w:rsid w:val="00A47FF0"/>
    <w:rsid w:val="00A50A08"/>
    <w:rsid w:val="00A50A58"/>
    <w:rsid w:val="00A51198"/>
    <w:rsid w:val="00A51481"/>
    <w:rsid w:val="00A51D56"/>
    <w:rsid w:val="00A52F9F"/>
    <w:rsid w:val="00A53ECE"/>
    <w:rsid w:val="00A542ED"/>
    <w:rsid w:val="00A5485E"/>
    <w:rsid w:val="00A54932"/>
    <w:rsid w:val="00A555DC"/>
    <w:rsid w:val="00A55C2B"/>
    <w:rsid w:val="00A55CEB"/>
    <w:rsid w:val="00A55DE7"/>
    <w:rsid w:val="00A574F8"/>
    <w:rsid w:val="00A57681"/>
    <w:rsid w:val="00A606F9"/>
    <w:rsid w:val="00A608DF"/>
    <w:rsid w:val="00A609DB"/>
    <w:rsid w:val="00A60ACC"/>
    <w:rsid w:val="00A6146A"/>
    <w:rsid w:val="00A61A92"/>
    <w:rsid w:val="00A61CA5"/>
    <w:rsid w:val="00A624D7"/>
    <w:rsid w:val="00A62712"/>
    <w:rsid w:val="00A63F78"/>
    <w:rsid w:val="00A64425"/>
    <w:rsid w:val="00A6517D"/>
    <w:rsid w:val="00A65360"/>
    <w:rsid w:val="00A65A0E"/>
    <w:rsid w:val="00A65DBA"/>
    <w:rsid w:val="00A660CF"/>
    <w:rsid w:val="00A667B3"/>
    <w:rsid w:val="00A66846"/>
    <w:rsid w:val="00A671F5"/>
    <w:rsid w:val="00A6722B"/>
    <w:rsid w:val="00A700E5"/>
    <w:rsid w:val="00A7035D"/>
    <w:rsid w:val="00A70377"/>
    <w:rsid w:val="00A70C79"/>
    <w:rsid w:val="00A7238C"/>
    <w:rsid w:val="00A7275C"/>
    <w:rsid w:val="00A728AC"/>
    <w:rsid w:val="00A732E0"/>
    <w:rsid w:val="00A7332E"/>
    <w:rsid w:val="00A73623"/>
    <w:rsid w:val="00A740C3"/>
    <w:rsid w:val="00A7440C"/>
    <w:rsid w:val="00A74750"/>
    <w:rsid w:val="00A75112"/>
    <w:rsid w:val="00A752EF"/>
    <w:rsid w:val="00A753C8"/>
    <w:rsid w:val="00A7572F"/>
    <w:rsid w:val="00A7627A"/>
    <w:rsid w:val="00A7644E"/>
    <w:rsid w:val="00A7646C"/>
    <w:rsid w:val="00A76B7F"/>
    <w:rsid w:val="00A77733"/>
    <w:rsid w:val="00A802E0"/>
    <w:rsid w:val="00A8060C"/>
    <w:rsid w:val="00A807C9"/>
    <w:rsid w:val="00A81629"/>
    <w:rsid w:val="00A8202F"/>
    <w:rsid w:val="00A822D9"/>
    <w:rsid w:val="00A82A2C"/>
    <w:rsid w:val="00A82BC1"/>
    <w:rsid w:val="00A83450"/>
    <w:rsid w:val="00A8357C"/>
    <w:rsid w:val="00A83C2E"/>
    <w:rsid w:val="00A84C6A"/>
    <w:rsid w:val="00A856CF"/>
    <w:rsid w:val="00A85D90"/>
    <w:rsid w:val="00A86425"/>
    <w:rsid w:val="00A86BA7"/>
    <w:rsid w:val="00A87353"/>
    <w:rsid w:val="00A9045A"/>
    <w:rsid w:val="00A9069F"/>
    <w:rsid w:val="00A9087A"/>
    <w:rsid w:val="00A9211D"/>
    <w:rsid w:val="00A92B01"/>
    <w:rsid w:val="00A92CA2"/>
    <w:rsid w:val="00A92FC9"/>
    <w:rsid w:val="00A93D2C"/>
    <w:rsid w:val="00A944D0"/>
    <w:rsid w:val="00A947F6"/>
    <w:rsid w:val="00A94D34"/>
    <w:rsid w:val="00A94E77"/>
    <w:rsid w:val="00A94EB1"/>
    <w:rsid w:val="00A95356"/>
    <w:rsid w:val="00A954F4"/>
    <w:rsid w:val="00A95768"/>
    <w:rsid w:val="00A95C08"/>
    <w:rsid w:val="00A96770"/>
    <w:rsid w:val="00A97164"/>
    <w:rsid w:val="00AA035C"/>
    <w:rsid w:val="00AA0629"/>
    <w:rsid w:val="00AA08EE"/>
    <w:rsid w:val="00AA0ECE"/>
    <w:rsid w:val="00AA0EF5"/>
    <w:rsid w:val="00AA13F7"/>
    <w:rsid w:val="00AA1431"/>
    <w:rsid w:val="00AA165E"/>
    <w:rsid w:val="00AA1B01"/>
    <w:rsid w:val="00AA33F7"/>
    <w:rsid w:val="00AA3FCF"/>
    <w:rsid w:val="00AA61C4"/>
    <w:rsid w:val="00AA621E"/>
    <w:rsid w:val="00AA6457"/>
    <w:rsid w:val="00AA6486"/>
    <w:rsid w:val="00AA6791"/>
    <w:rsid w:val="00AA69E1"/>
    <w:rsid w:val="00AA6DE9"/>
    <w:rsid w:val="00AA75BB"/>
    <w:rsid w:val="00AB0034"/>
    <w:rsid w:val="00AB0BA3"/>
    <w:rsid w:val="00AB1190"/>
    <w:rsid w:val="00AB1911"/>
    <w:rsid w:val="00AB20B7"/>
    <w:rsid w:val="00AB24E3"/>
    <w:rsid w:val="00AB2666"/>
    <w:rsid w:val="00AB2681"/>
    <w:rsid w:val="00AB279F"/>
    <w:rsid w:val="00AB2AEF"/>
    <w:rsid w:val="00AB4702"/>
    <w:rsid w:val="00AB4853"/>
    <w:rsid w:val="00AB5A1D"/>
    <w:rsid w:val="00AB647A"/>
    <w:rsid w:val="00AB681D"/>
    <w:rsid w:val="00AB6E4B"/>
    <w:rsid w:val="00AB7099"/>
    <w:rsid w:val="00AB7B45"/>
    <w:rsid w:val="00AC03B6"/>
    <w:rsid w:val="00AC206C"/>
    <w:rsid w:val="00AC2A17"/>
    <w:rsid w:val="00AC3208"/>
    <w:rsid w:val="00AC35A8"/>
    <w:rsid w:val="00AC42DE"/>
    <w:rsid w:val="00AC4F29"/>
    <w:rsid w:val="00AC5584"/>
    <w:rsid w:val="00AC584D"/>
    <w:rsid w:val="00AC59C9"/>
    <w:rsid w:val="00AC6565"/>
    <w:rsid w:val="00AC66B1"/>
    <w:rsid w:val="00AC6A36"/>
    <w:rsid w:val="00AC6C20"/>
    <w:rsid w:val="00AC6E72"/>
    <w:rsid w:val="00AC706B"/>
    <w:rsid w:val="00AC7864"/>
    <w:rsid w:val="00AC7ADB"/>
    <w:rsid w:val="00AD0133"/>
    <w:rsid w:val="00AD08D5"/>
    <w:rsid w:val="00AD127F"/>
    <w:rsid w:val="00AD1780"/>
    <w:rsid w:val="00AD210D"/>
    <w:rsid w:val="00AD26BD"/>
    <w:rsid w:val="00AD2944"/>
    <w:rsid w:val="00AD3B2F"/>
    <w:rsid w:val="00AD3F46"/>
    <w:rsid w:val="00AD42C1"/>
    <w:rsid w:val="00AD43BE"/>
    <w:rsid w:val="00AD4F84"/>
    <w:rsid w:val="00AD54D4"/>
    <w:rsid w:val="00AD58F5"/>
    <w:rsid w:val="00AD5A77"/>
    <w:rsid w:val="00AD5B92"/>
    <w:rsid w:val="00AD7170"/>
    <w:rsid w:val="00AE004E"/>
    <w:rsid w:val="00AE0339"/>
    <w:rsid w:val="00AE098D"/>
    <w:rsid w:val="00AE1147"/>
    <w:rsid w:val="00AE1CD4"/>
    <w:rsid w:val="00AE2B68"/>
    <w:rsid w:val="00AE3283"/>
    <w:rsid w:val="00AE3318"/>
    <w:rsid w:val="00AE379F"/>
    <w:rsid w:val="00AE37B2"/>
    <w:rsid w:val="00AE3DF8"/>
    <w:rsid w:val="00AE3DFC"/>
    <w:rsid w:val="00AE4B7B"/>
    <w:rsid w:val="00AE4C79"/>
    <w:rsid w:val="00AE531D"/>
    <w:rsid w:val="00AE5625"/>
    <w:rsid w:val="00AE57BF"/>
    <w:rsid w:val="00AE5881"/>
    <w:rsid w:val="00AE672C"/>
    <w:rsid w:val="00AE6BDC"/>
    <w:rsid w:val="00AF1209"/>
    <w:rsid w:val="00AF14D5"/>
    <w:rsid w:val="00AF215B"/>
    <w:rsid w:val="00AF22E0"/>
    <w:rsid w:val="00AF244A"/>
    <w:rsid w:val="00AF34F1"/>
    <w:rsid w:val="00AF373D"/>
    <w:rsid w:val="00AF3BEC"/>
    <w:rsid w:val="00AF47E1"/>
    <w:rsid w:val="00AF4AF3"/>
    <w:rsid w:val="00AF4D81"/>
    <w:rsid w:val="00AF4E9D"/>
    <w:rsid w:val="00AF4F9B"/>
    <w:rsid w:val="00AF4FA1"/>
    <w:rsid w:val="00AF5683"/>
    <w:rsid w:val="00AF56C0"/>
    <w:rsid w:val="00AF69A6"/>
    <w:rsid w:val="00AF7120"/>
    <w:rsid w:val="00AF757E"/>
    <w:rsid w:val="00AF7584"/>
    <w:rsid w:val="00AF781B"/>
    <w:rsid w:val="00AF7C63"/>
    <w:rsid w:val="00AF7E49"/>
    <w:rsid w:val="00B0071C"/>
    <w:rsid w:val="00B00C8F"/>
    <w:rsid w:val="00B010B9"/>
    <w:rsid w:val="00B0154C"/>
    <w:rsid w:val="00B01E2E"/>
    <w:rsid w:val="00B02247"/>
    <w:rsid w:val="00B02848"/>
    <w:rsid w:val="00B02939"/>
    <w:rsid w:val="00B02B09"/>
    <w:rsid w:val="00B02E7A"/>
    <w:rsid w:val="00B03065"/>
    <w:rsid w:val="00B03156"/>
    <w:rsid w:val="00B03E32"/>
    <w:rsid w:val="00B0433F"/>
    <w:rsid w:val="00B0463B"/>
    <w:rsid w:val="00B04CDC"/>
    <w:rsid w:val="00B04E86"/>
    <w:rsid w:val="00B063E7"/>
    <w:rsid w:val="00B06940"/>
    <w:rsid w:val="00B069E7"/>
    <w:rsid w:val="00B07015"/>
    <w:rsid w:val="00B0712A"/>
    <w:rsid w:val="00B10095"/>
    <w:rsid w:val="00B102D9"/>
    <w:rsid w:val="00B10F51"/>
    <w:rsid w:val="00B110CF"/>
    <w:rsid w:val="00B118B7"/>
    <w:rsid w:val="00B13526"/>
    <w:rsid w:val="00B13C25"/>
    <w:rsid w:val="00B15144"/>
    <w:rsid w:val="00B15437"/>
    <w:rsid w:val="00B1552F"/>
    <w:rsid w:val="00B15DD4"/>
    <w:rsid w:val="00B162D4"/>
    <w:rsid w:val="00B16B66"/>
    <w:rsid w:val="00B177D7"/>
    <w:rsid w:val="00B201F3"/>
    <w:rsid w:val="00B20A3F"/>
    <w:rsid w:val="00B20DCE"/>
    <w:rsid w:val="00B2106F"/>
    <w:rsid w:val="00B2148B"/>
    <w:rsid w:val="00B21B38"/>
    <w:rsid w:val="00B22021"/>
    <w:rsid w:val="00B223F7"/>
    <w:rsid w:val="00B224C5"/>
    <w:rsid w:val="00B22737"/>
    <w:rsid w:val="00B23041"/>
    <w:rsid w:val="00B23C4B"/>
    <w:rsid w:val="00B24420"/>
    <w:rsid w:val="00B24441"/>
    <w:rsid w:val="00B259CC"/>
    <w:rsid w:val="00B25B2F"/>
    <w:rsid w:val="00B260F3"/>
    <w:rsid w:val="00B2642F"/>
    <w:rsid w:val="00B26C23"/>
    <w:rsid w:val="00B26F13"/>
    <w:rsid w:val="00B275E7"/>
    <w:rsid w:val="00B27872"/>
    <w:rsid w:val="00B27C42"/>
    <w:rsid w:val="00B27CE7"/>
    <w:rsid w:val="00B31704"/>
    <w:rsid w:val="00B329A0"/>
    <w:rsid w:val="00B32D85"/>
    <w:rsid w:val="00B32EEC"/>
    <w:rsid w:val="00B33762"/>
    <w:rsid w:val="00B33799"/>
    <w:rsid w:val="00B33D39"/>
    <w:rsid w:val="00B34504"/>
    <w:rsid w:val="00B34839"/>
    <w:rsid w:val="00B36E8B"/>
    <w:rsid w:val="00B36FCE"/>
    <w:rsid w:val="00B373F3"/>
    <w:rsid w:val="00B37F72"/>
    <w:rsid w:val="00B41C84"/>
    <w:rsid w:val="00B41D0C"/>
    <w:rsid w:val="00B41FC5"/>
    <w:rsid w:val="00B42502"/>
    <w:rsid w:val="00B42F5C"/>
    <w:rsid w:val="00B44750"/>
    <w:rsid w:val="00B44A0D"/>
    <w:rsid w:val="00B44CC1"/>
    <w:rsid w:val="00B451EB"/>
    <w:rsid w:val="00B451F4"/>
    <w:rsid w:val="00B45AE0"/>
    <w:rsid w:val="00B45B97"/>
    <w:rsid w:val="00B46DD1"/>
    <w:rsid w:val="00B46E48"/>
    <w:rsid w:val="00B476D7"/>
    <w:rsid w:val="00B47B06"/>
    <w:rsid w:val="00B47B80"/>
    <w:rsid w:val="00B50277"/>
    <w:rsid w:val="00B504A8"/>
    <w:rsid w:val="00B5055C"/>
    <w:rsid w:val="00B50665"/>
    <w:rsid w:val="00B50AC9"/>
    <w:rsid w:val="00B50BB8"/>
    <w:rsid w:val="00B52011"/>
    <w:rsid w:val="00B52242"/>
    <w:rsid w:val="00B5253F"/>
    <w:rsid w:val="00B52782"/>
    <w:rsid w:val="00B53CC1"/>
    <w:rsid w:val="00B53D2E"/>
    <w:rsid w:val="00B542C0"/>
    <w:rsid w:val="00B54369"/>
    <w:rsid w:val="00B5455D"/>
    <w:rsid w:val="00B5463D"/>
    <w:rsid w:val="00B547A0"/>
    <w:rsid w:val="00B54B0E"/>
    <w:rsid w:val="00B54D1A"/>
    <w:rsid w:val="00B54DE5"/>
    <w:rsid w:val="00B54E35"/>
    <w:rsid w:val="00B55223"/>
    <w:rsid w:val="00B5779C"/>
    <w:rsid w:val="00B57B37"/>
    <w:rsid w:val="00B607EF"/>
    <w:rsid w:val="00B60D2C"/>
    <w:rsid w:val="00B6151F"/>
    <w:rsid w:val="00B61F84"/>
    <w:rsid w:val="00B6225D"/>
    <w:rsid w:val="00B63610"/>
    <w:rsid w:val="00B63F47"/>
    <w:rsid w:val="00B64152"/>
    <w:rsid w:val="00B64DC4"/>
    <w:rsid w:val="00B6575E"/>
    <w:rsid w:val="00B657C2"/>
    <w:rsid w:val="00B65B1D"/>
    <w:rsid w:val="00B66A35"/>
    <w:rsid w:val="00B66CA5"/>
    <w:rsid w:val="00B67180"/>
    <w:rsid w:val="00B673C8"/>
    <w:rsid w:val="00B67934"/>
    <w:rsid w:val="00B67A99"/>
    <w:rsid w:val="00B71AE9"/>
    <w:rsid w:val="00B71EE2"/>
    <w:rsid w:val="00B72CBE"/>
    <w:rsid w:val="00B735F3"/>
    <w:rsid w:val="00B7477B"/>
    <w:rsid w:val="00B74950"/>
    <w:rsid w:val="00B755ED"/>
    <w:rsid w:val="00B75B2E"/>
    <w:rsid w:val="00B76B9A"/>
    <w:rsid w:val="00B77477"/>
    <w:rsid w:val="00B7747F"/>
    <w:rsid w:val="00B77D12"/>
    <w:rsid w:val="00B810B0"/>
    <w:rsid w:val="00B81561"/>
    <w:rsid w:val="00B81954"/>
    <w:rsid w:val="00B81D5B"/>
    <w:rsid w:val="00B81F15"/>
    <w:rsid w:val="00B824B2"/>
    <w:rsid w:val="00B824BA"/>
    <w:rsid w:val="00B839B3"/>
    <w:rsid w:val="00B83CEF"/>
    <w:rsid w:val="00B84441"/>
    <w:rsid w:val="00B846B9"/>
    <w:rsid w:val="00B8493D"/>
    <w:rsid w:val="00B84AD2"/>
    <w:rsid w:val="00B85577"/>
    <w:rsid w:val="00B855FC"/>
    <w:rsid w:val="00B864B2"/>
    <w:rsid w:val="00B866C7"/>
    <w:rsid w:val="00B874D1"/>
    <w:rsid w:val="00B87524"/>
    <w:rsid w:val="00B878C5"/>
    <w:rsid w:val="00B87A84"/>
    <w:rsid w:val="00B90819"/>
    <w:rsid w:val="00B90C8E"/>
    <w:rsid w:val="00B91E7F"/>
    <w:rsid w:val="00B91EAC"/>
    <w:rsid w:val="00B91F3E"/>
    <w:rsid w:val="00B921B2"/>
    <w:rsid w:val="00B948F9"/>
    <w:rsid w:val="00B95D23"/>
    <w:rsid w:val="00B96033"/>
    <w:rsid w:val="00B969A3"/>
    <w:rsid w:val="00B9755D"/>
    <w:rsid w:val="00BA0277"/>
    <w:rsid w:val="00BA03C0"/>
    <w:rsid w:val="00BA04A8"/>
    <w:rsid w:val="00BA05DF"/>
    <w:rsid w:val="00BA0CB6"/>
    <w:rsid w:val="00BA0FE1"/>
    <w:rsid w:val="00BA1239"/>
    <w:rsid w:val="00BA1277"/>
    <w:rsid w:val="00BA26D4"/>
    <w:rsid w:val="00BA2C65"/>
    <w:rsid w:val="00BA2D25"/>
    <w:rsid w:val="00BA3121"/>
    <w:rsid w:val="00BA3390"/>
    <w:rsid w:val="00BA35B4"/>
    <w:rsid w:val="00BA3901"/>
    <w:rsid w:val="00BA3B30"/>
    <w:rsid w:val="00BA3B8A"/>
    <w:rsid w:val="00BA47E3"/>
    <w:rsid w:val="00BA47ED"/>
    <w:rsid w:val="00BA4E31"/>
    <w:rsid w:val="00BA538F"/>
    <w:rsid w:val="00BA577A"/>
    <w:rsid w:val="00BA57BB"/>
    <w:rsid w:val="00BA5AFF"/>
    <w:rsid w:val="00BA6B2E"/>
    <w:rsid w:val="00BA7E90"/>
    <w:rsid w:val="00BB21EB"/>
    <w:rsid w:val="00BB2492"/>
    <w:rsid w:val="00BB322E"/>
    <w:rsid w:val="00BB45C1"/>
    <w:rsid w:val="00BB4B00"/>
    <w:rsid w:val="00BB4B76"/>
    <w:rsid w:val="00BB5B30"/>
    <w:rsid w:val="00BB5E05"/>
    <w:rsid w:val="00BB5EF9"/>
    <w:rsid w:val="00BB6165"/>
    <w:rsid w:val="00BB6D61"/>
    <w:rsid w:val="00BB782D"/>
    <w:rsid w:val="00BC05AD"/>
    <w:rsid w:val="00BC132A"/>
    <w:rsid w:val="00BC156E"/>
    <w:rsid w:val="00BC1620"/>
    <w:rsid w:val="00BC2935"/>
    <w:rsid w:val="00BC3B53"/>
    <w:rsid w:val="00BC43E1"/>
    <w:rsid w:val="00BC4646"/>
    <w:rsid w:val="00BC4D79"/>
    <w:rsid w:val="00BC5205"/>
    <w:rsid w:val="00BC53DF"/>
    <w:rsid w:val="00BC587B"/>
    <w:rsid w:val="00BC5CD1"/>
    <w:rsid w:val="00BC5F44"/>
    <w:rsid w:val="00BC6263"/>
    <w:rsid w:val="00BC629B"/>
    <w:rsid w:val="00BC637C"/>
    <w:rsid w:val="00BC6C21"/>
    <w:rsid w:val="00BC6C65"/>
    <w:rsid w:val="00BC6FA3"/>
    <w:rsid w:val="00BC7448"/>
    <w:rsid w:val="00BC751E"/>
    <w:rsid w:val="00BC7F9E"/>
    <w:rsid w:val="00BC7FC7"/>
    <w:rsid w:val="00BD01B4"/>
    <w:rsid w:val="00BD1DA5"/>
    <w:rsid w:val="00BD1E70"/>
    <w:rsid w:val="00BD2595"/>
    <w:rsid w:val="00BD25EF"/>
    <w:rsid w:val="00BD3378"/>
    <w:rsid w:val="00BD3DA8"/>
    <w:rsid w:val="00BD401A"/>
    <w:rsid w:val="00BD4CD0"/>
    <w:rsid w:val="00BD52D2"/>
    <w:rsid w:val="00BD62D8"/>
    <w:rsid w:val="00BD65E2"/>
    <w:rsid w:val="00BD6F31"/>
    <w:rsid w:val="00BD79F5"/>
    <w:rsid w:val="00BE00F5"/>
    <w:rsid w:val="00BE02B8"/>
    <w:rsid w:val="00BE1132"/>
    <w:rsid w:val="00BE141D"/>
    <w:rsid w:val="00BE1931"/>
    <w:rsid w:val="00BE21F6"/>
    <w:rsid w:val="00BE22E0"/>
    <w:rsid w:val="00BE246D"/>
    <w:rsid w:val="00BE28F1"/>
    <w:rsid w:val="00BE2EA3"/>
    <w:rsid w:val="00BE2ED5"/>
    <w:rsid w:val="00BE32AF"/>
    <w:rsid w:val="00BE3869"/>
    <w:rsid w:val="00BE4D60"/>
    <w:rsid w:val="00BE4F03"/>
    <w:rsid w:val="00BE54E8"/>
    <w:rsid w:val="00BE5533"/>
    <w:rsid w:val="00BE553A"/>
    <w:rsid w:val="00BE5A12"/>
    <w:rsid w:val="00BE5C62"/>
    <w:rsid w:val="00BE5F42"/>
    <w:rsid w:val="00BE67B1"/>
    <w:rsid w:val="00BE6ADC"/>
    <w:rsid w:val="00BE6F4C"/>
    <w:rsid w:val="00BE75EE"/>
    <w:rsid w:val="00BE7FAC"/>
    <w:rsid w:val="00BF00B0"/>
    <w:rsid w:val="00BF0C28"/>
    <w:rsid w:val="00BF1963"/>
    <w:rsid w:val="00BF1DCB"/>
    <w:rsid w:val="00BF277C"/>
    <w:rsid w:val="00BF2787"/>
    <w:rsid w:val="00BF27C7"/>
    <w:rsid w:val="00BF2F8A"/>
    <w:rsid w:val="00BF33C1"/>
    <w:rsid w:val="00BF3601"/>
    <w:rsid w:val="00BF3A87"/>
    <w:rsid w:val="00BF4046"/>
    <w:rsid w:val="00BF5405"/>
    <w:rsid w:val="00BF58D2"/>
    <w:rsid w:val="00BF6473"/>
    <w:rsid w:val="00BF6A0A"/>
    <w:rsid w:val="00BF6F61"/>
    <w:rsid w:val="00BF72F8"/>
    <w:rsid w:val="00BF79B9"/>
    <w:rsid w:val="00C0023A"/>
    <w:rsid w:val="00C00960"/>
    <w:rsid w:val="00C00AD6"/>
    <w:rsid w:val="00C00D2C"/>
    <w:rsid w:val="00C00F3E"/>
    <w:rsid w:val="00C018A6"/>
    <w:rsid w:val="00C01DB7"/>
    <w:rsid w:val="00C02B87"/>
    <w:rsid w:val="00C030FB"/>
    <w:rsid w:val="00C0329E"/>
    <w:rsid w:val="00C032F4"/>
    <w:rsid w:val="00C034BA"/>
    <w:rsid w:val="00C03C1F"/>
    <w:rsid w:val="00C0404D"/>
    <w:rsid w:val="00C044C8"/>
    <w:rsid w:val="00C04CB1"/>
    <w:rsid w:val="00C04FCC"/>
    <w:rsid w:val="00C04FF2"/>
    <w:rsid w:val="00C055F3"/>
    <w:rsid w:val="00C0573C"/>
    <w:rsid w:val="00C0703F"/>
    <w:rsid w:val="00C0727E"/>
    <w:rsid w:val="00C074E2"/>
    <w:rsid w:val="00C07C36"/>
    <w:rsid w:val="00C07E08"/>
    <w:rsid w:val="00C10C68"/>
    <w:rsid w:val="00C10D85"/>
    <w:rsid w:val="00C10ED5"/>
    <w:rsid w:val="00C118BB"/>
    <w:rsid w:val="00C12230"/>
    <w:rsid w:val="00C12326"/>
    <w:rsid w:val="00C1263B"/>
    <w:rsid w:val="00C129C8"/>
    <w:rsid w:val="00C12B5A"/>
    <w:rsid w:val="00C12D64"/>
    <w:rsid w:val="00C132E4"/>
    <w:rsid w:val="00C142C6"/>
    <w:rsid w:val="00C14E19"/>
    <w:rsid w:val="00C14ECE"/>
    <w:rsid w:val="00C150E4"/>
    <w:rsid w:val="00C154B0"/>
    <w:rsid w:val="00C1565E"/>
    <w:rsid w:val="00C15946"/>
    <w:rsid w:val="00C15D97"/>
    <w:rsid w:val="00C160C8"/>
    <w:rsid w:val="00C16648"/>
    <w:rsid w:val="00C16821"/>
    <w:rsid w:val="00C16829"/>
    <w:rsid w:val="00C16A3D"/>
    <w:rsid w:val="00C16BC4"/>
    <w:rsid w:val="00C17342"/>
    <w:rsid w:val="00C17576"/>
    <w:rsid w:val="00C17718"/>
    <w:rsid w:val="00C20BD2"/>
    <w:rsid w:val="00C2195F"/>
    <w:rsid w:val="00C226C2"/>
    <w:rsid w:val="00C23311"/>
    <w:rsid w:val="00C240BA"/>
    <w:rsid w:val="00C25857"/>
    <w:rsid w:val="00C25E5A"/>
    <w:rsid w:val="00C26283"/>
    <w:rsid w:val="00C27334"/>
    <w:rsid w:val="00C273E3"/>
    <w:rsid w:val="00C27533"/>
    <w:rsid w:val="00C27A48"/>
    <w:rsid w:val="00C30A14"/>
    <w:rsid w:val="00C30C2C"/>
    <w:rsid w:val="00C30E40"/>
    <w:rsid w:val="00C312C5"/>
    <w:rsid w:val="00C31768"/>
    <w:rsid w:val="00C31DA2"/>
    <w:rsid w:val="00C327F3"/>
    <w:rsid w:val="00C32DB7"/>
    <w:rsid w:val="00C33EFC"/>
    <w:rsid w:val="00C35185"/>
    <w:rsid w:val="00C35552"/>
    <w:rsid w:val="00C363B8"/>
    <w:rsid w:val="00C36B57"/>
    <w:rsid w:val="00C36D16"/>
    <w:rsid w:val="00C36D3D"/>
    <w:rsid w:val="00C36DA3"/>
    <w:rsid w:val="00C37C3A"/>
    <w:rsid w:val="00C37E46"/>
    <w:rsid w:val="00C410A3"/>
    <w:rsid w:val="00C414A7"/>
    <w:rsid w:val="00C42B39"/>
    <w:rsid w:val="00C42ECB"/>
    <w:rsid w:val="00C432DF"/>
    <w:rsid w:val="00C43BAB"/>
    <w:rsid w:val="00C43C36"/>
    <w:rsid w:val="00C43D36"/>
    <w:rsid w:val="00C45585"/>
    <w:rsid w:val="00C45674"/>
    <w:rsid w:val="00C45B6F"/>
    <w:rsid w:val="00C46519"/>
    <w:rsid w:val="00C4656D"/>
    <w:rsid w:val="00C46666"/>
    <w:rsid w:val="00C47493"/>
    <w:rsid w:val="00C5110C"/>
    <w:rsid w:val="00C52077"/>
    <w:rsid w:val="00C5245C"/>
    <w:rsid w:val="00C526AA"/>
    <w:rsid w:val="00C52C17"/>
    <w:rsid w:val="00C52D2E"/>
    <w:rsid w:val="00C54329"/>
    <w:rsid w:val="00C545E3"/>
    <w:rsid w:val="00C551F8"/>
    <w:rsid w:val="00C55697"/>
    <w:rsid w:val="00C558A4"/>
    <w:rsid w:val="00C568C2"/>
    <w:rsid w:val="00C569CF"/>
    <w:rsid w:val="00C56B83"/>
    <w:rsid w:val="00C570AD"/>
    <w:rsid w:val="00C57A8B"/>
    <w:rsid w:val="00C60CB3"/>
    <w:rsid w:val="00C60F91"/>
    <w:rsid w:val="00C6158B"/>
    <w:rsid w:val="00C62799"/>
    <w:rsid w:val="00C65AB7"/>
    <w:rsid w:val="00C65B6F"/>
    <w:rsid w:val="00C66097"/>
    <w:rsid w:val="00C6623C"/>
    <w:rsid w:val="00C662F7"/>
    <w:rsid w:val="00C66D12"/>
    <w:rsid w:val="00C677E1"/>
    <w:rsid w:val="00C679B2"/>
    <w:rsid w:val="00C71327"/>
    <w:rsid w:val="00C714A9"/>
    <w:rsid w:val="00C71CCF"/>
    <w:rsid w:val="00C72343"/>
    <w:rsid w:val="00C72378"/>
    <w:rsid w:val="00C726EB"/>
    <w:rsid w:val="00C72789"/>
    <w:rsid w:val="00C7298D"/>
    <w:rsid w:val="00C729E8"/>
    <w:rsid w:val="00C7333A"/>
    <w:rsid w:val="00C73406"/>
    <w:rsid w:val="00C734C5"/>
    <w:rsid w:val="00C73668"/>
    <w:rsid w:val="00C73DFB"/>
    <w:rsid w:val="00C74CE8"/>
    <w:rsid w:val="00C74E06"/>
    <w:rsid w:val="00C7517F"/>
    <w:rsid w:val="00C752F0"/>
    <w:rsid w:val="00C754A3"/>
    <w:rsid w:val="00C7558D"/>
    <w:rsid w:val="00C759CC"/>
    <w:rsid w:val="00C75A64"/>
    <w:rsid w:val="00C75DB3"/>
    <w:rsid w:val="00C7609F"/>
    <w:rsid w:val="00C7649A"/>
    <w:rsid w:val="00C7665F"/>
    <w:rsid w:val="00C76E10"/>
    <w:rsid w:val="00C7714F"/>
    <w:rsid w:val="00C77171"/>
    <w:rsid w:val="00C77824"/>
    <w:rsid w:val="00C77D4A"/>
    <w:rsid w:val="00C80503"/>
    <w:rsid w:val="00C80BBC"/>
    <w:rsid w:val="00C81E13"/>
    <w:rsid w:val="00C81F01"/>
    <w:rsid w:val="00C83464"/>
    <w:rsid w:val="00C83697"/>
    <w:rsid w:val="00C84265"/>
    <w:rsid w:val="00C84A20"/>
    <w:rsid w:val="00C84C1A"/>
    <w:rsid w:val="00C85845"/>
    <w:rsid w:val="00C86167"/>
    <w:rsid w:val="00C8645F"/>
    <w:rsid w:val="00C865CC"/>
    <w:rsid w:val="00C865E4"/>
    <w:rsid w:val="00C8672B"/>
    <w:rsid w:val="00C86D03"/>
    <w:rsid w:val="00C87E8E"/>
    <w:rsid w:val="00C91B5C"/>
    <w:rsid w:val="00C91CFC"/>
    <w:rsid w:val="00C91FB2"/>
    <w:rsid w:val="00C92242"/>
    <w:rsid w:val="00C92349"/>
    <w:rsid w:val="00C923AE"/>
    <w:rsid w:val="00C92892"/>
    <w:rsid w:val="00C929A1"/>
    <w:rsid w:val="00C92B0A"/>
    <w:rsid w:val="00C933F3"/>
    <w:rsid w:val="00C936DE"/>
    <w:rsid w:val="00C93D51"/>
    <w:rsid w:val="00C945B7"/>
    <w:rsid w:val="00C946E8"/>
    <w:rsid w:val="00C95118"/>
    <w:rsid w:val="00C957B6"/>
    <w:rsid w:val="00C95876"/>
    <w:rsid w:val="00C95B6E"/>
    <w:rsid w:val="00C9603F"/>
    <w:rsid w:val="00C960D9"/>
    <w:rsid w:val="00C96597"/>
    <w:rsid w:val="00C96E9C"/>
    <w:rsid w:val="00C971E4"/>
    <w:rsid w:val="00C97896"/>
    <w:rsid w:val="00C97AD9"/>
    <w:rsid w:val="00CA12AF"/>
    <w:rsid w:val="00CA1685"/>
    <w:rsid w:val="00CA1955"/>
    <w:rsid w:val="00CA27F8"/>
    <w:rsid w:val="00CA3761"/>
    <w:rsid w:val="00CA38F2"/>
    <w:rsid w:val="00CA39C2"/>
    <w:rsid w:val="00CA4279"/>
    <w:rsid w:val="00CA4AE4"/>
    <w:rsid w:val="00CA51C1"/>
    <w:rsid w:val="00CA525F"/>
    <w:rsid w:val="00CA52D5"/>
    <w:rsid w:val="00CA5F90"/>
    <w:rsid w:val="00CA66A4"/>
    <w:rsid w:val="00CA7384"/>
    <w:rsid w:val="00CA7497"/>
    <w:rsid w:val="00CA7E20"/>
    <w:rsid w:val="00CB09B9"/>
    <w:rsid w:val="00CB105A"/>
    <w:rsid w:val="00CB1932"/>
    <w:rsid w:val="00CB288E"/>
    <w:rsid w:val="00CB2BAA"/>
    <w:rsid w:val="00CB2D5B"/>
    <w:rsid w:val="00CB3437"/>
    <w:rsid w:val="00CB3E10"/>
    <w:rsid w:val="00CB40FC"/>
    <w:rsid w:val="00CB52CE"/>
    <w:rsid w:val="00CB5A8A"/>
    <w:rsid w:val="00CB5B30"/>
    <w:rsid w:val="00CB6CC2"/>
    <w:rsid w:val="00CB7B9F"/>
    <w:rsid w:val="00CB7CDC"/>
    <w:rsid w:val="00CC1164"/>
    <w:rsid w:val="00CC13B8"/>
    <w:rsid w:val="00CC2E37"/>
    <w:rsid w:val="00CC30F5"/>
    <w:rsid w:val="00CC32AA"/>
    <w:rsid w:val="00CC33DE"/>
    <w:rsid w:val="00CC35EA"/>
    <w:rsid w:val="00CC36ED"/>
    <w:rsid w:val="00CC3971"/>
    <w:rsid w:val="00CC417E"/>
    <w:rsid w:val="00CC462C"/>
    <w:rsid w:val="00CC47D4"/>
    <w:rsid w:val="00CC4860"/>
    <w:rsid w:val="00CC5168"/>
    <w:rsid w:val="00CC528D"/>
    <w:rsid w:val="00CC5317"/>
    <w:rsid w:val="00CC53BB"/>
    <w:rsid w:val="00CC58D1"/>
    <w:rsid w:val="00CC6222"/>
    <w:rsid w:val="00CC6C6F"/>
    <w:rsid w:val="00CC75DC"/>
    <w:rsid w:val="00CC7815"/>
    <w:rsid w:val="00CC7A7F"/>
    <w:rsid w:val="00CD04B7"/>
    <w:rsid w:val="00CD07B6"/>
    <w:rsid w:val="00CD0D86"/>
    <w:rsid w:val="00CD0DCD"/>
    <w:rsid w:val="00CD0FBE"/>
    <w:rsid w:val="00CD1175"/>
    <w:rsid w:val="00CD14C0"/>
    <w:rsid w:val="00CD165E"/>
    <w:rsid w:val="00CD16C8"/>
    <w:rsid w:val="00CD18EE"/>
    <w:rsid w:val="00CD275D"/>
    <w:rsid w:val="00CD2837"/>
    <w:rsid w:val="00CD2F9D"/>
    <w:rsid w:val="00CD39CA"/>
    <w:rsid w:val="00CD444A"/>
    <w:rsid w:val="00CD45C2"/>
    <w:rsid w:val="00CD4B9B"/>
    <w:rsid w:val="00CD5C41"/>
    <w:rsid w:val="00CD6011"/>
    <w:rsid w:val="00CD68CB"/>
    <w:rsid w:val="00CD6BF8"/>
    <w:rsid w:val="00CD71AA"/>
    <w:rsid w:val="00CD7E7F"/>
    <w:rsid w:val="00CE0147"/>
    <w:rsid w:val="00CE1941"/>
    <w:rsid w:val="00CE1A74"/>
    <w:rsid w:val="00CE2211"/>
    <w:rsid w:val="00CE28EC"/>
    <w:rsid w:val="00CE2E3B"/>
    <w:rsid w:val="00CE2F7B"/>
    <w:rsid w:val="00CE41BE"/>
    <w:rsid w:val="00CE4DA3"/>
    <w:rsid w:val="00CE4E2C"/>
    <w:rsid w:val="00CE5CF6"/>
    <w:rsid w:val="00CE6406"/>
    <w:rsid w:val="00CE657B"/>
    <w:rsid w:val="00CE7AB9"/>
    <w:rsid w:val="00CE7CBC"/>
    <w:rsid w:val="00CE7DB8"/>
    <w:rsid w:val="00CF0546"/>
    <w:rsid w:val="00CF0E57"/>
    <w:rsid w:val="00CF0EE3"/>
    <w:rsid w:val="00CF1405"/>
    <w:rsid w:val="00CF1790"/>
    <w:rsid w:val="00CF195E"/>
    <w:rsid w:val="00CF222F"/>
    <w:rsid w:val="00CF290C"/>
    <w:rsid w:val="00CF2A62"/>
    <w:rsid w:val="00CF2ADD"/>
    <w:rsid w:val="00CF2F4E"/>
    <w:rsid w:val="00CF3CCC"/>
    <w:rsid w:val="00CF3FDB"/>
    <w:rsid w:val="00CF41BA"/>
    <w:rsid w:val="00CF4E95"/>
    <w:rsid w:val="00CF60DA"/>
    <w:rsid w:val="00CF7438"/>
    <w:rsid w:val="00CF7ABE"/>
    <w:rsid w:val="00D00A87"/>
    <w:rsid w:val="00D00D13"/>
    <w:rsid w:val="00D013AD"/>
    <w:rsid w:val="00D01776"/>
    <w:rsid w:val="00D01E23"/>
    <w:rsid w:val="00D0252C"/>
    <w:rsid w:val="00D03997"/>
    <w:rsid w:val="00D03999"/>
    <w:rsid w:val="00D039A1"/>
    <w:rsid w:val="00D044E5"/>
    <w:rsid w:val="00D0456C"/>
    <w:rsid w:val="00D045E7"/>
    <w:rsid w:val="00D04836"/>
    <w:rsid w:val="00D04BC8"/>
    <w:rsid w:val="00D05730"/>
    <w:rsid w:val="00D05E9C"/>
    <w:rsid w:val="00D062AD"/>
    <w:rsid w:val="00D062BD"/>
    <w:rsid w:val="00D06709"/>
    <w:rsid w:val="00D06CDE"/>
    <w:rsid w:val="00D071D3"/>
    <w:rsid w:val="00D071E6"/>
    <w:rsid w:val="00D074E3"/>
    <w:rsid w:val="00D07CB8"/>
    <w:rsid w:val="00D07F2C"/>
    <w:rsid w:val="00D102E4"/>
    <w:rsid w:val="00D10935"/>
    <w:rsid w:val="00D119BD"/>
    <w:rsid w:val="00D12442"/>
    <w:rsid w:val="00D130EE"/>
    <w:rsid w:val="00D139DB"/>
    <w:rsid w:val="00D13D25"/>
    <w:rsid w:val="00D13FBA"/>
    <w:rsid w:val="00D145FB"/>
    <w:rsid w:val="00D14969"/>
    <w:rsid w:val="00D158C2"/>
    <w:rsid w:val="00D15DB7"/>
    <w:rsid w:val="00D16D4B"/>
    <w:rsid w:val="00D17BF3"/>
    <w:rsid w:val="00D2058A"/>
    <w:rsid w:val="00D205B7"/>
    <w:rsid w:val="00D20CE5"/>
    <w:rsid w:val="00D22A77"/>
    <w:rsid w:val="00D237EE"/>
    <w:rsid w:val="00D2455E"/>
    <w:rsid w:val="00D245FA"/>
    <w:rsid w:val="00D24E4F"/>
    <w:rsid w:val="00D25A96"/>
    <w:rsid w:val="00D25F0F"/>
    <w:rsid w:val="00D262E2"/>
    <w:rsid w:val="00D26422"/>
    <w:rsid w:val="00D2753C"/>
    <w:rsid w:val="00D27834"/>
    <w:rsid w:val="00D279AE"/>
    <w:rsid w:val="00D305E3"/>
    <w:rsid w:val="00D31167"/>
    <w:rsid w:val="00D311DC"/>
    <w:rsid w:val="00D322D3"/>
    <w:rsid w:val="00D3237C"/>
    <w:rsid w:val="00D32788"/>
    <w:rsid w:val="00D32C60"/>
    <w:rsid w:val="00D33F3F"/>
    <w:rsid w:val="00D3461C"/>
    <w:rsid w:val="00D347A0"/>
    <w:rsid w:val="00D34E41"/>
    <w:rsid w:val="00D355BD"/>
    <w:rsid w:val="00D35792"/>
    <w:rsid w:val="00D369B1"/>
    <w:rsid w:val="00D36CDF"/>
    <w:rsid w:val="00D36DB9"/>
    <w:rsid w:val="00D37254"/>
    <w:rsid w:val="00D37DA7"/>
    <w:rsid w:val="00D37FCB"/>
    <w:rsid w:val="00D415F6"/>
    <w:rsid w:val="00D41E2E"/>
    <w:rsid w:val="00D41E9C"/>
    <w:rsid w:val="00D4221D"/>
    <w:rsid w:val="00D42A9A"/>
    <w:rsid w:val="00D43370"/>
    <w:rsid w:val="00D44121"/>
    <w:rsid w:val="00D4456E"/>
    <w:rsid w:val="00D449D8"/>
    <w:rsid w:val="00D45A60"/>
    <w:rsid w:val="00D45E46"/>
    <w:rsid w:val="00D45E5E"/>
    <w:rsid w:val="00D460AB"/>
    <w:rsid w:val="00D46638"/>
    <w:rsid w:val="00D467A1"/>
    <w:rsid w:val="00D46EC8"/>
    <w:rsid w:val="00D471E3"/>
    <w:rsid w:val="00D47285"/>
    <w:rsid w:val="00D47A43"/>
    <w:rsid w:val="00D47FF6"/>
    <w:rsid w:val="00D513F0"/>
    <w:rsid w:val="00D51FA2"/>
    <w:rsid w:val="00D52065"/>
    <w:rsid w:val="00D5211A"/>
    <w:rsid w:val="00D536CF"/>
    <w:rsid w:val="00D53714"/>
    <w:rsid w:val="00D53CF8"/>
    <w:rsid w:val="00D54223"/>
    <w:rsid w:val="00D54FAB"/>
    <w:rsid w:val="00D552DD"/>
    <w:rsid w:val="00D55394"/>
    <w:rsid w:val="00D55871"/>
    <w:rsid w:val="00D55CF5"/>
    <w:rsid w:val="00D56202"/>
    <w:rsid w:val="00D564EC"/>
    <w:rsid w:val="00D56BAB"/>
    <w:rsid w:val="00D5701E"/>
    <w:rsid w:val="00D57C34"/>
    <w:rsid w:val="00D60A7F"/>
    <w:rsid w:val="00D60EFE"/>
    <w:rsid w:val="00D61137"/>
    <w:rsid w:val="00D6155B"/>
    <w:rsid w:val="00D61BA3"/>
    <w:rsid w:val="00D62161"/>
    <w:rsid w:val="00D62384"/>
    <w:rsid w:val="00D62AEB"/>
    <w:rsid w:val="00D63E6C"/>
    <w:rsid w:val="00D64103"/>
    <w:rsid w:val="00D64B09"/>
    <w:rsid w:val="00D64BF8"/>
    <w:rsid w:val="00D64DB1"/>
    <w:rsid w:val="00D65CA1"/>
    <w:rsid w:val="00D66AB3"/>
    <w:rsid w:val="00D67223"/>
    <w:rsid w:val="00D679BB"/>
    <w:rsid w:val="00D7008E"/>
    <w:rsid w:val="00D706B6"/>
    <w:rsid w:val="00D7154A"/>
    <w:rsid w:val="00D71E4D"/>
    <w:rsid w:val="00D7281A"/>
    <w:rsid w:val="00D7330D"/>
    <w:rsid w:val="00D7393A"/>
    <w:rsid w:val="00D73EEF"/>
    <w:rsid w:val="00D742D9"/>
    <w:rsid w:val="00D74540"/>
    <w:rsid w:val="00D74E6E"/>
    <w:rsid w:val="00D75FD2"/>
    <w:rsid w:val="00D7615A"/>
    <w:rsid w:val="00D7615F"/>
    <w:rsid w:val="00D76C2E"/>
    <w:rsid w:val="00D76DD9"/>
    <w:rsid w:val="00D76E10"/>
    <w:rsid w:val="00D77080"/>
    <w:rsid w:val="00D770F0"/>
    <w:rsid w:val="00D77327"/>
    <w:rsid w:val="00D80FB9"/>
    <w:rsid w:val="00D81E5C"/>
    <w:rsid w:val="00D8217F"/>
    <w:rsid w:val="00D82340"/>
    <w:rsid w:val="00D824B8"/>
    <w:rsid w:val="00D82A19"/>
    <w:rsid w:val="00D82BA0"/>
    <w:rsid w:val="00D8311C"/>
    <w:rsid w:val="00D83E52"/>
    <w:rsid w:val="00D847E7"/>
    <w:rsid w:val="00D853CC"/>
    <w:rsid w:val="00D85531"/>
    <w:rsid w:val="00D87258"/>
    <w:rsid w:val="00D874E0"/>
    <w:rsid w:val="00D9071B"/>
    <w:rsid w:val="00D90834"/>
    <w:rsid w:val="00D90CDD"/>
    <w:rsid w:val="00D90E7C"/>
    <w:rsid w:val="00D918D7"/>
    <w:rsid w:val="00D92037"/>
    <w:rsid w:val="00D92341"/>
    <w:rsid w:val="00D9237D"/>
    <w:rsid w:val="00D9255E"/>
    <w:rsid w:val="00D925F9"/>
    <w:rsid w:val="00D92F3F"/>
    <w:rsid w:val="00D92FB3"/>
    <w:rsid w:val="00D9454E"/>
    <w:rsid w:val="00D95220"/>
    <w:rsid w:val="00D95771"/>
    <w:rsid w:val="00D95A0F"/>
    <w:rsid w:val="00D95A90"/>
    <w:rsid w:val="00D95F6C"/>
    <w:rsid w:val="00D9668D"/>
    <w:rsid w:val="00D97613"/>
    <w:rsid w:val="00D9777F"/>
    <w:rsid w:val="00DA0210"/>
    <w:rsid w:val="00DA0793"/>
    <w:rsid w:val="00DA0E56"/>
    <w:rsid w:val="00DA14DC"/>
    <w:rsid w:val="00DA1E4D"/>
    <w:rsid w:val="00DA20A9"/>
    <w:rsid w:val="00DA20DF"/>
    <w:rsid w:val="00DA26BA"/>
    <w:rsid w:val="00DA36D7"/>
    <w:rsid w:val="00DA3A55"/>
    <w:rsid w:val="00DA3C44"/>
    <w:rsid w:val="00DA3D3A"/>
    <w:rsid w:val="00DA3EB0"/>
    <w:rsid w:val="00DA3F15"/>
    <w:rsid w:val="00DA3FE0"/>
    <w:rsid w:val="00DA401C"/>
    <w:rsid w:val="00DA5541"/>
    <w:rsid w:val="00DA56BF"/>
    <w:rsid w:val="00DA589D"/>
    <w:rsid w:val="00DA5B89"/>
    <w:rsid w:val="00DA5EAF"/>
    <w:rsid w:val="00DA6BBC"/>
    <w:rsid w:val="00DA6E9E"/>
    <w:rsid w:val="00DB18BC"/>
    <w:rsid w:val="00DB214C"/>
    <w:rsid w:val="00DB2448"/>
    <w:rsid w:val="00DB24DE"/>
    <w:rsid w:val="00DB2F81"/>
    <w:rsid w:val="00DB30D2"/>
    <w:rsid w:val="00DB34BB"/>
    <w:rsid w:val="00DB4170"/>
    <w:rsid w:val="00DB4686"/>
    <w:rsid w:val="00DB5AA3"/>
    <w:rsid w:val="00DB5C2E"/>
    <w:rsid w:val="00DB63E9"/>
    <w:rsid w:val="00DB6684"/>
    <w:rsid w:val="00DB7105"/>
    <w:rsid w:val="00DB7E81"/>
    <w:rsid w:val="00DB7FB4"/>
    <w:rsid w:val="00DC0C25"/>
    <w:rsid w:val="00DC25A7"/>
    <w:rsid w:val="00DC3795"/>
    <w:rsid w:val="00DC4289"/>
    <w:rsid w:val="00DC4715"/>
    <w:rsid w:val="00DC4FC0"/>
    <w:rsid w:val="00DC5FF5"/>
    <w:rsid w:val="00DC7B56"/>
    <w:rsid w:val="00DC7EDB"/>
    <w:rsid w:val="00DC7FD6"/>
    <w:rsid w:val="00DD11E3"/>
    <w:rsid w:val="00DD147B"/>
    <w:rsid w:val="00DD1DB8"/>
    <w:rsid w:val="00DD205A"/>
    <w:rsid w:val="00DD2495"/>
    <w:rsid w:val="00DD25B7"/>
    <w:rsid w:val="00DD2789"/>
    <w:rsid w:val="00DD288E"/>
    <w:rsid w:val="00DD2A70"/>
    <w:rsid w:val="00DD2B76"/>
    <w:rsid w:val="00DD2C60"/>
    <w:rsid w:val="00DD3F27"/>
    <w:rsid w:val="00DD48E6"/>
    <w:rsid w:val="00DD4CB5"/>
    <w:rsid w:val="00DD4DDB"/>
    <w:rsid w:val="00DD5EA3"/>
    <w:rsid w:val="00DD6291"/>
    <w:rsid w:val="00DD649C"/>
    <w:rsid w:val="00DD6CF1"/>
    <w:rsid w:val="00DD70E9"/>
    <w:rsid w:val="00DD796D"/>
    <w:rsid w:val="00DE0049"/>
    <w:rsid w:val="00DE015B"/>
    <w:rsid w:val="00DE0935"/>
    <w:rsid w:val="00DE12CC"/>
    <w:rsid w:val="00DE13BC"/>
    <w:rsid w:val="00DE15AC"/>
    <w:rsid w:val="00DE169D"/>
    <w:rsid w:val="00DE1756"/>
    <w:rsid w:val="00DE1D2D"/>
    <w:rsid w:val="00DE27A6"/>
    <w:rsid w:val="00DE2993"/>
    <w:rsid w:val="00DE2A4E"/>
    <w:rsid w:val="00DE2EF1"/>
    <w:rsid w:val="00DE3398"/>
    <w:rsid w:val="00DE3CBF"/>
    <w:rsid w:val="00DE3EFF"/>
    <w:rsid w:val="00DE46AE"/>
    <w:rsid w:val="00DE4B81"/>
    <w:rsid w:val="00DE4EF8"/>
    <w:rsid w:val="00DE574D"/>
    <w:rsid w:val="00DE6222"/>
    <w:rsid w:val="00DE65AA"/>
    <w:rsid w:val="00DE6779"/>
    <w:rsid w:val="00DE6A72"/>
    <w:rsid w:val="00DE6B57"/>
    <w:rsid w:val="00DE6F39"/>
    <w:rsid w:val="00DE7B96"/>
    <w:rsid w:val="00DF069D"/>
    <w:rsid w:val="00DF1531"/>
    <w:rsid w:val="00DF1745"/>
    <w:rsid w:val="00DF2674"/>
    <w:rsid w:val="00DF321A"/>
    <w:rsid w:val="00DF367B"/>
    <w:rsid w:val="00DF3855"/>
    <w:rsid w:val="00DF38CC"/>
    <w:rsid w:val="00DF418C"/>
    <w:rsid w:val="00DF43FB"/>
    <w:rsid w:val="00DF4704"/>
    <w:rsid w:val="00DF47EA"/>
    <w:rsid w:val="00DF4D78"/>
    <w:rsid w:val="00DF537D"/>
    <w:rsid w:val="00DF56F1"/>
    <w:rsid w:val="00DF5DE5"/>
    <w:rsid w:val="00DF61BA"/>
    <w:rsid w:val="00DF6748"/>
    <w:rsid w:val="00DF6BB0"/>
    <w:rsid w:val="00DF774A"/>
    <w:rsid w:val="00DF7EBD"/>
    <w:rsid w:val="00E0126F"/>
    <w:rsid w:val="00E01426"/>
    <w:rsid w:val="00E015F9"/>
    <w:rsid w:val="00E01975"/>
    <w:rsid w:val="00E01D7E"/>
    <w:rsid w:val="00E01E30"/>
    <w:rsid w:val="00E020D9"/>
    <w:rsid w:val="00E027AD"/>
    <w:rsid w:val="00E030AA"/>
    <w:rsid w:val="00E03795"/>
    <w:rsid w:val="00E04653"/>
    <w:rsid w:val="00E0578F"/>
    <w:rsid w:val="00E05AAE"/>
    <w:rsid w:val="00E05C27"/>
    <w:rsid w:val="00E06203"/>
    <w:rsid w:val="00E066F5"/>
    <w:rsid w:val="00E069DB"/>
    <w:rsid w:val="00E06B69"/>
    <w:rsid w:val="00E0700E"/>
    <w:rsid w:val="00E0703D"/>
    <w:rsid w:val="00E07531"/>
    <w:rsid w:val="00E0769B"/>
    <w:rsid w:val="00E0781E"/>
    <w:rsid w:val="00E105C3"/>
    <w:rsid w:val="00E10CD4"/>
    <w:rsid w:val="00E110AD"/>
    <w:rsid w:val="00E114E3"/>
    <w:rsid w:val="00E11669"/>
    <w:rsid w:val="00E11FBB"/>
    <w:rsid w:val="00E12F4A"/>
    <w:rsid w:val="00E132BC"/>
    <w:rsid w:val="00E13726"/>
    <w:rsid w:val="00E1406D"/>
    <w:rsid w:val="00E15A99"/>
    <w:rsid w:val="00E15B47"/>
    <w:rsid w:val="00E15C0A"/>
    <w:rsid w:val="00E16392"/>
    <w:rsid w:val="00E163BF"/>
    <w:rsid w:val="00E165C4"/>
    <w:rsid w:val="00E1693C"/>
    <w:rsid w:val="00E201E9"/>
    <w:rsid w:val="00E206CA"/>
    <w:rsid w:val="00E2109A"/>
    <w:rsid w:val="00E2183E"/>
    <w:rsid w:val="00E21E3F"/>
    <w:rsid w:val="00E222AF"/>
    <w:rsid w:val="00E22FB1"/>
    <w:rsid w:val="00E23B4A"/>
    <w:rsid w:val="00E23DF7"/>
    <w:rsid w:val="00E24680"/>
    <w:rsid w:val="00E2490B"/>
    <w:rsid w:val="00E24919"/>
    <w:rsid w:val="00E24CDF"/>
    <w:rsid w:val="00E24F5C"/>
    <w:rsid w:val="00E25151"/>
    <w:rsid w:val="00E2521D"/>
    <w:rsid w:val="00E253BE"/>
    <w:rsid w:val="00E254AA"/>
    <w:rsid w:val="00E25653"/>
    <w:rsid w:val="00E25B97"/>
    <w:rsid w:val="00E26365"/>
    <w:rsid w:val="00E2655D"/>
    <w:rsid w:val="00E27EE2"/>
    <w:rsid w:val="00E3055C"/>
    <w:rsid w:val="00E30A3C"/>
    <w:rsid w:val="00E31801"/>
    <w:rsid w:val="00E32262"/>
    <w:rsid w:val="00E32431"/>
    <w:rsid w:val="00E32432"/>
    <w:rsid w:val="00E337B9"/>
    <w:rsid w:val="00E34207"/>
    <w:rsid w:val="00E347DE"/>
    <w:rsid w:val="00E34C92"/>
    <w:rsid w:val="00E34DCC"/>
    <w:rsid w:val="00E353ED"/>
    <w:rsid w:val="00E35E5E"/>
    <w:rsid w:val="00E36126"/>
    <w:rsid w:val="00E36A3A"/>
    <w:rsid w:val="00E36EA8"/>
    <w:rsid w:val="00E36FD2"/>
    <w:rsid w:val="00E373C5"/>
    <w:rsid w:val="00E374C5"/>
    <w:rsid w:val="00E3778A"/>
    <w:rsid w:val="00E37D67"/>
    <w:rsid w:val="00E40FF9"/>
    <w:rsid w:val="00E4135C"/>
    <w:rsid w:val="00E41DFA"/>
    <w:rsid w:val="00E427F3"/>
    <w:rsid w:val="00E428D0"/>
    <w:rsid w:val="00E429CC"/>
    <w:rsid w:val="00E42A19"/>
    <w:rsid w:val="00E43F7B"/>
    <w:rsid w:val="00E44BD4"/>
    <w:rsid w:val="00E454BE"/>
    <w:rsid w:val="00E459AE"/>
    <w:rsid w:val="00E45F51"/>
    <w:rsid w:val="00E46BBC"/>
    <w:rsid w:val="00E47429"/>
    <w:rsid w:val="00E476A9"/>
    <w:rsid w:val="00E509DE"/>
    <w:rsid w:val="00E523AA"/>
    <w:rsid w:val="00E52485"/>
    <w:rsid w:val="00E52BD1"/>
    <w:rsid w:val="00E52C01"/>
    <w:rsid w:val="00E52EC4"/>
    <w:rsid w:val="00E540A6"/>
    <w:rsid w:val="00E54A5C"/>
    <w:rsid w:val="00E55109"/>
    <w:rsid w:val="00E5626E"/>
    <w:rsid w:val="00E565FA"/>
    <w:rsid w:val="00E5689F"/>
    <w:rsid w:val="00E57368"/>
    <w:rsid w:val="00E604CD"/>
    <w:rsid w:val="00E60791"/>
    <w:rsid w:val="00E61050"/>
    <w:rsid w:val="00E61C3A"/>
    <w:rsid w:val="00E61DF3"/>
    <w:rsid w:val="00E61F51"/>
    <w:rsid w:val="00E6221D"/>
    <w:rsid w:val="00E62C34"/>
    <w:rsid w:val="00E633EB"/>
    <w:rsid w:val="00E63CD4"/>
    <w:rsid w:val="00E648B7"/>
    <w:rsid w:val="00E64D27"/>
    <w:rsid w:val="00E64F77"/>
    <w:rsid w:val="00E65894"/>
    <w:rsid w:val="00E65F48"/>
    <w:rsid w:val="00E669A2"/>
    <w:rsid w:val="00E66BC9"/>
    <w:rsid w:val="00E672DC"/>
    <w:rsid w:val="00E673DF"/>
    <w:rsid w:val="00E70716"/>
    <w:rsid w:val="00E70E52"/>
    <w:rsid w:val="00E71211"/>
    <w:rsid w:val="00E71E12"/>
    <w:rsid w:val="00E7228B"/>
    <w:rsid w:val="00E7243A"/>
    <w:rsid w:val="00E7276D"/>
    <w:rsid w:val="00E7348E"/>
    <w:rsid w:val="00E736A9"/>
    <w:rsid w:val="00E73C11"/>
    <w:rsid w:val="00E803EC"/>
    <w:rsid w:val="00E807CD"/>
    <w:rsid w:val="00E80BD2"/>
    <w:rsid w:val="00E80FF7"/>
    <w:rsid w:val="00E816F4"/>
    <w:rsid w:val="00E81885"/>
    <w:rsid w:val="00E81B1F"/>
    <w:rsid w:val="00E81EF7"/>
    <w:rsid w:val="00E82F29"/>
    <w:rsid w:val="00E83117"/>
    <w:rsid w:val="00E839E6"/>
    <w:rsid w:val="00E8448D"/>
    <w:rsid w:val="00E84654"/>
    <w:rsid w:val="00E846C8"/>
    <w:rsid w:val="00E84D5B"/>
    <w:rsid w:val="00E84FA0"/>
    <w:rsid w:val="00E85910"/>
    <w:rsid w:val="00E861C1"/>
    <w:rsid w:val="00E861EE"/>
    <w:rsid w:val="00E86903"/>
    <w:rsid w:val="00E87074"/>
    <w:rsid w:val="00E87C5E"/>
    <w:rsid w:val="00E87F30"/>
    <w:rsid w:val="00E900E5"/>
    <w:rsid w:val="00E90396"/>
    <w:rsid w:val="00E90BFD"/>
    <w:rsid w:val="00E9186B"/>
    <w:rsid w:val="00E91A96"/>
    <w:rsid w:val="00E92D1D"/>
    <w:rsid w:val="00E93C1F"/>
    <w:rsid w:val="00E952D4"/>
    <w:rsid w:val="00E95DC4"/>
    <w:rsid w:val="00E9764C"/>
    <w:rsid w:val="00E97DD9"/>
    <w:rsid w:val="00EA04E7"/>
    <w:rsid w:val="00EA0866"/>
    <w:rsid w:val="00EA10F0"/>
    <w:rsid w:val="00EA110F"/>
    <w:rsid w:val="00EA178A"/>
    <w:rsid w:val="00EA18DF"/>
    <w:rsid w:val="00EA27FB"/>
    <w:rsid w:val="00EA2F9D"/>
    <w:rsid w:val="00EA3120"/>
    <w:rsid w:val="00EA3702"/>
    <w:rsid w:val="00EA3A0B"/>
    <w:rsid w:val="00EA405E"/>
    <w:rsid w:val="00EA4F5D"/>
    <w:rsid w:val="00EA550F"/>
    <w:rsid w:val="00EA5616"/>
    <w:rsid w:val="00EA5FD6"/>
    <w:rsid w:val="00EA64E8"/>
    <w:rsid w:val="00EA6769"/>
    <w:rsid w:val="00EA6874"/>
    <w:rsid w:val="00EA6A7B"/>
    <w:rsid w:val="00EA6DBE"/>
    <w:rsid w:val="00EA6E34"/>
    <w:rsid w:val="00EA6EAC"/>
    <w:rsid w:val="00EA6FDC"/>
    <w:rsid w:val="00EA7751"/>
    <w:rsid w:val="00EB02D5"/>
    <w:rsid w:val="00EB096D"/>
    <w:rsid w:val="00EB27DF"/>
    <w:rsid w:val="00EB28AD"/>
    <w:rsid w:val="00EB291B"/>
    <w:rsid w:val="00EB2B8C"/>
    <w:rsid w:val="00EB2EF2"/>
    <w:rsid w:val="00EB3185"/>
    <w:rsid w:val="00EB3BD9"/>
    <w:rsid w:val="00EB3C36"/>
    <w:rsid w:val="00EB4859"/>
    <w:rsid w:val="00EB519A"/>
    <w:rsid w:val="00EB5445"/>
    <w:rsid w:val="00EB566C"/>
    <w:rsid w:val="00EB5C8F"/>
    <w:rsid w:val="00EB6653"/>
    <w:rsid w:val="00EB668F"/>
    <w:rsid w:val="00EB68BB"/>
    <w:rsid w:val="00EB7253"/>
    <w:rsid w:val="00EB7A1A"/>
    <w:rsid w:val="00EB7BC2"/>
    <w:rsid w:val="00EC00E3"/>
    <w:rsid w:val="00EC1260"/>
    <w:rsid w:val="00EC1E2B"/>
    <w:rsid w:val="00EC3175"/>
    <w:rsid w:val="00EC33EE"/>
    <w:rsid w:val="00EC3831"/>
    <w:rsid w:val="00EC41ED"/>
    <w:rsid w:val="00EC4430"/>
    <w:rsid w:val="00EC576A"/>
    <w:rsid w:val="00EC6419"/>
    <w:rsid w:val="00EC67F4"/>
    <w:rsid w:val="00EC6A20"/>
    <w:rsid w:val="00EC6BE4"/>
    <w:rsid w:val="00EC6DE7"/>
    <w:rsid w:val="00EC6E65"/>
    <w:rsid w:val="00EC75A2"/>
    <w:rsid w:val="00ED02DF"/>
    <w:rsid w:val="00ED0F44"/>
    <w:rsid w:val="00ED1A86"/>
    <w:rsid w:val="00ED27F3"/>
    <w:rsid w:val="00ED2979"/>
    <w:rsid w:val="00ED31FA"/>
    <w:rsid w:val="00ED4A23"/>
    <w:rsid w:val="00ED539A"/>
    <w:rsid w:val="00ED57C9"/>
    <w:rsid w:val="00ED58C4"/>
    <w:rsid w:val="00ED6E90"/>
    <w:rsid w:val="00ED6F72"/>
    <w:rsid w:val="00ED6FDA"/>
    <w:rsid w:val="00ED7C27"/>
    <w:rsid w:val="00EE052E"/>
    <w:rsid w:val="00EE1C13"/>
    <w:rsid w:val="00EE24C5"/>
    <w:rsid w:val="00EE284D"/>
    <w:rsid w:val="00EE3583"/>
    <w:rsid w:val="00EE3701"/>
    <w:rsid w:val="00EE373E"/>
    <w:rsid w:val="00EE42A6"/>
    <w:rsid w:val="00EE4E51"/>
    <w:rsid w:val="00EE591F"/>
    <w:rsid w:val="00EE59C8"/>
    <w:rsid w:val="00EE5C21"/>
    <w:rsid w:val="00EE602C"/>
    <w:rsid w:val="00EE77DB"/>
    <w:rsid w:val="00EE7D9A"/>
    <w:rsid w:val="00EF0731"/>
    <w:rsid w:val="00EF0BDF"/>
    <w:rsid w:val="00EF132D"/>
    <w:rsid w:val="00EF18DA"/>
    <w:rsid w:val="00EF20DD"/>
    <w:rsid w:val="00EF349F"/>
    <w:rsid w:val="00EF3713"/>
    <w:rsid w:val="00EF39D6"/>
    <w:rsid w:val="00EF3A27"/>
    <w:rsid w:val="00EF3CCC"/>
    <w:rsid w:val="00EF4040"/>
    <w:rsid w:val="00EF4744"/>
    <w:rsid w:val="00EF48BF"/>
    <w:rsid w:val="00EF5436"/>
    <w:rsid w:val="00EF5A1B"/>
    <w:rsid w:val="00EF5A67"/>
    <w:rsid w:val="00EF6627"/>
    <w:rsid w:val="00EF66AD"/>
    <w:rsid w:val="00EF6AC5"/>
    <w:rsid w:val="00EF6E12"/>
    <w:rsid w:val="00EF7C04"/>
    <w:rsid w:val="00EF7F90"/>
    <w:rsid w:val="00F00A6D"/>
    <w:rsid w:val="00F00B43"/>
    <w:rsid w:val="00F01017"/>
    <w:rsid w:val="00F011FF"/>
    <w:rsid w:val="00F01257"/>
    <w:rsid w:val="00F015B3"/>
    <w:rsid w:val="00F0264C"/>
    <w:rsid w:val="00F032F5"/>
    <w:rsid w:val="00F03884"/>
    <w:rsid w:val="00F03FA4"/>
    <w:rsid w:val="00F0455A"/>
    <w:rsid w:val="00F04810"/>
    <w:rsid w:val="00F05235"/>
    <w:rsid w:val="00F05F57"/>
    <w:rsid w:val="00F06080"/>
    <w:rsid w:val="00F064E5"/>
    <w:rsid w:val="00F0692D"/>
    <w:rsid w:val="00F072A1"/>
    <w:rsid w:val="00F078FB"/>
    <w:rsid w:val="00F10199"/>
    <w:rsid w:val="00F10CAA"/>
    <w:rsid w:val="00F12BC9"/>
    <w:rsid w:val="00F140D6"/>
    <w:rsid w:val="00F1437E"/>
    <w:rsid w:val="00F15769"/>
    <w:rsid w:val="00F158DB"/>
    <w:rsid w:val="00F1606E"/>
    <w:rsid w:val="00F16120"/>
    <w:rsid w:val="00F16FBD"/>
    <w:rsid w:val="00F174F4"/>
    <w:rsid w:val="00F17944"/>
    <w:rsid w:val="00F17A5D"/>
    <w:rsid w:val="00F17FF3"/>
    <w:rsid w:val="00F2153E"/>
    <w:rsid w:val="00F2212A"/>
    <w:rsid w:val="00F22516"/>
    <w:rsid w:val="00F2261C"/>
    <w:rsid w:val="00F22D07"/>
    <w:rsid w:val="00F23110"/>
    <w:rsid w:val="00F235E6"/>
    <w:rsid w:val="00F2365E"/>
    <w:rsid w:val="00F2380D"/>
    <w:rsid w:val="00F23FF8"/>
    <w:rsid w:val="00F24AB7"/>
    <w:rsid w:val="00F24FAE"/>
    <w:rsid w:val="00F256D7"/>
    <w:rsid w:val="00F26102"/>
    <w:rsid w:val="00F2729B"/>
    <w:rsid w:val="00F27793"/>
    <w:rsid w:val="00F30A83"/>
    <w:rsid w:val="00F316B2"/>
    <w:rsid w:val="00F31862"/>
    <w:rsid w:val="00F32B5E"/>
    <w:rsid w:val="00F3368D"/>
    <w:rsid w:val="00F33C99"/>
    <w:rsid w:val="00F34042"/>
    <w:rsid w:val="00F34270"/>
    <w:rsid w:val="00F34383"/>
    <w:rsid w:val="00F3486A"/>
    <w:rsid w:val="00F34949"/>
    <w:rsid w:val="00F35079"/>
    <w:rsid w:val="00F35830"/>
    <w:rsid w:val="00F3598A"/>
    <w:rsid w:val="00F36248"/>
    <w:rsid w:val="00F365EE"/>
    <w:rsid w:val="00F3667E"/>
    <w:rsid w:val="00F368E5"/>
    <w:rsid w:val="00F36C76"/>
    <w:rsid w:val="00F36F06"/>
    <w:rsid w:val="00F37266"/>
    <w:rsid w:val="00F3795F"/>
    <w:rsid w:val="00F37D76"/>
    <w:rsid w:val="00F41A85"/>
    <w:rsid w:val="00F420DE"/>
    <w:rsid w:val="00F42114"/>
    <w:rsid w:val="00F424AC"/>
    <w:rsid w:val="00F43D20"/>
    <w:rsid w:val="00F43D53"/>
    <w:rsid w:val="00F44106"/>
    <w:rsid w:val="00F44723"/>
    <w:rsid w:val="00F45A2A"/>
    <w:rsid w:val="00F45F43"/>
    <w:rsid w:val="00F46B84"/>
    <w:rsid w:val="00F47649"/>
    <w:rsid w:val="00F50362"/>
    <w:rsid w:val="00F51017"/>
    <w:rsid w:val="00F516AE"/>
    <w:rsid w:val="00F518E0"/>
    <w:rsid w:val="00F52EC8"/>
    <w:rsid w:val="00F53698"/>
    <w:rsid w:val="00F5545F"/>
    <w:rsid w:val="00F559C6"/>
    <w:rsid w:val="00F56BF6"/>
    <w:rsid w:val="00F57419"/>
    <w:rsid w:val="00F57425"/>
    <w:rsid w:val="00F57619"/>
    <w:rsid w:val="00F57740"/>
    <w:rsid w:val="00F57B5E"/>
    <w:rsid w:val="00F57C3D"/>
    <w:rsid w:val="00F602D3"/>
    <w:rsid w:val="00F60617"/>
    <w:rsid w:val="00F610B7"/>
    <w:rsid w:val="00F61367"/>
    <w:rsid w:val="00F6166B"/>
    <w:rsid w:val="00F618C4"/>
    <w:rsid w:val="00F619C4"/>
    <w:rsid w:val="00F62B5B"/>
    <w:rsid w:val="00F62EA3"/>
    <w:rsid w:val="00F62F87"/>
    <w:rsid w:val="00F63379"/>
    <w:rsid w:val="00F63A7C"/>
    <w:rsid w:val="00F63D93"/>
    <w:rsid w:val="00F63EC2"/>
    <w:rsid w:val="00F64488"/>
    <w:rsid w:val="00F64C11"/>
    <w:rsid w:val="00F64E94"/>
    <w:rsid w:val="00F64F6C"/>
    <w:rsid w:val="00F65D2A"/>
    <w:rsid w:val="00F66145"/>
    <w:rsid w:val="00F665FA"/>
    <w:rsid w:val="00F66C3C"/>
    <w:rsid w:val="00F67668"/>
    <w:rsid w:val="00F67908"/>
    <w:rsid w:val="00F6795E"/>
    <w:rsid w:val="00F679D5"/>
    <w:rsid w:val="00F67BF4"/>
    <w:rsid w:val="00F70135"/>
    <w:rsid w:val="00F70166"/>
    <w:rsid w:val="00F706D3"/>
    <w:rsid w:val="00F70CB0"/>
    <w:rsid w:val="00F7140E"/>
    <w:rsid w:val="00F7167B"/>
    <w:rsid w:val="00F71807"/>
    <w:rsid w:val="00F72090"/>
    <w:rsid w:val="00F72182"/>
    <w:rsid w:val="00F725C5"/>
    <w:rsid w:val="00F73446"/>
    <w:rsid w:val="00F7361B"/>
    <w:rsid w:val="00F73AA0"/>
    <w:rsid w:val="00F7446E"/>
    <w:rsid w:val="00F7458B"/>
    <w:rsid w:val="00F7494D"/>
    <w:rsid w:val="00F74AED"/>
    <w:rsid w:val="00F74D88"/>
    <w:rsid w:val="00F752C0"/>
    <w:rsid w:val="00F75B14"/>
    <w:rsid w:val="00F75FC0"/>
    <w:rsid w:val="00F762EB"/>
    <w:rsid w:val="00F7687F"/>
    <w:rsid w:val="00F77302"/>
    <w:rsid w:val="00F801FE"/>
    <w:rsid w:val="00F805EE"/>
    <w:rsid w:val="00F8114C"/>
    <w:rsid w:val="00F81652"/>
    <w:rsid w:val="00F81EB1"/>
    <w:rsid w:val="00F82B78"/>
    <w:rsid w:val="00F82E53"/>
    <w:rsid w:val="00F8370F"/>
    <w:rsid w:val="00F837B0"/>
    <w:rsid w:val="00F83FC4"/>
    <w:rsid w:val="00F84032"/>
    <w:rsid w:val="00F84F78"/>
    <w:rsid w:val="00F85744"/>
    <w:rsid w:val="00F85A12"/>
    <w:rsid w:val="00F85F9E"/>
    <w:rsid w:val="00F87904"/>
    <w:rsid w:val="00F87A19"/>
    <w:rsid w:val="00F87C14"/>
    <w:rsid w:val="00F90690"/>
    <w:rsid w:val="00F90889"/>
    <w:rsid w:val="00F90DDE"/>
    <w:rsid w:val="00F91333"/>
    <w:rsid w:val="00F91826"/>
    <w:rsid w:val="00F921D2"/>
    <w:rsid w:val="00F92FF0"/>
    <w:rsid w:val="00F93095"/>
    <w:rsid w:val="00F9330B"/>
    <w:rsid w:val="00F93CAD"/>
    <w:rsid w:val="00F93D18"/>
    <w:rsid w:val="00F93E53"/>
    <w:rsid w:val="00F94047"/>
    <w:rsid w:val="00F943A4"/>
    <w:rsid w:val="00F946E1"/>
    <w:rsid w:val="00F94968"/>
    <w:rsid w:val="00F95621"/>
    <w:rsid w:val="00F963B3"/>
    <w:rsid w:val="00F96FAD"/>
    <w:rsid w:val="00F97F65"/>
    <w:rsid w:val="00FA02D4"/>
    <w:rsid w:val="00FA0570"/>
    <w:rsid w:val="00FA0693"/>
    <w:rsid w:val="00FA0758"/>
    <w:rsid w:val="00FA0870"/>
    <w:rsid w:val="00FA0EFD"/>
    <w:rsid w:val="00FA1428"/>
    <w:rsid w:val="00FA19B4"/>
    <w:rsid w:val="00FA19E9"/>
    <w:rsid w:val="00FA1CF7"/>
    <w:rsid w:val="00FA210E"/>
    <w:rsid w:val="00FA2480"/>
    <w:rsid w:val="00FA3429"/>
    <w:rsid w:val="00FA3B09"/>
    <w:rsid w:val="00FA55E4"/>
    <w:rsid w:val="00FA6BB5"/>
    <w:rsid w:val="00FA7025"/>
    <w:rsid w:val="00FB00A0"/>
    <w:rsid w:val="00FB069C"/>
    <w:rsid w:val="00FB08B7"/>
    <w:rsid w:val="00FB1015"/>
    <w:rsid w:val="00FB1774"/>
    <w:rsid w:val="00FB1864"/>
    <w:rsid w:val="00FB1B96"/>
    <w:rsid w:val="00FB20AB"/>
    <w:rsid w:val="00FB23E0"/>
    <w:rsid w:val="00FB2605"/>
    <w:rsid w:val="00FB3D12"/>
    <w:rsid w:val="00FB50F7"/>
    <w:rsid w:val="00FB57EB"/>
    <w:rsid w:val="00FB65E6"/>
    <w:rsid w:val="00FB6E72"/>
    <w:rsid w:val="00FB7E94"/>
    <w:rsid w:val="00FC051C"/>
    <w:rsid w:val="00FC097E"/>
    <w:rsid w:val="00FC0E05"/>
    <w:rsid w:val="00FC2516"/>
    <w:rsid w:val="00FC3C30"/>
    <w:rsid w:val="00FC3D7D"/>
    <w:rsid w:val="00FC450B"/>
    <w:rsid w:val="00FC55DC"/>
    <w:rsid w:val="00FC5640"/>
    <w:rsid w:val="00FC5647"/>
    <w:rsid w:val="00FC5A25"/>
    <w:rsid w:val="00FC6C1C"/>
    <w:rsid w:val="00FC6E49"/>
    <w:rsid w:val="00FC7615"/>
    <w:rsid w:val="00FC7772"/>
    <w:rsid w:val="00FD05DF"/>
    <w:rsid w:val="00FD06C5"/>
    <w:rsid w:val="00FD0983"/>
    <w:rsid w:val="00FD12CE"/>
    <w:rsid w:val="00FD1F60"/>
    <w:rsid w:val="00FD21EA"/>
    <w:rsid w:val="00FD2CFB"/>
    <w:rsid w:val="00FD31D4"/>
    <w:rsid w:val="00FD38D6"/>
    <w:rsid w:val="00FD3C82"/>
    <w:rsid w:val="00FD47BB"/>
    <w:rsid w:val="00FD527F"/>
    <w:rsid w:val="00FD5B53"/>
    <w:rsid w:val="00FD6830"/>
    <w:rsid w:val="00FD6CD7"/>
    <w:rsid w:val="00FE02BA"/>
    <w:rsid w:val="00FE109E"/>
    <w:rsid w:val="00FE34B6"/>
    <w:rsid w:val="00FE374D"/>
    <w:rsid w:val="00FE3782"/>
    <w:rsid w:val="00FE3BA1"/>
    <w:rsid w:val="00FE4306"/>
    <w:rsid w:val="00FE4380"/>
    <w:rsid w:val="00FE516D"/>
    <w:rsid w:val="00FE5203"/>
    <w:rsid w:val="00FE5484"/>
    <w:rsid w:val="00FE59A7"/>
    <w:rsid w:val="00FE5E13"/>
    <w:rsid w:val="00FE68BC"/>
    <w:rsid w:val="00FE6BEA"/>
    <w:rsid w:val="00FE6FF9"/>
    <w:rsid w:val="00FE78BA"/>
    <w:rsid w:val="00FE799F"/>
    <w:rsid w:val="00FF09E7"/>
    <w:rsid w:val="00FF24CD"/>
    <w:rsid w:val="00FF2FBE"/>
    <w:rsid w:val="00FF3002"/>
    <w:rsid w:val="00FF303C"/>
    <w:rsid w:val="00FF322D"/>
    <w:rsid w:val="00FF4D0E"/>
    <w:rsid w:val="00FF51A9"/>
    <w:rsid w:val="00FF5452"/>
    <w:rsid w:val="00FF5AB8"/>
    <w:rsid w:val="00FF63AF"/>
    <w:rsid w:val="00FF650F"/>
    <w:rsid w:val="00FF672E"/>
    <w:rsid w:val="00FF7541"/>
    <w:rsid w:val="00FF778C"/>
    <w:rsid w:val="00FF797C"/>
    <w:rsid w:val="00FF7B0F"/>
    <w:rsid w:val="01017684"/>
    <w:rsid w:val="02C72207"/>
    <w:rsid w:val="02CE7898"/>
    <w:rsid w:val="02FF5E45"/>
    <w:rsid w:val="03125B78"/>
    <w:rsid w:val="03764359"/>
    <w:rsid w:val="038518B3"/>
    <w:rsid w:val="04C051EC"/>
    <w:rsid w:val="04EF43C3"/>
    <w:rsid w:val="062F16E4"/>
    <w:rsid w:val="08184A7B"/>
    <w:rsid w:val="092972F5"/>
    <w:rsid w:val="0A2A40FB"/>
    <w:rsid w:val="0AC534D0"/>
    <w:rsid w:val="0B8E547B"/>
    <w:rsid w:val="0BB1424F"/>
    <w:rsid w:val="0D1644B7"/>
    <w:rsid w:val="0D1B387B"/>
    <w:rsid w:val="0E4B6324"/>
    <w:rsid w:val="0E574D87"/>
    <w:rsid w:val="0E781184"/>
    <w:rsid w:val="102D51F6"/>
    <w:rsid w:val="11B524F0"/>
    <w:rsid w:val="12080FF5"/>
    <w:rsid w:val="120B0362"/>
    <w:rsid w:val="122B4561"/>
    <w:rsid w:val="127B54E8"/>
    <w:rsid w:val="12D230BE"/>
    <w:rsid w:val="13C8330B"/>
    <w:rsid w:val="145F42FA"/>
    <w:rsid w:val="14B03784"/>
    <w:rsid w:val="150C68CB"/>
    <w:rsid w:val="17A05AB4"/>
    <w:rsid w:val="17C3523B"/>
    <w:rsid w:val="18DE057F"/>
    <w:rsid w:val="198804EA"/>
    <w:rsid w:val="1B6D1615"/>
    <w:rsid w:val="1B72378B"/>
    <w:rsid w:val="1BD21EF1"/>
    <w:rsid w:val="1C006A5E"/>
    <w:rsid w:val="1C3404B6"/>
    <w:rsid w:val="1C45326E"/>
    <w:rsid w:val="1C6A3ED7"/>
    <w:rsid w:val="1CDF48C5"/>
    <w:rsid w:val="1DB23D88"/>
    <w:rsid w:val="1E2E78B2"/>
    <w:rsid w:val="1EE6018D"/>
    <w:rsid w:val="1EF623ED"/>
    <w:rsid w:val="1F4C5B16"/>
    <w:rsid w:val="1FD620C2"/>
    <w:rsid w:val="200E130A"/>
    <w:rsid w:val="20735A50"/>
    <w:rsid w:val="20880DD0"/>
    <w:rsid w:val="233C481F"/>
    <w:rsid w:val="24851C89"/>
    <w:rsid w:val="26AE1ACB"/>
    <w:rsid w:val="277327DA"/>
    <w:rsid w:val="278F0C96"/>
    <w:rsid w:val="28226878"/>
    <w:rsid w:val="2A510485"/>
    <w:rsid w:val="2AEC6B2B"/>
    <w:rsid w:val="2C7548FE"/>
    <w:rsid w:val="2CE90E48"/>
    <w:rsid w:val="2D2F2CFF"/>
    <w:rsid w:val="2DE5579D"/>
    <w:rsid w:val="2DEF5412"/>
    <w:rsid w:val="2E94021A"/>
    <w:rsid w:val="2EDE4416"/>
    <w:rsid w:val="2EF67C47"/>
    <w:rsid w:val="2FAF45CB"/>
    <w:rsid w:val="313A1C72"/>
    <w:rsid w:val="31CC05D4"/>
    <w:rsid w:val="32470AEB"/>
    <w:rsid w:val="32794A1C"/>
    <w:rsid w:val="339C4E66"/>
    <w:rsid w:val="33DE547F"/>
    <w:rsid w:val="33DF16E7"/>
    <w:rsid w:val="342400A9"/>
    <w:rsid w:val="3555351F"/>
    <w:rsid w:val="356814A4"/>
    <w:rsid w:val="35BF6BEA"/>
    <w:rsid w:val="35DA3A24"/>
    <w:rsid w:val="378F28CE"/>
    <w:rsid w:val="3CAA568E"/>
    <w:rsid w:val="3D0C6BB9"/>
    <w:rsid w:val="3D9077EA"/>
    <w:rsid w:val="3E571A4E"/>
    <w:rsid w:val="3EC314F9"/>
    <w:rsid w:val="3F0B01A8"/>
    <w:rsid w:val="3F453F9E"/>
    <w:rsid w:val="406E1939"/>
    <w:rsid w:val="422A188F"/>
    <w:rsid w:val="42576B28"/>
    <w:rsid w:val="43486471"/>
    <w:rsid w:val="44315157"/>
    <w:rsid w:val="44CB1108"/>
    <w:rsid w:val="45DE130F"/>
    <w:rsid w:val="462C5BD6"/>
    <w:rsid w:val="46B77D56"/>
    <w:rsid w:val="471F398D"/>
    <w:rsid w:val="484F0173"/>
    <w:rsid w:val="487D4E0F"/>
    <w:rsid w:val="499F2B63"/>
    <w:rsid w:val="4A0A2B0B"/>
    <w:rsid w:val="4B6F2FB4"/>
    <w:rsid w:val="4BCB7C3F"/>
    <w:rsid w:val="4C0C011A"/>
    <w:rsid w:val="4C705328"/>
    <w:rsid w:val="4C795D8C"/>
    <w:rsid w:val="4E4D5283"/>
    <w:rsid w:val="4E8011B5"/>
    <w:rsid w:val="4EC866B8"/>
    <w:rsid w:val="4F0B3174"/>
    <w:rsid w:val="503A3269"/>
    <w:rsid w:val="510559A1"/>
    <w:rsid w:val="51A056CA"/>
    <w:rsid w:val="5290573F"/>
    <w:rsid w:val="52E53CDC"/>
    <w:rsid w:val="53234805"/>
    <w:rsid w:val="535D4396"/>
    <w:rsid w:val="53D84887"/>
    <w:rsid w:val="54A55CAF"/>
    <w:rsid w:val="55A03EEB"/>
    <w:rsid w:val="56222B52"/>
    <w:rsid w:val="572C012C"/>
    <w:rsid w:val="58B008E9"/>
    <w:rsid w:val="58B253F5"/>
    <w:rsid w:val="59745DBA"/>
    <w:rsid w:val="59D6437F"/>
    <w:rsid w:val="59D800F7"/>
    <w:rsid w:val="5A4A44FE"/>
    <w:rsid w:val="5AA12BDF"/>
    <w:rsid w:val="5AB67D0C"/>
    <w:rsid w:val="5B0B634B"/>
    <w:rsid w:val="5B55364D"/>
    <w:rsid w:val="5B781394"/>
    <w:rsid w:val="5BBA2879"/>
    <w:rsid w:val="5E023994"/>
    <w:rsid w:val="5E6006BB"/>
    <w:rsid w:val="5F6B7317"/>
    <w:rsid w:val="62553409"/>
    <w:rsid w:val="6278415A"/>
    <w:rsid w:val="62A11FA0"/>
    <w:rsid w:val="64C179D9"/>
    <w:rsid w:val="64D427F8"/>
    <w:rsid w:val="65297A59"/>
    <w:rsid w:val="664873A1"/>
    <w:rsid w:val="6784366C"/>
    <w:rsid w:val="68842D92"/>
    <w:rsid w:val="68E746EE"/>
    <w:rsid w:val="6B8743D3"/>
    <w:rsid w:val="6BA02A3F"/>
    <w:rsid w:val="6BE04BE9"/>
    <w:rsid w:val="6C1F5E15"/>
    <w:rsid w:val="6C5E271B"/>
    <w:rsid w:val="6CD72490"/>
    <w:rsid w:val="6D0112BB"/>
    <w:rsid w:val="6D1C7EA3"/>
    <w:rsid w:val="6E4E22DE"/>
    <w:rsid w:val="6E82467D"/>
    <w:rsid w:val="70253370"/>
    <w:rsid w:val="703379DD"/>
    <w:rsid w:val="707A3F4E"/>
    <w:rsid w:val="708A15C7"/>
    <w:rsid w:val="712215CC"/>
    <w:rsid w:val="71B52674"/>
    <w:rsid w:val="71D46F76"/>
    <w:rsid w:val="72353142"/>
    <w:rsid w:val="72BF641D"/>
    <w:rsid w:val="72E408C6"/>
    <w:rsid w:val="73905147"/>
    <w:rsid w:val="747D1B6F"/>
    <w:rsid w:val="74CA6436"/>
    <w:rsid w:val="77F35CA4"/>
    <w:rsid w:val="79C00537"/>
    <w:rsid w:val="7B073F40"/>
    <w:rsid w:val="7B1B1DDD"/>
    <w:rsid w:val="7B5B603A"/>
    <w:rsid w:val="7BBD1CA9"/>
    <w:rsid w:val="7C817D22"/>
    <w:rsid w:val="7CE32B26"/>
    <w:rsid w:val="7D4B1532"/>
    <w:rsid w:val="7DB351AA"/>
    <w:rsid w:val="7DCB394B"/>
    <w:rsid w:val="7DE70059"/>
    <w:rsid w:val="7E080065"/>
    <w:rsid w:val="7ED002D9"/>
    <w:rsid w:val="7EEF5417"/>
    <w:rsid w:val="7F4C286A"/>
    <w:rsid w:val="7F5160D2"/>
    <w:rsid w:val="7F8A33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keepNext/>
      <w:keepLines/>
      <w:spacing w:before="120" w:beforeLines="50" w:after="120" w:afterLines="50" w:line="340" w:lineRule="exact"/>
      <w:jc w:val="left"/>
      <w:outlineLvl w:val="2"/>
    </w:pPr>
    <w:rPr>
      <w:rFonts w:ascii="仿宋_GB2312"/>
      <w:bCs/>
      <w:sz w:val="24"/>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5">
    <w:name w:val="index 1"/>
    <w:basedOn w:val="1"/>
    <w:next w:val="1"/>
    <w:semiHidden/>
    <w:qFormat/>
    <w:uiPriority w:val="0"/>
    <w:rPr>
      <w:rFonts w:eastAsia="仿宋_GB2312"/>
    </w:rPr>
  </w:style>
  <w:style w:type="paragraph" w:styleId="7">
    <w:name w:val="toc 7"/>
    <w:basedOn w:val="1"/>
    <w:next w:val="1"/>
    <w:semiHidden/>
    <w:qFormat/>
    <w:uiPriority w:val="0"/>
    <w:pPr>
      <w:ind w:left="2520"/>
    </w:pPr>
  </w:style>
  <w:style w:type="paragraph" w:styleId="8">
    <w:name w:val="Normal Indent"/>
    <w:basedOn w:val="1"/>
    <w:qFormat/>
    <w:uiPriority w:val="0"/>
    <w:pPr>
      <w:ind w:firstLine="420" w:firstLineChars="200"/>
    </w:pPr>
  </w:style>
  <w:style w:type="paragraph" w:styleId="9">
    <w:name w:val="Document Map"/>
    <w:basedOn w:val="1"/>
    <w:semiHidden/>
    <w:qFormat/>
    <w:uiPriority w:val="0"/>
    <w:pPr>
      <w:shd w:val="clear" w:color="auto" w:fill="000080"/>
    </w:pPr>
  </w:style>
  <w:style w:type="paragraph" w:styleId="10">
    <w:name w:val="annotation text"/>
    <w:basedOn w:val="1"/>
    <w:semiHidden/>
    <w:qFormat/>
    <w:uiPriority w:val="0"/>
    <w:pPr>
      <w:jc w:val="left"/>
    </w:pPr>
  </w:style>
  <w:style w:type="paragraph" w:styleId="11">
    <w:name w:val="Body Text"/>
    <w:basedOn w:val="1"/>
    <w:next w:val="1"/>
    <w:qFormat/>
    <w:uiPriority w:val="0"/>
    <w:pPr>
      <w:spacing w:after="120"/>
    </w:pPr>
  </w:style>
  <w:style w:type="paragraph" w:styleId="12">
    <w:name w:val="Body Text Indent"/>
    <w:basedOn w:val="1"/>
    <w:qFormat/>
    <w:uiPriority w:val="0"/>
    <w:pPr>
      <w:widowControl/>
      <w:spacing w:line="360" w:lineRule="auto"/>
      <w:ind w:left="240"/>
      <w:jc w:val="left"/>
    </w:pPr>
    <w:rPr>
      <w:kern w:val="0"/>
      <w:sz w:val="24"/>
    </w:rPr>
  </w:style>
  <w:style w:type="paragraph" w:styleId="13">
    <w:name w:val="toc 5"/>
    <w:basedOn w:val="1"/>
    <w:next w:val="1"/>
    <w:semiHidden/>
    <w:qFormat/>
    <w:uiPriority w:val="0"/>
    <w:pPr>
      <w:ind w:left="1680"/>
    </w:pPr>
  </w:style>
  <w:style w:type="paragraph" w:styleId="14">
    <w:name w:val="toc 3"/>
    <w:basedOn w:val="1"/>
    <w:next w:val="1"/>
    <w:semiHidden/>
    <w:qFormat/>
    <w:uiPriority w:val="0"/>
    <w:pPr>
      <w:tabs>
        <w:tab w:val="right" w:leader="dot" w:pos="8505"/>
        <w:tab w:val="left" w:pos="8925"/>
      </w:tabs>
      <w:spacing w:line="360" w:lineRule="auto"/>
      <w:ind w:left="336" w:leftChars="160" w:right="210" w:rightChars="100" w:firstLine="28"/>
    </w:pPr>
    <w:rPr>
      <w:rFonts w:eastAsia="仿宋_GB2312"/>
    </w:rPr>
  </w:style>
  <w:style w:type="paragraph" w:styleId="15">
    <w:name w:val="Plain Text"/>
    <w:basedOn w:val="1"/>
    <w:link w:val="39"/>
    <w:qFormat/>
    <w:uiPriority w:val="0"/>
    <w:rPr>
      <w:rFonts w:ascii="宋体" w:hAnsi="Courier New"/>
      <w:szCs w:val="20"/>
    </w:rPr>
  </w:style>
  <w:style w:type="paragraph" w:styleId="16">
    <w:name w:val="toc 8"/>
    <w:basedOn w:val="1"/>
    <w:next w:val="1"/>
    <w:semiHidden/>
    <w:qFormat/>
    <w:uiPriority w:val="0"/>
    <w:pPr>
      <w:ind w:left="2940"/>
    </w:pPr>
  </w:style>
  <w:style w:type="paragraph" w:styleId="17">
    <w:name w:val="Date"/>
    <w:basedOn w:val="1"/>
    <w:next w:val="1"/>
    <w:link w:val="40"/>
    <w:qFormat/>
    <w:uiPriority w:val="0"/>
    <w:pPr>
      <w:ind w:left="100" w:leftChars="2500"/>
    </w:pPr>
  </w:style>
  <w:style w:type="paragraph" w:styleId="18">
    <w:name w:val="Body Text Indent 2"/>
    <w:basedOn w:val="1"/>
    <w:qFormat/>
    <w:uiPriority w:val="0"/>
    <w:pPr>
      <w:spacing w:line="440" w:lineRule="exact"/>
      <w:ind w:left="1" w:firstLine="490" w:firstLineChars="204"/>
      <w:jc w:val="left"/>
    </w:pPr>
    <w:rPr>
      <w:rFonts w:eastAsia="仿宋_GB2312"/>
      <w:color w:val="000000"/>
      <w:kern w:val="0"/>
      <w:sz w:val="24"/>
      <w:szCs w:val="20"/>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semiHidden/>
    <w:qFormat/>
    <w:uiPriority w:val="0"/>
    <w:pPr>
      <w:tabs>
        <w:tab w:val="right" w:leader="dot" w:pos="8511"/>
      </w:tabs>
      <w:spacing w:line="360" w:lineRule="auto"/>
      <w:ind w:left="349" w:hanging="349" w:hangingChars="166"/>
    </w:pPr>
    <w:rPr>
      <w:b/>
    </w:rPr>
  </w:style>
  <w:style w:type="paragraph" w:styleId="23">
    <w:name w:val="toc 4"/>
    <w:basedOn w:val="1"/>
    <w:next w:val="1"/>
    <w:semiHidden/>
    <w:qFormat/>
    <w:uiPriority w:val="0"/>
    <w:pPr>
      <w:ind w:left="1260"/>
    </w:pPr>
  </w:style>
  <w:style w:type="paragraph" w:styleId="24">
    <w:name w:val="toc 6"/>
    <w:basedOn w:val="1"/>
    <w:next w:val="1"/>
    <w:semiHidden/>
    <w:qFormat/>
    <w:uiPriority w:val="0"/>
    <w:pPr>
      <w:ind w:left="2100"/>
    </w:pPr>
  </w:style>
  <w:style w:type="paragraph" w:styleId="25">
    <w:name w:val="Body Text Indent 3"/>
    <w:basedOn w:val="1"/>
    <w:qFormat/>
    <w:uiPriority w:val="0"/>
    <w:pPr>
      <w:spacing w:after="120"/>
      <w:ind w:left="420" w:leftChars="200"/>
    </w:pPr>
    <w:rPr>
      <w:sz w:val="16"/>
      <w:szCs w:val="16"/>
    </w:rPr>
  </w:style>
  <w:style w:type="paragraph" w:styleId="26">
    <w:name w:val="toc 2"/>
    <w:basedOn w:val="1"/>
    <w:next w:val="1"/>
    <w:semiHidden/>
    <w:qFormat/>
    <w:uiPriority w:val="0"/>
    <w:pPr>
      <w:tabs>
        <w:tab w:val="right" w:leader="dot" w:pos="8505"/>
      </w:tabs>
      <w:spacing w:line="360" w:lineRule="auto"/>
      <w:ind w:left="393" w:leftChars="50" w:hanging="288" w:hangingChars="120"/>
    </w:pPr>
    <w:rPr>
      <w:b/>
    </w:rPr>
  </w:style>
  <w:style w:type="paragraph" w:styleId="27">
    <w:name w:val="toc 9"/>
    <w:basedOn w:val="1"/>
    <w:next w:val="1"/>
    <w:semiHidden/>
    <w:qFormat/>
    <w:uiPriority w:val="0"/>
    <w:pPr>
      <w:ind w:left="3360"/>
    </w:p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9">
    <w:name w:val="Title"/>
    <w:basedOn w:val="1"/>
    <w:qFormat/>
    <w:uiPriority w:val="0"/>
    <w:pPr>
      <w:spacing w:before="240" w:after="60"/>
      <w:jc w:val="center"/>
      <w:outlineLvl w:val="0"/>
    </w:pPr>
    <w:rPr>
      <w:rFonts w:ascii="Arial" w:hAnsi="Arial" w:cs="Arial"/>
      <w:b/>
      <w:bCs/>
      <w:sz w:val="32"/>
      <w:szCs w:val="32"/>
    </w:rPr>
  </w:style>
  <w:style w:type="paragraph" w:styleId="30">
    <w:name w:val="annotation subject"/>
    <w:basedOn w:val="10"/>
    <w:next w:val="10"/>
    <w:semiHidden/>
    <w:qFormat/>
    <w:uiPriority w:val="0"/>
    <w:rPr>
      <w:b/>
      <w:bCs/>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0"/>
    <w:rPr>
      <w:color w:val="auto"/>
      <w:u w:val="none"/>
    </w:rPr>
  </w:style>
  <w:style w:type="character" w:styleId="38">
    <w:name w:val="annotation reference"/>
    <w:basedOn w:val="33"/>
    <w:semiHidden/>
    <w:qFormat/>
    <w:uiPriority w:val="0"/>
    <w:rPr>
      <w:sz w:val="21"/>
      <w:szCs w:val="21"/>
    </w:rPr>
  </w:style>
  <w:style w:type="character" w:customStyle="1" w:styleId="39">
    <w:name w:val="纯文本 字符"/>
    <w:link w:val="15"/>
    <w:qFormat/>
    <w:uiPriority w:val="0"/>
    <w:rPr>
      <w:rFonts w:ascii="宋体" w:hAnsi="Courier New"/>
      <w:kern w:val="2"/>
      <w:sz w:val="21"/>
    </w:rPr>
  </w:style>
  <w:style w:type="character" w:customStyle="1" w:styleId="40">
    <w:name w:val="日期 字符"/>
    <w:link w:val="17"/>
    <w:qFormat/>
    <w:uiPriority w:val="0"/>
    <w:rPr>
      <w:rFonts w:eastAsia="宋体"/>
      <w:kern w:val="2"/>
      <w:sz w:val="21"/>
      <w:szCs w:val="24"/>
      <w:lang w:val="en-US" w:eastAsia="zh-CN" w:bidi="ar-SA"/>
    </w:rPr>
  </w:style>
  <w:style w:type="paragraph" w:customStyle="1" w:styleId="41">
    <w:name w:val="Char Char Char Char Char Char Char Char Char Char Char Char Char"/>
    <w:basedOn w:val="1"/>
    <w:qFormat/>
    <w:uiPriority w:val="0"/>
    <w:rPr>
      <w:rFonts w:ascii="仿宋_GB2312" w:eastAsia="仿宋_GB2312"/>
      <w:b/>
      <w:sz w:val="32"/>
      <w:szCs w:val="32"/>
    </w:rPr>
  </w:style>
  <w:style w:type="paragraph" w:customStyle="1" w:styleId="42">
    <w:name w:val="表"/>
    <w:basedOn w:val="1"/>
    <w:qFormat/>
    <w:uiPriority w:val="0"/>
    <w:pPr>
      <w:adjustRightInd w:val="0"/>
      <w:snapToGrid w:val="0"/>
      <w:spacing w:line="240" w:lineRule="atLeast"/>
    </w:pPr>
    <w:rPr>
      <w:rFonts w:ascii="Arial" w:hAnsi="Arial"/>
      <w:sz w:val="24"/>
    </w:rPr>
  </w:style>
  <w:style w:type="character" w:customStyle="1" w:styleId="43">
    <w:name w:val="索引 1 Char Char"/>
    <w:qFormat/>
    <w:uiPriority w:val="0"/>
    <w:rPr>
      <w:rFonts w:eastAsia="宋体"/>
      <w:kern w:val="2"/>
      <w:sz w:val="21"/>
      <w:szCs w:val="24"/>
      <w:lang w:val="en-US" w:eastAsia="zh-CN" w:bidi="ar-SA"/>
    </w:rPr>
  </w:style>
  <w:style w:type="character" w:customStyle="1" w:styleId="44">
    <w:name w:val="标题 3 Char Char"/>
    <w:qFormat/>
    <w:uiPriority w:val="0"/>
    <w:rPr>
      <w:rFonts w:ascii="仿宋_GB2312" w:eastAsia="仿宋_GB2312"/>
      <w:bCs/>
      <w:kern w:val="2"/>
      <w:sz w:val="24"/>
      <w:szCs w:val="24"/>
      <w:lang w:val="en-US" w:eastAsia="zh-CN" w:bidi="ar-SA"/>
    </w:rPr>
  </w:style>
  <w:style w:type="paragraph" w:customStyle="1" w:styleId="45">
    <w:name w:val="样式 楷体_GB2312 小四 首行缩进:  0.8 厘米 行距: 固定值 28 磅"/>
    <w:basedOn w:val="1"/>
    <w:qFormat/>
    <w:uiPriority w:val="0"/>
    <w:pPr>
      <w:spacing w:line="360" w:lineRule="auto"/>
      <w:jc w:val="center"/>
    </w:pPr>
    <w:rPr>
      <w:rFonts w:eastAsia="仿宋_GB2312"/>
      <w:szCs w:val="21"/>
    </w:rPr>
  </w:style>
  <w:style w:type="character" w:customStyle="1" w:styleId="46">
    <w:name w:val="样式 超链接 + 仿宋_GB2312 小四 加粗"/>
    <w:qFormat/>
    <w:uiPriority w:val="0"/>
    <w:rPr>
      <w:rFonts w:ascii="仿宋_GB2312" w:hAnsi="仿宋_GB2312" w:eastAsia="黑体"/>
      <w:b/>
      <w:bCs/>
      <w:color w:val="auto"/>
      <w:sz w:val="24"/>
      <w:u w:val="none"/>
    </w:rPr>
  </w:style>
  <w:style w:type="paragraph" w:customStyle="1" w:styleId="47">
    <w:name w:val="样式 标题 3 + 二号 Char Char Char Char"/>
    <w:basedOn w:val="4"/>
    <w:qFormat/>
    <w:uiPriority w:val="0"/>
    <w:pPr>
      <w:spacing w:before="0" w:beforeLines="0" w:after="0" w:afterLines="0" w:line="240" w:lineRule="auto"/>
    </w:pPr>
    <w:rPr>
      <w:rFonts w:hAnsi="华文中宋"/>
      <w:sz w:val="44"/>
    </w:rPr>
  </w:style>
  <w:style w:type="character" w:customStyle="1" w:styleId="48">
    <w:name w:val="样式 标题 3 + 二号 Char Char Char Char Char"/>
    <w:qFormat/>
    <w:uiPriority w:val="0"/>
    <w:rPr>
      <w:rFonts w:ascii="仿宋_GB2312" w:hAnsi="华文中宋" w:eastAsia="仿宋_GB2312"/>
      <w:bCs/>
      <w:kern w:val="2"/>
      <w:sz w:val="44"/>
      <w:szCs w:val="24"/>
      <w:lang w:val="en-US" w:eastAsia="zh-CN" w:bidi="ar-SA"/>
    </w:rPr>
  </w:style>
  <w:style w:type="paragraph" w:customStyle="1" w:styleId="49">
    <w:name w:val="样式 华文中宋 小四 加粗 Char"/>
    <w:basedOn w:val="1"/>
    <w:qFormat/>
    <w:uiPriority w:val="0"/>
    <w:rPr>
      <w:rFonts w:ascii="华文中宋" w:hAnsi="华文中宋" w:eastAsia="华文中宋"/>
      <w:b/>
      <w:bCs/>
      <w:sz w:val="24"/>
    </w:rPr>
  </w:style>
  <w:style w:type="character" w:customStyle="1" w:styleId="50">
    <w:name w:val="样式 华文中宋 小四 加粗 Char Char"/>
    <w:qFormat/>
    <w:uiPriority w:val="0"/>
    <w:rPr>
      <w:rFonts w:ascii="华文中宋" w:hAnsi="华文中宋" w:eastAsia="华文中宋"/>
      <w:b/>
      <w:bCs/>
      <w:kern w:val="2"/>
      <w:sz w:val="24"/>
      <w:szCs w:val="24"/>
      <w:lang w:val="en-US" w:eastAsia="zh-CN" w:bidi="ar-SA"/>
    </w:rPr>
  </w:style>
  <w:style w:type="paragraph" w:customStyle="1" w:styleId="51">
    <w:name w:val="正文2"/>
    <w:basedOn w:val="1"/>
    <w:qFormat/>
    <w:uiPriority w:val="0"/>
    <w:pPr>
      <w:spacing w:line="360" w:lineRule="auto"/>
    </w:pPr>
    <w:rPr>
      <w:rFonts w:eastAsia="楷体_GB2312"/>
      <w:sz w:val="28"/>
    </w:rPr>
  </w:style>
  <w:style w:type="paragraph" w:customStyle="1" w:styleId="52">
    <w:name w:val="样式 标题 3 +"/>
    <w:basedOn w:val="4"/>
    <w:qFormat/>
    <w:uiPriority w:val="0"/>
    <w:pPr>
      <w:spacing w:before="0" w:beforeLines="0" w:after="0" w:afterLines="0" w:line="360" w:lineRule="auto"/>
    </w:pPr>
    <w:rPr>
      <w:rFonts w:ascii="Times New Roman"/>
      <w:kern w:val="0"/>
      <w:lang w:val="zh-CN"/>
    </w:rPr>
  </w:style>
  <w:style w:type="paragraph" w:customStyle="1" w:styleId="53">
    <w:name w:val="样式 标题 3 + 仿宋_GB2312 小四 段前: 0 磅 段后: 0 磅"/>
    <w:basedOn w:val="4"/>
    <w:qFormat/>
    <w:uiPriority w:val="0"/>
    <w:pPr>
      <w:spacing w:before="50" w:after="0" w:afterLines="0" w:line="415" w:lineRule="auto"/>
    </w:pPr>
    <w:rPr>
      <w:rFonts w:cs="宋体"/>
      <w:b/>
      <w:kern w:val="0"/>
      <w:szCs w:val="20"/>
    </w:rPr>
  </w:style>
  <w:style w:type="paragraph" w:customStyle="1" w:styleId="54">
    <w:name w:val="样式 样式 标题 3 + 仿宋_GB2312 小四 段前: 0 磅 段后: 0 磅 + 段前: 0.5 行"/>
    <w:basedOn w:val="53"/>
    <w:qFormat/>
    <w:uiPriority w:val="0"/>
    <w:pPr>
      <w:spacing w:after="50" w:afterLines="50"/>
    </w:pPr>
  </w:style>
  <w:style w:type="paragraph" w:customStyle="1" w:styleId="55">
    <w:name w:val="样式 样式 样式 标题 3 + 仿宋_GB2312 小四 段前: 0 磅 段后: 0 磅 + 段前: 0.5 行 + 段前: 0..."/>
    <w:basedOn w:val="54"/>
    <w:qFormat/>
    <w:uiPriority w:val="0"/>
    <w:pPr>
      <w:spacing w:before="100" w:beforeLines="100"/>
    </w:pPr>
  </w:style>
  <w:style w:type="paragraph" w:customStyle="1" w:styleId="56">
    <w:name w:val="2"/>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57">
    <w:name w:val="样式 标题 3 + 二号 Char Char Char"/>
    <w:basedOn w:val="4"/>
    <w:qFormat/>
    <w:uiPriority w:val="0"/>
    <w:pPr>
      <w:spacing w:before="0" w:beforeLines="0" w:after="0" w:afterLines="0" w:line="240" w:lineRule="auto"/>
    </w:pPr>
    <w:rPr>
      <w:rFonts w:hAnsi="华文中宋"/>
      <w:sz w:val="44"/>
    </w:rPr>
  </w:style>
  <w:style w:type="paragraph" w:customStyle="1" w:styleId="58">
    <w:name w:val="样式 华文中宋 小四 加粗"/>
    <w:basedOn w:val="1"/>
    <w:qFormat/>
    <w:uiPriority w:val="0"/>
    <w:rPr>
      <w:rFonts w:ascii="华文中宋" w:hAnsi="华文中宋" w:eastAsia="华文中宋"/>
      <w:b/>
      <w:bCs/>
      <w:sz w:val="24"/>
    </w:rPr>
  </w:style>
  <w:style w:type="paragraph" w:customStyle="1" w:styleId="59">
    <w:name w:val="1"/>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60">
    <w:name w:val="Char"/>
    <w:basedOn w:val="1"/>
    <w:qFormat/>
    <w:uiPriority w:val="0"/>
    <w:rPr>
      <w:rFonts w:ascii="仿宋_GB2312" w:eastAsia="仿宋_GB2312"/>
      <w:b/>
      <w:sz w:val="32"/>
      <w:szCs w:val="32"/>
    </w:rPr>
  </w:style>
  <w:style w:type="paragraph" w:customStyle="1" w:styleId="61">
    <w:name w:val="样式 标题 2 + (西文) Times New Roman (中文) 仿宋_GB2312 居中 段前: 6 磅 段后:..."/>
    <w:basedOn w:val="3"/>
    <w:qFormat/>
    <w:uiPriority w:val="0"/>
    <w:pPr>
      <w:spacing w:before="120" w:after="120" w:line="360" w:lineRule="auto"/>
      <w:ind w:firstLine="200" w:firstLineChars="200"/>
      <w:jc w:val="left"/>
    </w:pPr>
    <w:rPr>
      <w:rFonts w:ascii="Times New Roman" w:hAnsi="Times New Roman" w:eastAsia="仿宋_GB2312" w:cs="宋体"/>
      <w:szCs w:val="20"/>
    </w:rPr>
  </w:style>
  <w:style w:type="paragraph" w:customStyle="1" w:styleId="6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3">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6">
    <w:name w:val="xl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8">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9">
    <w:name w:val="xl2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0">
    <w:name w:val="xl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2">
    <w:name w:val="xl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3">
    <w:name w:val="xl33"/>
    <w:basedOn w:val="1"/>
    <w:qFormat/>
    <w:uiPriority w:val="0"/>
    <w:pPr>
      <w:widowControl/>
      <w:pBdr>
        <w:top w:val="single" w:color="auto" w:sz="4" w:space="0"/>
      </w:pBdr>
      <w:spacing w:before="100" w:beforeAutospacing="1" w:after="100" w:afterAutospacing="1"/>
      <w:jc w:val="center"/>
    </w:pPr>
    <w:rPr>
      <w:rFonts w:ascii="宋体" w:hAnsi="宋体"/>
      <w:b/>
      <w:bCs/>
      <w:kern w:val="0"/>
      <w:sz w:val="22"/>
      <w:szCs w:val="22"/>
    </w:rPr>
  </w:style>
  <w:style w:type="paragraph" w:customStyle="1" w:styleId="74">
    <w:name w:val="xl68"/>
    <w:basedOn w:val="1"/>
    <w:qFormat/>
    <w:uiPriority w:val="0"/>
    <w:pPr>
      <w:widowControl/>
      <w:spacing w:before="100" w:beforeAutospacing="1" w:after="100" w:afterAutospacing="1"/>
      <w:jc w:val="center"/>
      <w:textAlignment w:val="center"/>
    </w:pPr>
    <w:rPr>
      <w:rFonts w:ascii="宋体" w:hAnsi="宋体"/>
      <w:b/>
      <w:bCs/>
      <w:kern w:val="0"/>
      <w:sz w:val="36"/>
      <w:szCs w:val="36"/>
    </w:rPr>
  </w:style>
  <w:style w:type="paragraph" w:customStyle="1" w:styleId="75">
    <w:name w:val="Char Char Char Char Char Char Char Char Char Char Char Char Char1"/>
    <w:basedOn w:val="1"/>
    <w:qFormat/>
    <w:uiPriority w:val="0"/>
    <w:rPr>
      <w:rFonts w:ascii="仿宋_GB2312" w:eastAsia="仿宋_GB2312"/>
      <w:b/>
      <w:sz w:val="32"/>
      <w:szCs w:val="32"/>
    </w:rPr>
  </w:style>
  <w:style w:type="paragraph" w:customStyle="1" w:styleId="76">
    <w:name w:val="Char Char Char Char Char Char Char"/>
    <w:basedOn w:val="1"/>
    <w:qFormat/>
    <w:uiPriority w:val="0"/>
    <w:rPr>
      <w:rFonts w:ascii="仿宋_GB2312" w:eastAsia="仿宋_GB2312"/>
      <w:b/>
      <w:sz w:val="32"/>
      <w:szCs w:val="32"/>
    </w:rPr>
  </w:style>
  <w:style w:type="paragraph" w:customStyle="1" w:styleId="77">
    <w:name w:val="ee"/>
    <w:basedOn w:val="1"/>
    <w:qFormat/>
    <w:uiPriority w:val="0"/>
    <w:pPr>
      <w:widowControl/>
      <w:spacing w:before="100" w:beforeAutospacing="1" w:after="100" w:afterAutospacing="1" w:line="300" w:lineRule="atLeast"/>
      <w:jc w:val="left"/>
    </w:pPr>
    <w:rPr>
      <w:rFonts w:ascii="宋体" w:hAnsi="宋体" w:cs="宋体"/>
      <w:color w:val="000000"/>
      <w:kern w:val="0"/>
      <w:sz w:val="18"/>
      <w:szCs w:val="18"/>
    </w:rPr>
  </w:style>
  <w:style w:type="paragraph" w:customStyle="1" w:styleId="78">
    <w:name w:val="Char1"/>
    <w:basedOn w:val="1"/>
    <w:qFormat/>
    <w:uiPriority w:val="0"/>
    <w:rPr>
      <w:rFonts w:ascii="仿宋_GB2312" w:eastAsia="仿宋_GB2312"/>
      <w:b/>
      <w:sz w:val="32"/>
      <w:szCs w:val="32"/>
    </w:rPr>
  </w:style>
  <w:style w:type="paragraph" w:customStyle="1" w:styleId="79">
    <w:name w:val="正文H"/>
    <w:next w:val="1"/>
    <w:qFormat/>
    <w:uiPriority w:val="0"/>
    <w:pPr>
      <w:adjustRightInd w:val="0"/>
      <w:spacing w:line="360" w:lineRule="auto"/>
      <w:ind w:firstLine="200" w:firstLineChars="200"/>
    </w:pPr>
    <w:rPr>
      <w:rFonts w:ascii="Times New Roman" w:hAnsi="Times New Roman" w:eastAsia="宋体" w:cs="Times New Roman"/>
      <w:kern w:val="2"/>
      <w:sz w:val="21"/>
      <w:szCs w:val="21"/>
      <w:lang w:val="en-US" w:eastAsia="zh-CN" w:bidi="ar-SA"/>
    </w:rPr>
  </w:style>
  <w:style w:type="character" w:customStyle="1" w:styleId="80">
    <w:name w:val="middle1"/>
    <w:qFormat/>
    <w:uiPriority w:val="0"/>
    <w:rPr>
      <w:rFonts w:hint="default"/>
      <w:sz w:val="21"/>
      <w:szCs w:val="21"/>
    </w:rPr>
  </w:style>
  <w:style w:type="paragraph" w:styleId="81">
    <w:name w:val="No Spacing"/>
    <w:link w:val="82"/>
    <w:qFormat/>
    <w:uiPriority w:val="0"/>
    <w:pPr>
      <w:widowControl w:val="0"/>
      <w:adjustRightInd w:val="0"/>
      <w:snapToGrid w:val="0"/>
      <w:jc w:val="center"/>
    </w:pPr>
    <w:rPr>
      <w:rFonts w:ascii="Calibri" w:hAnsi="Calibri" w:eastAsia="宋体" w:cs="Times New Roman"/>
      <w:kern w:val="2"/>
      <w:sz w:val="18"/>
      <w:szCs w:val="18"/>
      <w:lang w:val="en-US" w:eastAsia="zh-CN" w:bidi="ar-SA"/>
    </w:rPr>
  </w:style>
  <w:style w:type="character" w:customStyle="1" w:styleId="82">
    <w:name w:val="无间隔 字符"/>
    <w:link w:val="81"/>
    <w:qFormat/>
    <w:uiPriority w:val="0"/>
    <w:rPr>
      <w:rFonts w:ascii="Calibri" w:hAnsi="Calibri"/>
      <w:kern w:val="2"/>
      <w:sz w:val="18"/>
      <w:szCs w:val="18"/>
      <w:lang w:val="en-US" w:eastAsia="zh-CN" w:bidi="ar-SA"/>
    </w:rPr>
  </w:style>
  <w:style w:type="paragraph" w:customStyle="1" w:styleId="83">
    <w:name w:val="标题一"/>
    <w:basedOn w:val="29"/>
    <w:qFormat/>
    <w:uiPriority w:val="0"/>
    <w:pPr>
      <w:adjustRightInd w:val="0"/>
      <w:snapToGrid w:val="0"/>
      <w:spacing w:before="50" w:beforeLines="50" w:after="0" w:line="440" w:lineRule="exact"/>
      <w:ind w:firstLine="200" w:firstLineChars="200"/>
      <w:jc w:val="left"/>
    </w:pPr>
    <w:rPr>
      <w:rFonts w:ascii="宋体" w:hAnsi="宋体"/>
      <w:sz w:val="21"/>
    </w:rPr>
  </w:style>
  <w:style w:type="paragraph" w:customStyle="1" w:styleId="8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5">
    <w:name w:val="表格"/>
    <w:basedOn w:val="1"/>
    <w:qFormat/>
    <w:uiPriority w:val="0"/>
    <w:pPr>
      <w:adjustRightInd w:val="0"/>
      <w:snapToGrid w:val="0"/>
      <w:spacing w:line="240" w:lineRule="atLeast"/>
      <w:ind w:left="-103" w:leftChars="-51" w:hanging="4" w:hangingChars="2"/>
    </w:pPr>
    <w:rPr>
      <w:rFonts w:ascii="宋体" w:hAnsi="宋体"/>
      <w:color w:val="000000"/>
      <w:kern w:val="0"/>
      <w:sz w:val="20"/>
      <w:szCs w:val="20"/>
    </w:rPr>
  </w:style>
  <w:style w:type="paragraph" w:customStyle="1" w:styleId="86">
    <w:name w:val="Revision"/>
    <w:unhideWhenUsed/>
    <w:qFormat/>
    <w:uiPriority w:val="99"/>
    <w:rPr>
      <w:rFonts w:ascii="Times New Roman" w:hAnsi="Times New Roman" w:eastAsia="宋体" w:cs="Times New Roman"/>
      <w:kern w:val="2"/>
      <w:sz w:val="21"/>
      <w:szCs w:val="24"/>
      <w:lang w:val="en-US" w:eastAsia="zh-CN" w:bidi="ar-SA"/>
    </w:rPr>
  </w:style>
  <w:style w:type="paragraph" w:styleId="8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2.png"/><Relationship Id="rId16" Type="http://schemas.openxmlformats.org/officeDocument/2006/relationships/theme" Target="theme/theme1.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96</Pages>
  <Words>1108</Words>
  <Characters>1188</Characters>
  <Lines>153</Lines>
  <Paragraphs>43</Paragraphs>
  <TotalTime>962</TotalTime>
  <ScaleCrop>false</ScaleCrop>
  <LinksUpToDate>false</LinksUpToDate>
  <CharactersWithSpaces>1362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2026-04-22T03:30:00Z</dcterms:created>
  <dc:creator>user</dc:creator>
  <cp:lastModifiedBy>孙凡寓</cp:lastModifiedBy>
  <cp:lastPrinted>2016-07-19T02:19:00Z</cp:lastPrinted>
  <dcterms:modified xsi:type="dcterms:W3CDTF">2026-10-23T00:48:45Z</dcterms:modified>
  <dc:title>招标备案编号：20110118</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3756276EA66E43919B5D863C8C6CA6C7_13</vt:lpwstr>
  </property>
  <property fmtid="{D5CDD505-2E9C-101B-9397-08002B2CF9AE}" pid="4" name="KSOTemplateDocerSaveRecord">
    <vt:lpwstr>eyJoZGlkIjoiNmYwNGI0Njg4NGM1MWUyNzA1NmI1YjZmMjViNzYyZjQiLCJ1c2VySWQiOiIxMDM3MjQzNTYzIn0=</vt:lpwstr>
  </property>
</Properties>
</file>